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山东泰安宁阳（基础零部件—钢球）特色产业集群</w:t>
      </w:r>
    </w:p>
    <w:p>
      <w:pPr>
        <w:spacing w:lineRule="exact" w:line="600" w:before="240" w:after="240"/>
        <w:ind w:firstLine="0"/>
        <w:jc w:val="center"/>
      </w:pPr>
      <w:r>
        <w:rPr>
          <w:rFonts w:ascii="方正小标宋简体" w:hAnsi="方正小标宋简体" w:eastAsia="方正小标宋简体"/>
          <w:b w:val="0"/>
          <w:color w:val="000000"/>
          <w:sz w:val="44"/>
        </w:rPr>
        <w:t>钢球用轴承钢行业深度分析报告</w:t>
      </w:r>
    </w:p>
    <w:p>
      <w:pPr>
        <w:spacing w:lineRule="exact" w:line="600" w:before="0" w:after="0"/>
        <w:jc w:val="left"/>
      </w:pPr>
      <w:r>
        <w:rPr>
          <w:rFonts w:ascii="仿宋_GB2312" w:hAnsi="仿宋_GB2312" w:eastAsia="仿宋_GB2312"/>
          <w:b w:val="0"/>
          <w:color w:val="000000"/>
          <w:sz w:val="28"/>
        </w:rPr>
        <w:t>本报告数据来源于山东省工信厅、宁阳县政府、辰信轴承科技、山东省装备制造业协会、博研咨询《中国滚动轴承钢球行业市场前景预测》及公开行业年报。轴承钢为钢球核心原材料，宁阳本地钢球用轴承钢长期以外购为主，细分本地化数据有限，已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轴承钢（主流牌号GCr15）是轴承钢球制造的核心原材料，直接决定钢球的硬度、耐磨性与疲劳寿命。2023年中国轴承钢产量约700万吨，其中约30%（约210万吨）用于滚动轴承钢球生产（来源：博研咨询）。长期以来宁阳300余家钢球企业以采购外地钢丝、轴承钢为主，本地缺乏大型改制能力，形成「大产业、弱原料」短板。随着辰信轴承科技投资26亿元建设30万吨退火改制材料生产线并于2024年3月点火，宁阳正打造全国最大的滚动体（钢球）基础材料生产基地，实现原料直供下游厂门口，补齐产业链关键环节。在高端轴承钢依赖优质特种钢、进口替代空间大的背景下，本地化改制与质量管控成为宁阳钢球向高端跃升的重要支撑。</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全国轴承钢产量</w:t>
            </w:r>
          </w:p>
        </w:tc>
        <w:tc>
          <w:tcPr>
            <w:tcW w:type="dxa" w:w="2835"/>
          </w:tcPr>
          <w:p>
            <w:pPr>
              <w:spacing w:lineRule="exact" w:line="600"/>
              <w:jc w:val="center"/>
            </w:pPr>
            <w:r/>
            <w:r>
              <w:rPr>
                <w:rFonts w:ascii="仿宋_GB2312" w:hAnsi="仿宋_GB2312" w:eastAsia="仿宋_GB2312"/>
                <w:b w:val="0"/>
                <w:color w:val="000000"/>
                <w:sz w:val="32"/>
              </w:rPr>
              <w:t>约700万吨（2023）</w:t>
            </w:r>
          </w:p>
        </w:tc>
        <w:tc>
          <w:tcPr>
            <w:tcW w:type="dxa" w:w="3118"/>
          </w:tcPr>
          <w:p>
            <w:pPr>
              <w:spacing w:lineRule="exact" w:line="600"/>
              <w:jc w:val="center"/>
            </w:pPr>
            <w:r/>
            <w:r>
              <w:rPr>
                <w:rFonts w:ascii="仿宋_GB2312" w:hAnsi="仿宋_GB2312" w:eastAsia="仿宋_GB2312"/>
                <w:b w:val="0"/>
                <w:color w:val="000000"/>
                <w:sz w:val="32"/>
              </w:rPr>
              <w:t>博研咨询</w:t>
            </w:r>
          </w:p>
        </w:tc>
      </w:tr>
      <w:tr>
        <w:tc>
          <w:tcPr>
            <w:tcW w:type="dxa" w:w="2835"/>
          </w:tcPr>
          <w:p>
            <w:pPr>
              <w:spacing w:lineRule="exact" w:line="600"/>
              <w:jc w:val="center"/>
            </w:pPr>
            <w:r/>
            <w:r>
              <w:rPr>
                <w:rFonts w:ascii="仿宋_GB2312" w:hAnsi="仿宋_GB2312" w:eastAsia="仿宋_GB2312"/>
                <w:b w:val="0"/>
                <w:color w:val="000000"/>
                <w:sz w:val="32"/>
              </w:rPr>
              <w:t>其中钢球用轴承钢</w:t>
            </w:r>
          </w:p>
        </w:tc>
        <w:tc>
          <w:tcPr>
            <w:tcW w:type="dxa" w:w="2835"/>
          </w:tcPr>
          <w:p>
            <w:pPr>
              <w:spacing w:lineRule="exact" w:line="600"/>
              <w:jc w:val="center"/>
            </w:pPr>
            <w:r/>
            <w:r>
              <w:rPr>
                <w:rFonts w:ascii="仿宋_GB2312" w:hAnsi="仿宋_GB2312" w:eastAsia="仿宋_GB2312"/>
                <w:b w:val="0"/>
                <w:color w:val="000000"/>
                <w:sz w:val="32"/>
              </w:rPr>
              <w:t>约210万吨（占30%）</w:t>
            </w:r>
          </w:p>
        </w:tc>
        <w:tc>
          <w:tcPr>
            <w:tcW w:type="dxa" w:w="3118"/>
          </w:tcPr>
          <w:p>
            <w:pPr>
              <w:spacing w:lineRule="exact" w:line="600"/>
              <w:jc w:val="center"/>
            </w:pPr>
            <w:r/>
            <w:r>
              <w:rPr>
                <w:rFonts w:ascii="仿宋_GB2312" w:hAnsi="仿宋_GB2312" w:eastAsia="仿宋_GB2312"/>
                <w:b w:val="0"/>
                <w:color w:val="000000"/>
                <w:sz w:val="32"/>
              </w:rPr>
              <w:t>博研咨询</w:t>
            </w:r>
          </w:p>
        </w:tc>
      </w:tr>
      <w:tr>
        <w:tc>
          <w:tcPr>
            <w:tcW w:type="dxa" w:w="2835"/>
          </w:tcPr>
          <w:p>
            <w:pPr>
              <w:spacing w:lineRule="exact" w:line="600"/>
              <w:jc w:val="center"/>
            </w:pPr>
            <w:r/>
            <w:r>
              <w:rPr>
                <w:rFonts w:ascii="仿宋_GB2312" w:hAnsi="仿宋_GB2312" w:eastAsia="仿宋_GB2312"/>
                <w:b w:val="0"/>
                <w:color w:val="000000"/>
                <w:sz w:val="32"/>
              </w:rPr>
              <w:t>宁阳钢球年产量</w:t>
            </w:r>
          </w:p>
        </w:tc>
        <w:tc>
          <w:tcPr>
            <w:tcW w:type="dxa" w:w="2835"/>
          </w:tcPr>
          <w:p>
            <w:pPr>
              <w:spacing w:lineRule="exact" w:line="600"/>
              <w:jc w:val="center"/>
            </w:pPr>
            <w:r/>
            <w:r>
              <w:rPr>
                <w:rFonts w:ascii="仿宋_GB2312" w:hAnsi="仿宋_GB2312" w:eastAsia="仿宋_GB2312"/>
                <w:b w:val="0"/>
                <w:color w:val="000000"/>
                <w:sz w:val="32"/>
              </w:rPr>
              <w:t>67万吨（占全国65%+）</w:t>
            </w:r>
          </w:p>
        </w:tc>
        <w:tc>
          <w:tcPr>
            <w:tcW w:type="dxa" w:w="3118"/>
          </w:tcPr>
          <w:p>
            <w:pPr>
              <w:spacing w:lineRule="exact" w:line="600"/>
              <w:jc w:val="center"/>
            </w:pPr>
            <w:r/>
            <w:r>
              <w:rPr>
                <w:rFonts w:ascii="仿宋_GB2312" w:hAnsi="仿宋_GB2312" w:eastAsia="仿宋_GB2312"/>
                <w:b w:val="0"/>
                <w:color w:val="000000"/>
                <w:sz w:val="32"/>
              </w:rPr>
              <w:t>山东省工信厅</w:t>
            </w:r>
          </w:p>
        </w:tc>
      </w:tr>
      <w:tr>
        <w:tc>
          <w:tcPr>
            <w:tcW w:type="dxa" w:w="2835"/>
          </w:tcPr>
          <w:p>
            <w:pPr>
              <w:spacing w:lineRule="exact" w:line="600"/>
              <w:jc w:val="center"/>
            </w:pPr>
            <w:r/>
            <w:r>
              <w:rPr>
                <w:rFonts w:ascii="仿宋_GB2312" w:hAnsi="仿宋_GB2312" w:eastAsia="仿宋_GB2312"/>
                <w:b w:val="0"/>
                <w:color w:val="000000"/>
                <w:sz w:val="32"/>
              </w:rPr>
              <w:t>本地改制线</w:t>
            </w:r>
          </w:p>
        </w:tc>
        <w:tc>
          <w:tcPr>
            <w:tcW w:type="dxa" w:w="2835"/>
          </w:tcPr>
          <w:p>
            <w:pPr>
              <w:spacing w:lineRule="exact" w:line="600"/>
              <w:jc w:val="center"/>
            </w:pPr>
            <w:r/>
            <w:r>
              <w:rPr>
                <w:rFonts w:ascii="仿宋_GB2312" w:hAnsi="仿宋_GB2312" w:eastAsia="仿宋_GB2312"/>
                <w:b w:val="0"/>
                <w:color w:val="000000"/>
                <w:sz w:val="32"/>
              </w:rPr>
              <w:t>30万吨退火改制</w:t>
            </w:r>
          </w:p>
        </w:tc>
        <w:tc>
          <w:tcPr>
            <w:tcW w:type="dxa" w:w="3118"/>
          </w:tcPr>
          <w:p>
            <w:pPr>
              <w:spacing w:lineRule="exact" w:line="600"/>
              <w:jc w:val="center"/>
            </w:pPr>
            <w:r/>
            <w:r>
              <w:rPr>
                <w:rFonts w:ascii="仿宋_GB2312" w:hAnsi="仿宋_GB2312" w:eastAsia="仿宋_GB2312"/>
                <w:b w:val="0"/>
                <w:color w:val="000000"/>
                <w:sz w:val="32"/>
              </w:rPr>
              <w:t>省装备协会</w:t>
            </w:r>
          </w:p>
        </w:tc>
      </w:tr>
      <w:tr>
        <w:tc>
          <w:tcPr>
            <w:tcW w:type="dxa" w:w="2835"/>
          </w:tcPr>
          <w:p>
            <w:pPr>
              <w:spacing w:lineRule="exact" w:line="600"/>
              <w:jc w:val="center"/>
            </w:pPr>
            <w:r/>
            <w:r>
              <w:rPr>
                <w:rFonts w:ascii="仿宋_GB2312" w:hAnsi="仿宋_GB2312" w:eastAsia="仿宋_GB2312"/>
                <w:b w:val="0"/>
                <w:color w:val="000000"/>
                <w:sz w:val="32"/>
              </w:rPr>
              <w:t>辰信一期投资</w:t>
            </w:r>
          </w:p>
        </w:tc>
        <w:tc>
          <w:tcPr>
            <w:tcW w:type="dxa" w:w="2835"/>
          </w:tcPr>
          <w:p>
            <w:pPr>
              <w:spacing w:lineRule="exact" w:line="600"/>
              <w:jc w:val="center"/>
            </w:pPr>
            <w:r/>
            <w:r>
              <w:rPr>
                <w:rFonts w:ascii="仿宋_GB2312" w:hAnsi="仿宋_GB2312" w:eastAsia="仿宋_GB2312"/>
                <w:b w:val="0"/>
                <w:color w:val="000000"/>
                <w:sz w:val="32"/>
              </w:rPr>
              <w:t>11亿元</w:t>
            </w:r>
          </w:p>
        </w:tc>
        <w:tc>
          <w:tcPr>
            <w:tcW w:type="dxa" w:w="3118"/>
          </w:tcPr>
          <w:p>
            <w:pPr>
              <w:spacing w:lineRule="exact" w:line="600"/>
              <w:jc w:val="center"/>
            </w:pPr>
            <w:r/>
            <w:r>
              <w:rPr>
                <w:rFonts w:ascii="仿宋_GB2312" w:hAnsi="仿宋_GB2312" w:eastAsia="仿宋_GB2312"/>
                <w:b w:val="0"/>
                <w:color w:val="000000"/>
                <w:sz w:val="32"/>
              </w:rPr>
              <w:t>辰信官网</w:t>
            </w:r>
          </w:p>
        </w:tc>
      </w:tr>
      <w:tr>
        <w:tc>
          <w:tcPr>
            <w:tcW w:type="dxa" w:w="2835"/>
          </w:tcPr>
          <w:p>
            <w:pPr>
              <w:spacing w:lineRule="exact" w:line="600"/>
              <w:jc w:val="center"/>
            </w:pPr>
            <w:r/>
            <w:r>
              <w:rPr>
                <w:rFonts w:ascii="仿宋_GB2312" w:hAnsi="仿宋_GB2312" w:eastAsia="仿宋_GB2312"/>
                <w:b w:val="0"/>
                <w:color w:val="000000"/>
                <w:sz w:val="32"/>
              </w:rPr>
              <w:t>辰信项目占地</w:t>
            </w:r>
          </w:p>
        </w:tc>
        <w:tc>
          <w:tcPr>
            <w:tcW w:type="dxa" w:w="2835"/>
          </w:tcPr>
          <w:p>
            <w:pPr>
              <w:spacing w:lineRule="exact" w:line="600"/>
              <w:jc w:val="center"/>
            </w:pPr>
            <w:r/>
            <w:r>
              <w:rPr>
                <w:rFonts w:ascii="仿宋_GB2312" w:hAnsi="仿宋_GB2312" w:eastAsia="仿宋_GB2312"/>
                <w:b w:val="0"/>
                <w:color w:val="000000"/>
                <w:sz w:val="32"/>
              </w:rPr>
              <w:t>162.96亩</w:t>
            </w:r>
          </w:p>
        </w:tc>
        <w:tc>
          <w:tcPr>
            <w:tcW w:type="dxa" w:w="3118"/>
          </w:tcPr>
          <w:p>
            <w:pPr>
              <w:spacing w:lineRule="exact" w:line="600"/>
              <w:jc w:val="center"/>
            </w:pPr>
            <w:r/>
            <w:r>
              <w:rPr>
                <w:rFonts w:ascii="仿宋_GB2312" w:hAnsi="仿宋_GB2312" w:eastAsia="仿宋_GB2312"/>
                <w:b w:val="0"/>
                <w:color w:val="000000"/>
                <w:sz w:val="32"/>
              </w:rPr>
              <w:t>辰信官网</w:t>
            </w:r>
          </w:p>
        </w:tc>
      </w:tr>
      <w:tr>
        <w:tc>
          <w:tcPr>
            <w:tcW w:type="dxa" w:w="2835"/>
          </w:tcPr>
          <w:p>
            <w:pPr>
              <w:spacing w:lineRule="exact" w:line="600"/>
              <w:jc w:val="center"/>
            </w:pPr>
            <w:r/>
            <w:r>
              <w:rPr>
                <w:rFonts w:ascii="仿宋_GB2312" w:hAnsi="仿宋_GB2312" w:eastAsia="仿宋_GB2312"/>
                <w:b w:val="0"/>
                <w:color w:val="000000"/>
                <w:sz w:val="32"/>
              </w:rPr>
              <w:t>集采降本</w:t>
            </w:r>
          </w:p>
        </w:tc>
        <w:tc>
          <w:tcPr>
            <w:tcW w:type="dxa" w:w="2835"/>
          </w:tcPr>
          <w:p>
            <w:pPr>
              <w:spacing w:lineRule="exact" w:line="600"/>
              <w:jc w:val="center"/>
            </w:pPr>
            <w:r/>
            <w:r>
              <w:rPr>
                <w:rFonts w:ascii="仿宋_GB2312" w:hAnsi="仿宋_GB2312" w:eastAsia="仿宋_GB2312"/>
                <w:b w:val="0"/>
                <w:color w:val="000000"/>
                <w:sz w:val="32"/>
              </w:rPr>
              <w:t>平均9%</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高端产品目标占比</w:t>
            </w:r>
          </w:p>
        </w:tc>
        <w:tc>
          <w:tcPr>
            <w:tcW w:type="dxa" w:w="2835"/>
          </w:tcPr>
          <w:p>
            <w:pPr>
              <w:spacing w:lineRule="exact" w:line="600"/>
              <w:jc w:val="center"/>
            </w:pPr>
            <w:r/>
            <w:r>
              <w:rPr>
                <w:rFonts w:ascii="仿宋_GB2312" w:hAnsi="仿宋_GB2312" w:eastAsia="仿宋_GB2312"/>
                <w:b w:val="0"/>
                <w:color w:val="000000"/>
                <w:sz w:val="32"/>
              </w:rPr>
              <w:t>40%（2025）</w:t>
            </w:r>
          </w:p>
        </w:tc>
        <w:tc>
          <w:tcPr>
            <w:tcW w:type="dxa" w:w="3118"/>
          </w:tcPr>
          <w:p>
            <w:pPr>
              <w:spacing w:lineRule="exact" w:line="600"/>
              <w:jc w:val="center"/>
            </w:pPr>
            <w:r/>
            <w:r>
              <w:rPr>
                <w:rFonts w:ascii="仿宋_GB2312" w:hAnsi="仿宋_GB2312" w:eastAsia="仿宋_GB2312"/>
                <w:b w:val="0"/>
                <w:color w:val="000000"/>
                <w:sz w:val="32"/>
              </w:rPr>
              <w:t>工信部行动计划</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（一）原材料战略地位</w:t>
      </w:r>
    </w:p>
    <w:p>
      <w:pPr>
        <w:spacing w:lineRule="exact" w:line="600" w:before="0" w:after="0"/>
        <w:ind w:firstLine="420"/>
        <w:jc w:val="both"/>
      </w:pPr>
      <w:r>
        <w:rPr>
          <w:rFonts w:ascii="仿宋_GB2312" w:hAnsi="仿宋_GB2312" w:eastAsia="仿宋_GB2312"/>
          <w:b w:val="0"/>
          <w:color w:val="000000"/>
          <w:sz w:val="32"/>
        </w:rPr>
        <w:t>轴承钢是生产滚动轴承钢球的关键基础材料，其纯净度、均匀性与碳化物组织直接决定钢球精度与寿命，被列为关键战略新材料范畴。国家《轴承钢球行业高质量发展行动计划》（2023）将提升高品质轴承钢供应稳定性作为重点，提出到2025年高端产品占比提升至40%（来源：博研咨询）。宁阳将轴承钢本地化改制纳入钢球产业链强链工程。</w:t>
      </w:r>
    </w:p>
    <w:p>
      <w:pPr>
        <w:spacing w:lineRule="exact" w:line="600" w:before="120" w:after="120"/>
        <w:ind w:firstLine="420"/>
        <w:jc w:val="left"/>
      </w:pPr>
      <w:r>
        <w:rPr>
          <w:rFonts w:ascii="楷体_GB2312" w:hAnsi="楷体_GB2312" w:eastAsia="楷体_GB2312"/>
          <w:b w:val="0"/>
          <w:color w:val="000000"/>
          <w:sz w:val="32"/>
        </w:rPr>
        <w:t>（二）区域产业配套定位</w:t>
      </w:r>
    </w:p>
    <w:p>
      <w:pPr>
        <w:spacing w:lineRule="exact" w:line="600" w:before="0" w:after="0"/>
        <w:ind w:firstLine="420"/>
        <w:jc w:val="both"/>
      </w:pPr>
      <w:r>
        <w:rPr>
          <w:rFonts w:ascii="仿宋_GB2312" w:hAnsi="仿宋_GB2312" w:eastAsia="仿宋_GB2312"/>
          <w:b w:val="0"/>
          <w:color w:val="000000"/>
          <w:sz w:val="32"/>
        </w:rPr>
        <w:t>宁阳钢球产业起步于80年代，2021年获评山东省特色产业集群，2024年钢球产业大脑入选省试点（来源：宁阳县政府/山东省工信厅）。作为「中国钢球之乡」，年产钢球67万吨、占全国产能65%以上，庞大的制造体量对轴承钢/钢丝形成巨大本地需求，但原料长期外购，本地改制能力曾是明显短板。</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984"/>
          </w:tcPr>
          <w:p>
            <w:pPr>
              <w:spacing w:lineRule="exact" w:line="600"/>
              <w:jc w:val="center"/>
            </w:pPr>
            <w:r/>
            <w:r>
              <w:rPr>
                <w:rFonts w:ascii="黑体" w:hAnsi="黑体" w:eastAsia="黑体"/>
                <w:b/>
                <w:color w:val="000000"/>
                <w:sz w:val="32"/>
              </w:rPr>
              <w:t>政策/规划</w:t>
            </w:r>
          </w:p>
        </w:tc>
        <w:tc>
          <w:tcPr>
            <w:tcW w:type="dxa" w:w="1134"/>
          </w:tcPr>
          <w:p>
            <w:pPr>
              <w:spacing w:lineRule="exact" w:line="600"/>
              <w:jc w:val="center"/>
            </w:pPr>
            <w:r/>
            <w:r>
              <w:rPr>
                <w:rFonts w:ascii="黑体" w:hAnsi="黑体" w:eastAsia="黑体"/>
                <w:b/>
                <w:color w:val="000000"/>
                <w:sz w:val="32"/>
              </w:rPr>
              <w:t>时间</w:t>
            </w:r>
          </w:p>
        </w:tc>
        <w:tc>
          <w:tcPr>
            <w:tcW w:type="dxa" w:w="3685"/>
          </w:tcPr>
          <w:p>
            <w:pPr>
              <w:spacing w:lineRule="exact" w:line="600"/>
              <w:jc w:val="center"/>
            </w:pPr>
            <w:r/>
            <w:r>
              <w:rPr>
                <w:rFonts w:ascii="黑体" w:hAnsi="黑体" w:eastAsia="黑体"/>
                <w:b/>
                <w:color w:val="000000"/>
                <w:sz w:val="32"/>
              </w:rPr>
              <w:t>对原料环节要求</w:t>
            </w:r>
          </w:p>
        </w:tc>
        <w:tc>
          <w:tcPr>
            <w:tcW w:type="dxa" w:w="1701"/>
          </w:tcPr>
          <w:p>
            <w:pPr>
              <w:spacing w:lineRule="exact" w:line="600"/>
              <w:jc w:val="center"/>
            </w:pPr>
            <w:r/>
            <w:r>
              <w:rPr>
                <w:rFonts w:ascii="黑体" w:hAnsi="黑体" w:eastAsia="黑体"/>
                <w:b/>
                <w:color w:val="000000"/>
                <w:sz w:val="32"/>
              </w:rPr>
              <w:t>来源</w:t>
            </w:r>
          </w:p>
        </w:tc>
      </w:tr>
      <w:tr>
        <w:tc>
          <w:tcPr>
            <w:tcW w:type="dxa" w:w="1984"/>
          </w:tcPr>
          <w:p>
            <w:pPr>
              <w:spacing w:lineRule="exact" w:line="600"/>
              <w:jc w:val="center"/>
            </w:pPr>
            <w:r/>
            <w:r>
              <w:rPr>
                <w:rFonts w:ascii="仿宋_GB2312" w:hAnsi="仿宋_GB2312" w:eastAsia="仿宋_GB2312"/>
                <w:b w:val="0"/>
                <w:color w:val="000000"/>
                <w:sz w:val="32"/>
              </w:rPr>
              <w:t>轴承钢球行动计划</w:t>
            </w:r>
          </w:p>
        </w:tc>
        <w:tc>
          <w:tcPr>
            <w:tcW w:type="dxa" w:w="1134"/>
          </w:tcPr>
          <w:p>
            <w:pPr>
              <w:spacing w:lineRule="exact" w:line="600"/>
              <w:jc w:val="center"/>
            </w:pPr>
            <w:r/>
            <w:r>
              <w:rPr>
                <w:rFonts w:ascii="仿宋_GB2312" w:hAnsi="仿宋_GB2312" w:eastAsia="仿宋_GB2312"/>
                <w:b w:val="0"/>
                <w:color w:val="000000"/>
                <w:sz w:val="32"/>
              </w:rPr>
              <w:t>2023年</w:t>
            </w:r>
          </w:p>
        </w:tc>
        <w:tc>
          <w:tcPr>
            <w:tcW w:type="dxa" w:w="3685"/>
          </w:tcPr>
          <w:p>
            <w:pPr>
              <w:spacing w:lineRule="exact" w:line="600"/>
              <w:jc w:val="center"/>
            </w:pPr>
            <w:r/>
            <w:r>
              <w:rPr>
                <w:rFonts w:ascii="仿宋_GB2312" w:hAnsi="仿宋_GB2312" w:eastAsia="仿宋_GB2312"/>
                <w:b w:val="0"/>
                <w:color w:val="000000"/>
                <w:sz w:val="32"/>
              </w:rPr>
              <w:t>提升高品质轴承钢供应稳定性</w:t>
            </w:r>
          </w:p>
        </w:tc>
        <w:tc>
          <w:tcPr>
            <w:tcW w:type="dxa" w:w="1701"/>
          </w:tcPr>
          <w:p>
            <w:pPr>
              <w:spacing w:lineRule="exact" w:line="600"/>
              <w:jc w:val="center"/>
            </w:pPr>
            <w:r/>
            <w:r>
              <w:rPr>
                <w:rFonts w:ascii="仿宋_GB2312" w:hAnsi="仿宋_GB2312" w:eastAsia="仿宋_GB2312"/>
                <w:b w:val="0"/>
                <w:color w:val="000000"/>
                <w:sz w:val="32"/>
              </w:rPr>
              <w:t>博研咨询</w:t>
            </w:r>
          </w:p>
        </w:tc>
      </w:tr>
      <w:tr>
        <w:tc>
          <w:tcPr>
            <w:tcW w:type="dxa" w:w="1984"/>
          </w:tcPr>
          <w:p>
            <w:pPr>
              <w:spacing w:lineRule="exact" w:line="600"/>
              <w:jc w:val="center"/>
            </w:pPr>
            <w:r/>
            <w:r>
              <w:rPr>
                <w:rFonts w:ascii="仿宋_GB2312" w:hAnsi="仿宋_GB2312" w:eastAsia="仿宋_GB2312"/>
                <w:b w:val="0"/>
                <w:color w:val="000000"/>
                <w:sz w:val="32"/>
              </w:rPr>
              <w:t>山东省特色产业集群</w:t>
            </w:r>
          </w:p>
        </w:tc>
        <w:tc>
          <w:tcPr>
            <w:tcW w:type="dxa" w:w="1134"/>
          </w:tcPr>
          <w:p>
            <w:pPr>
              <w:spacing w:lineRule="exact" w:line="600"/>
              <w:jc w:val="center"/>
            </w:pPr>
            <w:r/>
            <w:r>
              <w:rPr>
                <w:rFonts w:ascii="仿宋_GB2312" w:hAnsi="仿宋_GB2312" w:eastAsia="仿宋_GB2312"/>
                <w:b w:val="0"/>
                <w:color w:val="000000"/>
                <w:sz w:val="32"/>
              </w:rPr>
              <w:t>2021年</w:t>
            </w:r>
          </w:p>
        </w:tc>
        <w:tc>
          <w:tcPr>
            <w:tcW w:type="dxa" w:w="3685"/>
          </w:tcPr>
          <w:p>
            <w:pPr>
              <w:spacing w:lineRule="exact" w:line="600"/>
              <w:jc w:val="center"/>
            </w:pPr>
            <w:r/>
            <w:r>
              <w:rPr>
                <w:rFonts w:ascii="仿宋_GB2312" w:hAnsi="仿宋_GB2312" w:eastAsia="仿宋_GB2312"/>
                <w:b w:val="0"/>
                <w:color w:val="000000"/>
                <w:sz w:val="32"/>
              </w:rPr>
              <w:t>宁阳钢球全产业链</w:t>
            </w:r>
          </w:p>
        </w:tc>
        <w:tc>
          <w:tcPr>
            <w:tcW w:type="dxa" w:w="1701"/>
          </w:tcPr>
          <w:p>
            <w:pPr>
              <w:spacing w:lineRule="exact" w:line="600"/>
              <w:jc w:val="center"/>
            </w:pPr>
            <w:r/>
            <w:r>
              <w:rPr>
                <w:rFonts w:ascii="仿宋_GB2312" w:hAnsi="仿宋_GB2312" w:eastAsia="仿宋_GB2312"/>
                <w:b w:val="0"/>
                <w:color w:val="000000"/>
                <w:sz w:val="32"/>
              </w:rPr>
              <w:t>山东省工信厅</w:t>
            </w:r>
          </w:p>
        </w:tc>
      </w:tr>
      <w:tr>
        <w:tc>
          <w:tcPr>
            <w:tcW w:type="dxa" w:w="1984"/>
          </w:tcPr>
          <w:p>
            <w:pPr>
              <w:spacing w:lineRule="exact" w:line="600"/>
              <w:jc w:val="center"/>
            </w:pPr>
            <w:r/>
            <w:r>
              <w:rPr>
                <w:rFonts w:ascii="仿宋_GB2312" w:hAnsi="仿宋_GB2312" w:eastAsia="仿宋_GB2312"/>
                <w:b w:val="0"/>
                <w:color w:val="000000"/>
                <w:sz w:val="32"/>
              </w:rPr>
              <w:t>产业大脑试点</w:t>
            </w:r>
          </w:p>
        </w:tc>
        <w:tc>
          <w:tcPr>
            <w:tcW w:type="dxa" w:w="1134"/>
          </w:tcPr>
          <w:p>
            <w:pPr>
              <w:spacing w:lineRule="exact" w:line="600"/>
              <w:jc w:val="center"/>
            </w:pPr>
            <w:r/>
            <w:r>
              <w:rPr>
                <w:rFonts w:ascii="仿宋_GB2312" w:hAnsi="仿宋_GB2312" w:eastAsia="仿宋_GB2312"/>
                <w:b w:val="0"/>
                <w:color w:val="000000"/>
                <w:sz w:val="32"/>
              </w:rPr>
              <w:t>2024年</w:t>
            </w:r>
          </w:p>
        </w:tc>
        <w:tc>
          <w:tcPr>
            <w:tcW w:type="dxa" w:w="3685"/>
          </w:tcPr>
          <w:p>
            <w:pPr>
              <w:spacing w:lineRule="exact" w:line="600"/>
              <w:jc w:val="center"/>
            </w:pPr>
            <w:r/>
            <w:r>
              <w:rPr>
                <w:rFonts w:ascii="仿宋_GB2312" w:hAnsi="仿宋_GB2312" w:eastAsia="仿宋_GB2312"/>
                <w:b w:val="0"/>
                <w:color w:val="000000"/>
                <w:sz w:val="32"/>
              </w:rPr>
              <w:t>数字化原料集采</w:t>
            </w:r>
          </w:p>
        </w:tc>
        <w:tc>
          <w:tcPr>
            <w:tcW w:type="dxa" w:w="1701"/>
          </w:tcPr>
          <w:p>
            <w:pPr>
              <w:spacing w:lineRule="exact" w:line="600"/>
              <w:jc w:val="center"/>
            </w:pPr>
            <w:r/>
            <w:r>
              <w:rPr>
                <w:rFonts w:ascii="仿宋_GB2312" w:hAnsi="仿宋_GB2312" w:eastAsia="仿宋_GB2312"/>
                <w:b w:val="0"/>
                <w:color w:val="000000"/>
                <w:sz w:val="32"/>
              </w:rPr>
              <w:t>宁阳县政府</w:t>
            </w:r>
          </w:p>
        </w:tc>
      </w:tr>
    </w:tbl>
    <w:p>
      <w:pPr>
        <w:spacing w:lineRule="exact" w:line="600" w:before="120" w:after="120"/>
        <w:ind w:firstLine="420"/>
        <w:jc w:val="left"/>
      </w:pPr>
      <w:r>
        <w:rPr>
          <w:rFonts w:ascii="楷体_GB2312" w:hAnsi="楷体_GB2312" w:eastAsia="楷体_GB2312"/>
          <w:b w:val="0"/>
          <w:color w:val="000000"/>
          <w:sz w:val="32"/>
        </w:rPr>
        <w:t>中国钢球之乡（本批真实数据补充·来源见正文）</w:t>
      </w:r>
    </w:p>
    <w:p>
      <w:pPr>
        <w:spacing w:lineRule="exact" w:line="600" w:before="0" w:after="0"/>
        <w:ind w:firstLine="420"/>
        <w:jc w:val="both"/>
      </w:pPr>
      <w:r>
        <w:rPr>
          <w:rFonts w:ascii="仿宋_GB2312" w:hAnsi="仿宋_GB2312" w:eastAsia="仿宋_GB2312"/>
          <w:b w:val="0"/>
          <w:color w:val="000000"/>
          <w:sz w:val="32"/>
        </w:rPr>
        <w:t>宁阳是“中国钢球之乡”，钢球产业起步于上世纪八十年代，年产碳钢球、轴承钢球、不锈钢球67万吨，产能超过全国的65%，覆盖拔丝、冷镦、硬磨、淬火、光球、精研全产业链。2018年认定为“山东省转型升级示范产业集群”、2021年认定为“山东省特色产业集群”。（来源：中国经济网、中国产业经济信息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钢球年产量</w:t>
            </w:r>
          </w:p>
        </w:tc>
        <w:tc>
          <w:tcPr>
            <w:tcW w:type="dxa" w:w="3118"/>
          </w:tcPr>
          <w:p>
            <w:pPr>
              <w:spacing w:lineRule="exact" w:line="600"/>
              <w:jc w:val="center"/>
            </w:pPr>
            <w:r/>
            <w:r>
              <w:rPr>
                <w:rFonts w:ascii="仿宋_GB2312" w:hAnsi="仿宋_GB2312" w:eastAsia="仿宋_GB2312"/>
                <w:b w:val="0"/>
                <w:color w:val="000000"/>
                <w:sz w:val="32"/>
              </w:rPr>
              <w:t>67万吨</w:t>
            </w:r>
          </w:p>
        </w:tc>
        <w:tc>
          <w:tcPr>
            <w:tcW w:type="dxa" w:w="2551"/>
          </w:tcPr>
          <w:p>
            <w:pPr>
              <w:spacing w:lineRule="exact" w:line="600"/>
              <w:jc w:val="center"/>
            </w:pPr>
            <w:r/>
            <w:r>
              <w:rPr>
                <w:rFonts w:ascii="仿宋_GB2312" w:hAnsi="仿宋_GB2312" w:eastAsia="仿宋_GB2312"/>
                <w:b w:val="0"/>
                <w:color w:val="000000"/>
                <w:sz w:val="32"/>
              </w:rPr>
              <w:t>产能超全国65%</w:t>
            </w:r>
          </w:p>
        </w:tc>
      </w:tr>
      <w:tr>
        <w:tc>
          <w:tcPr>
            <w:tcW w:type="dxa" w:w="2835"/>
          </w:tcPr>
          <w:p>
            <w:pPr>
              <w:spacing w:lineRule="exact" w:line="600"/>
              <w:jc w:val="center"/>
            </w:pPr>
            <w:r/>
            <w:r>
              <w:rPr>
                <w:rFonts w:ascii="仿宋_GB2312" w:hAnsi="仿宋_GB2312" w:eastAsia="仿宋_GB2312"/>
                <w:b w:val="0"/>
                <w:color w:val="000000"/>
                <w:sz w:val="32"/>
              </w:rPr>
              <w:t>产业链</w:t>
            </w:r>
          </w:p>
        </w:tc>
        <w:tc>
          <w:tcPr>
            <w:tcW w:type="dxa" w:w="3118"/>
          </w:tcPr>
          <w:p>
            <w:pPr>
              <w:spacing w:lineRule="exact" w:line="600"/>
              <w:jc w:val="center"/>
            </w:pPr>
            <w:r/>
            <w:r>
              <w:rPr>
                <w:rFonts w:ascii="仿宋_GB2312" w:hAnsi="仿宋_GB2312" w:eastAsia="仿宋_GB2312"/>
                <w:b w:val="0"/>
                <w:color w:val="000000"/>
                <w:sz w:val="32"/>
              </w:rPr>
              <w:t>拔丝到精研16道工序</w:t>
            </w:r>
          </w:p>
        </w:tc>
        <w:tc>
          <w:tcPr>
            <w:tcW w:type="dxa" w:w="2551"/>
          </w:tcPr>
          <w:p>
            <w:pPr>
              <w:spacing w:lineRule="exact" w:line="600"/>
              <w:jc w:val="center"/>
            </w:pPr>
            <w:r/>
            <w:r>
              <w:rPr>
                <w:rFonts w:ascii="仿宋_GB2312" w:hAnsi="仿宋_GB2312" w:eastAsia="仿宋_GB2312"/>
                <w:b w:val="0"/>
                <w:color w:val="000000"/>
                <w:sz w:val="32"/>
              </w:rPr>
              <w:t>全产业链</w:t>
            </w:r>
          </w:p>
        </w:tc>
      </w:tr>
      <w:tr>
        <w:tc>
          <w:tcPr>
            <w:tcW w:type="dxa" w:w="2835"/>
          </w:tcPr>
          <w:p>
            <w:pPr>
              <w:spacing w:lineRule="exact" w:line="600"/>
              <w:jc w:val="center"/>
            </w:pPr>
            <w:r/>
            <w:r>
              <w:rPr>
                <w:rFonts w:ascii="仿宋_GB2312" w:hAnsi="仿宋_GB2312" w:eastAsia="仿宋_GB2312"/>
                <w:b w:val="0"/>
                <w:color w:val="000000"/>
                <w:sz w:val="32"/>
              </w:rPr>
              <w:t>集群认定</w:t>
            </w:r>
          </w:p>
        </w:tc>
        <w:tc>
          <w:tcPr>
            <w:tcW w:type="dxa" w:w="3118"/>
          </w:tcPr>
          <w:p>
            <w:pPr>
              <w:spacing w:lineRule="exact" w:line="600"/>
              <w:jc w:val="center"/>
            </w:pPr>
            <w:r/>
            <w:r>
              <w:rPr>
                <w:rFonts w:ascii="仿宋_GB2312" w:hAnsi="仿宋_GB2312" w:eastAsia="仿宋_GB2312"/>
                <w:b w:val="0"/>
                <w:color w:val="000000"/>
                <w:sz w:val="32"/>
              </w:rPr>
              <w:t>省示范(2018)/省特色(2021)</w:t>
            </w:r>
          </w:p>
        </w:tc>
        <w:tc>
          <w:tcPr>
            <w:tcW w:type="dxa" w:w="2551"/>
          </w:tcPr>
          <w:p>
            <w:pPr>
              <w:spacing w:lineRule="exact" w:line="600"/>
              <w:jc w:val="center"/>
            </w:pPr>
            <w:r/>
            <w:r>
              <w:rPr>
                <w:rFonts w:ascii="仿宋_GB2312" w:hAnsi="仿宋_GB2312" w:eastAsia="仿宋_GB2312"/>
                <w:b w:val="0"/>
                <w:color w:val="000000"/>
                <w:sz w:val="32"/>
              </w:rPr>
              <w:t>宁阳</w:t>
            </w:r>
          </w:p>
        </w:tc>
      </w:tr>
      <w:tr>
        <w:tc>
          <w:tcPr>
            <w:tcW w:type="dxa" w:w="2835"/>
          </w:tcPr>
          <w:p>
            <w:pPr>
              <w:spacing w:lineRule="exact" w:line="600"/>
              <w:jc w:val="center"/>
            </w:pPr>
            <w:r/>
            <w:r>
              <w:rPr>
                <w:rFonts w:ascii="仿宋_GB2312" w:hAnsi="仿宋_GB2312" w:eastAsia="仿宋_GB2312"/>
                <w:b w:val="0"/>
                <w:color w:val="000000"/>
                <w:sz w:val="32"/>
              </w:rPr>
              <w:t>产业地位</w:t>
            </w:r>
          </w:p>
        </w:tc>
        <w:tc>
          <w:tcPr>
            <w:tcW w:type="dxa" w:w="3118"/>
          </w:tcPr>
          <w:p>
            <w:pPr>
              <w:spacing w:lineRule="exact" w:line="600"/>
              <w:jc w:val="center"/>
            </w:pPr>
            <w:r/>
            <w:r>
              <w:rPr>
                <w:rFonts w:ascii="仿宋_GB2312" w:hAnsi="仿宋_GB2312" w:eastAsia="仿宋_GB2312"/>
                <w:b w:val="0"/>
                <w:color w:val="000000"/>
                <w:sz w:val="32"/>
              </w:rPr>
              <w:t>中国钢球之乡</w:t>
            </w:r>
          </w:p>
        </w:tc>
        <w:tc>
          <w:tcPr>
            <w:tcW w:type="dxa" w:w="2551"/>
          </w:tcPr>
          <w:p>
            <w:pPr>
              <w:spacing w:lineRule="exact" w:line="600"/>
              <w:jc w:val="center"/>
            </w:pPr>
            <w:r/>
            <w:r>
              <w:rPr>
                <w:rFonts w:ascii="仿宋_GB2312" w:hAnsi="仿宋_GB2312" w:eastAsia="仿宋_GB2312"/>
                <w:b w:val="0"/>
                <w:color w:val="000000"/>
                <w:sz w:val="32"/>
              </w:rPr>
              <w:t>县域特色</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（一）轴承钢冶炼与供应</w:t>
      </w:r>
    </w:p>
    <w:p>
      <w:pPr>
        <w:spacing w:lineRule="exact" w:line="600" w:before="0" w:after="0"/>
        <w:ind w:firstLine="420"/>
        <w:jc w:val="both"/>
      </w:pPr>
      <w:r>
        <w:rPr>
          <w:rFonts w:ascii="仿宋_GB2312" w:hAnsi="仿宋_GB2312" w:eastAsia="仿宋_GB2312"/>
          <w:b w:val="0"/>
          <w:color w:val="000000"/>
          <w:sz w:val="32"/>
        </w:rPr>
        <w:t>国内轴承钢主要由中信特钢（兴澄特钢）、东北特钢、本钢、南钢等企业供应，2023年中国轴承钢产量约700万吨（来源：博研咨询《中国滚动轴承钢球行业市场前景预测》）。高品质轴承钢供应随钢铁行业结构调整逐步稳定，为滚动轴承钢球提供约210万吨/年的原料基础。</w:t>
      </w:r>
    </w:p>
    <w:p>
      <w:pPr>
        <w:spacing w:lineRule="exact" w:line="600" w:before="120" w:after="120"/>
        <w:ind w:firstLine="420"/>
        <w:jc w:val="left"/>
      </w:pPr>
      <w:r>
        <w:rPr>
          <w:rFonts w:ascii="楷体_GB2312" w:hAnsi="楷体_GB2312" w:eastAsia="楷体_GB2312"/>
          <w:b w:val="0"/>
          <w:color w:val="000000"/>
          <w:sz w:val="32"/>
        </w:rPr>
        <w:t>（二）钢丝改制与球化退火</w:t>
      </w:r>
    </w:p>
    <w:p>
      <w:pPr>
        <w:spacing w:lineRule="exact" w:line="600" w:before="0" w:after="0"/>
        <w:ind w:firstLine="420"/>
        <w:jc w:val="both"/>
      </w:pPr>
      <w:r>
        <w:rPr>
          <w:rFonts w:ascii="仿宋_GB2312" w:hAnsi="仿宋_GB2312" w:eastAsia="仿宋_GB2312"/>
          <w:b w:val="0"/>
          <w:color w:val="000000"/>
          <w:sz w:val="32"/>
        </w:rPr>
        <w:t>钢球用原料需经拔丝、球化退火等改制工序。辰信轴承科技建成30万吨钢丝罩式球化炉生产线，为全国最大的滚动体原材料智能化生产线，将外购轴承钢线材改制为合格球化钢丝直供下游（来源：山东省装备制造业协会/辰信官网）。该环节是宁阳由「买钢丝做球」向「自己改制供料」转型的核心。</w:t>
      </w:r>
    </w:p>
    <w:p>
      <w:pPr>
        <w:spacing w:lineRule="exact" w:line="600" w:before="120" w:after="120"/>
        <w:ind w:firstLine="420"/>
        <w:jc w:val="left"/>
      </w:pPr>
      <w:r>
        <w:rPr>
          <w:rFonts w:ascii="楷体_GB2312" w:hAnsi="楷体_GB2312" w:eastAsia="楷体_GB2312"/>
          <w:b w:val="0"/>
          <w:color w:val="000000"/>
          <w:sz w:val="32"/>
        </w:rPr>
        <w:t>（三）改制料向下游钢球厂配送</w:t>
      </w:r>
    </w:p>
    <w:p>
      <w:pPr>
        <w:spacing w:lineRule="exact" w:line="600" w:before="0" w:after="0"/>
        <w:ind w:firstLine="420"/>
        <w:jc w:val="both"/>
      </w:pPr>
      <w:r>
        <w:rPr>
          <w:rFonts w:ascii="仿宋_GB2312" w:hAnsi="仿宋_GB2312" w:eastAsia="仿宋_GB2312"/>
          <w:b w:val="0"/>
          <w:color w:val="000000"/>
          <w:sz w:val="32"/>
        </w:rPr>
        <w:t>辰信项目全面达产后可形成30万吨钢球钢丝原材料改制产能，依托「云联钢球」产业大脑与物流体系，实现原料直接供应到下游320余家钢球企业厂门口，缩短供应链、降低运输与周转成本（来源：宁阳县政府/经济日报）。</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417"/>
          </w:tcPr>
          <w:p>
            <w:pPr>
              <w:spacing w:lineRule="exact" w:line="600"/>
              <w:jc w:val="center"/>
            </w:pPr>
            <w:r/>
            <w:r>
              <w:rPr>
                <w:rFonts w:ascii="黑体" w:hAnsi="黑体" w:eastAsia="黑体"/>
                <w:b/>
                <w:color w:val="000000"/>
                <w:sz w:val="32"/>
              </w:rPr>
              <w:t>环节</w:t>
            </w:r>
          </w:p>
        </w:tc>
        <w:tc>
          <w:tcPr>
            <w:tcW w:type="dxa" w:w="2835"/>
          </w:tcPr>
          <w:p>
            <w:pPr>
              <w:spacing w:lineRule="exact" w:line="600"/>
              <w:jc w:val="center"/>
            </w:pPr>
            <w:r/>
            <w:r>
              <w:rPr>
                <w:rFonts w:ascii="黑体" w:hAnsi="黑体" w:eastAsia="黑体"/>
                <w:b/>
                <w:color w:val="000000"/>
                <w:sz w:val="32"/>
              </w:rPr>
              <w:t>内容/企业</w:t>
            </w:r>
          </w:p>
        </w:tc>
        <w:tc>
          <w:tcPr>
            <w:tcW w:type="dxa" w:w="2835"/>
          </w:tcPr>
          <w:p>
            <w:pPr>
              <w:spacing w:lineRule="exact" w:line="600"/>
              <w:jc w:val="center"/>
            </w:pPr>
            <w:r/>
            <w:r>
              <w:rPr>
                <w:rFonts w:ascii="黑体" w:hAnsi="黑体" w:eastAsia="黑体"/>
                <w:b/>
                <w:color w:val="000000"/>
                <w:sz w:val="32"/>
              </w:rPr>
              <w:t>规模</w:t>
            </w:r>
          </w:p>
        </w:tc>
        <w:tc>
          <w:tcPr>
            <w:tcW w:type="dxa" w:w="1701"/>
          </w:tcPr>
          <w:p>
            <w:pPr>
              <w:spacing w:lineRule="exact" w:line="600"/>
              <w:jc w:val="center"/>
            </w:pPr>
            <w:r/>
            <w:r>
              <w:rPr>
                <w:rFonts w:ascii="黑体" w:hAnsi="黑体" w:eastAsia="黑体"/>
                <w:b/>
                <w:color w:val="000000"/>
                <w:sz w:val="32"/>
              </w:rPr>
              <w:t>来源</w:t>
            </w:r>
          </w:p>
        </w:tc>
      </w:tr>
      <w:tr>
        <w:tc>
          <w:tcPr>
            <w:tcW w:type="dxa" w:w="1417"/>
          </w:tcPr>
          <w:p>
            <w:pPr>
              <w:spacing w:lineRule="exact" w:line="600"/>
              <w:jc w:val="center"/>
            </w:pPr>
            <w:r/>
            <w:r>
              <w:rPr>
                <w:rFonts w:ascii="仿宋_GB2312" w:hAnsi="仿宋_GB2312" w:eastAsia="仿宋_GB2312"/>
                <w:b w:val="0"/>
                <w:color w:val="000000"/>
                <w:sz w:val="32"/>
              </w:rPr>
              <w:t>冶炼供应</w:t>
            </w:r>
          </w:p>
        </w:tc>
        <w:tc>
          <w:tcPr>
            <w:tcW w:type="dxa" w:w="2835"/>
          </w:tcPr>
          <w:p>
            <w:pPr>
              <w:spacing w:lineRule="exact" w:line="600"/>
              <w:jc w:val="center"/>
            </w:pPr>
            <w:r/>
            <w:r>
              <w:rPr>
                <w:rFonts w:ascii="仿宋_GB2312" w:hAnsi="仿宋_GB2312" w:eastAsia="仿宋_GB2312"/>
                <w:b w:val="0"/>
                <w:color w:val="000000"/>
                <w:sz w:val="32"/>
              </w:rPr>
              <w:t>中信特钢等</w:t>
            </w:r>
          </w:p>
        </w:tc>
        <w:tc>
          <w:tcPr>
            <w:tcW w:type="dxa" w:w="2835"/>
          </w:tcPr>
          <w:p>
            <w:pPr>
              <w:spacing w:lineRule="exact" w:line="600"/>
              <w:jc w:val="center"/>
            </w:pPr>
            <w:r/>
            <w:r>
              <w:rPr>
                <w:rFonts w:ascii="仿宋_GB2312" w:hAnsi="仿宋_GB2312" w:eastAsia="仿宋_GB2312"/>
                <w:b w:val="0"/>
                <w:color w:val="000000"/>
                <w:sz w:val="32"/>
              </w:rPr>
              <w:t>全国轴承钢约700万吨</w:t>
            </w:r>
          </w:p>
        </w:tc>
        <w:tc>
          <w:tcPr>
            <w:tcW w:type="dxa" w:w="1701"/>
          </w:tcPr>
          <w:p>
            <w:pPr>
              <w:spacing w:lineRule="exact" w:line="600"/>
              <w:jc w:val="center"/>
            </w:pPr>
            <w:r/>
            <w:r>
              <w:rPr>
                <w:rFonts w:ascii="仿宋_GB2312" w:hAnsi="仿宋_GB2312" w:eastAsia="仿宋_GB2312"/>
                <w:b w:val="0"/>
                <w:color w:val="000000"/>
                <w:sz w:val="32"/>
              </w:rPr>
              <w:t>博研咨询</w:t>
            </w:r>
          </w:p>
        </w:tc>
      </w:tr>
      <w:tr>
        <w:tc>
          <w:tcPr>
            <w:tcW w:type="dxa" w:w="1417"/>
          </w:tcPr>
          <w:p>
            <w:pPr>
              <w:spacing w:lineRule="exact" w:line="600"/>
              <w:jc w:val="center"/>
            </w:pPr>
            <w:r/>
            <w:r>
              <w:rPr>
                <w:rFonts w:ascii="仿宋_GB2312" w:hAnsi="仿宋_GB2312" w:eastAsia="仿宋_GB2312"/>
                <w:b w:val="0"/>
                <w:color w:val="000000"/>
                <w:sz w:val="32"/>
              </w:rPr>
              <w:t>改制</w:t>
            </w:r>
          </w:p>
        </w:tc>
        <w:tc>
          <w:tcPr>
            <w:tcW w:type="dxa" w:w="2835"/>
          </w:tcPr>
          <w:p>
            <w:pPr>
              <w:spacing w:lineRule="exact" w:line="600"/>
              <w:jc w:val="center"/>
            </w:pPr>
            <w:r/>
            <w:r>
              <w:rPr>
                <w:rFonts w:ascii="仿宋_GB2312" w:hAnsi="仿宋_GB2312" w:eastAsia="仿宋_GB2312"/>
                <w:b w:val="0"/>
                <w:color w:val="000000"/>
                <w:sz w:val="32"/>
              </w:rPr>
              <w:t>辰信30万吨球化炉</w:t>
            </w:r>
          </w:p>
        </w:tc>
        <w:tc>
          <w:tcPr>
            <w:tcW w:type="dxa" w:w="2835"/>
          </w:tcPr>
          <w:p>
            <w:pPr>
              <w:spacing w:lineRule="exact" w:line="600"/>
              <w:jc w:val="center"/>
            </w:pPr>
            <w:r/>
            <w:r>
              <w:rPr>
                <w:rFonts w:ascii="仿宋_GB2312" w:hAnsi="仿宋_GB2312" w:eastAsia="仿宋_GB2312"/>
                <w:b w:val="0"/>
                <w:color w:val="000000"/>
                <w:sz w:val="32"/>
              </w:rPr>
              <w:t>全国最大滚动体原料基地</w:t>
            </w:r>
          </w:p>
        </w:tc>
        <w:tc>
          <w:tcPr>
            <w:tcW w:type="dxa" w:w="1701"/>
          </w:tcPr>
          <w:p>
            <w:pPr>
              <w:spacing w:lineRule="exact" w:line="600"/>
              <w:jc w:val="center"/>
            </w:pPr>
            <w:r/>
            <w:r>
              <w:rPr>
                <w:rFonts w:ascii="仿宋_GB2312" w:hAnsi="仿宋_GB2312" w:eastAsia="仿宋_GB2312"/>
                <w:b w:val="0"/>
                <w:color w:val="000000"/>
                <w:sz w:val="32"/>
              </w:rPr>
              <w:t>省装备协会</w:t>
            </w:r>
          </w:p>
        </w:tc>
      </w:tr>
      <w:tr>
        <w:tc>
          <w:tcPr>
            <w:tcW w:type="dxa" w:w="1417"/>
          </w:tcPr>
          <w:p>
            <w:pPr>
              <w:spacing w:lineRule="exact" w:line="600"/>
              <w:jc w:val="center"/>
            </w:pPr>
            <w:r/>
            <w:r>
              <w:rPr>
                <w:rFonts w:ascii="仿宋_GB2312" w:hAnsi="仿宋_GB2312" w:eastAsia="仿宋_GB2312"/>
                <w:b w:val="0"/>
                <w:color w:val="000000"/>
                <w:sz w:val="32"/>
              </w:rPr>
              <w:t>配送</w:t>
            </w:r>
          </w:p>
        </w:tc>
        <w:tc>
          <w:tcPr>
            <w:tcW w:type="dxa" w:w="2835"/>
          </w:tcPr>
          <w:p>
            <w:pPr>
              <w:spacing w:lineRule="exact" w:line="600"/>
              <w:jc w:val="center"/>
            </w:pPr>
            <w:r/>
            <w:r>
              <w:rPr>
                <w:rFonts w:ascii="仿宋_GB2312" w:hAnsi="仿宋_GB2312" w:eastAsia="仿宋_GB2312"/>
                <w:b w:val="0"/>
                <w:color w:val="000000"/>
                <w:sz w:val="32"/>
              </w:rPr>
              <w:t>云联钢球平台</w:t>
            </w:r>
          </w:p>
        </w:tc>
        <w:tc>
          <w:tcPr>
            <w:tcW w:type="dxa" w:w="2835"/>
          </w:tcPr>
          <w:p>
            <w:pPr>
              <w:spacing w:lineRule="exact" w:line="600"/>
              <w:jc w:val="center"/>
            </w:pPr>
            <w:r/>
            <w:r>
              <w:rPr>
                <w:rFonts w:ascii="仿宋_GB2312" w:hAnsi="仿宋_GB2312" w:eastAsia="仿宋_GB2312"/>
                <w:b w:val="0"/>
                <w:color w:val="000000"/>
                <w:sz w:val="32"/>
              </w:rPr>
              <w:t>直供320余家企业</w:t>
            </w:r>
          </w:p>
        </w:tc>
        <w:tc>
          <w:tcPr>
            <w:tcW w:type="dxa" w:w="1701"/>
          </w:tcPr>
          <w:p>
            <w:pPr>
              <w:spacing w:lineRule="exact" w:line="600"/>
              <w:jc w:val="center"/>
            </w:pPr>
            <w:r/>
            <w:r>
              <w:rPr>
                <w:rFonts w:ascii="仿宋_GB2312" w:hAnsi="仿宋_GB2312" w:eastAsia="仿宋_GB2312"/>
                <w:b w:val="0"/>
                <w:color w:val="000000"/>
                <w:sz w:val="32"/>
              </w:rPr>
              <w:t>宁阳县政府</w:t>
            </w:r>
          </w:p>
        </w:tc>
      </w:tr>
    </w:tbl>
    <w:p>
      <w:pPr>
        <w:spacing w:lineRule="exact" w:line="600" w:before="120" w:after="120"/>
        <w:ind w:firstLine="420"/>
        <w:jc w:val="left"/>
      </w:pPr>
      <w:r>
        <w:rPr>
          <w:rFonts w:ascii="楷体_GB2312" w:hAnsi="楷体_GB2312" w:eastAsia="楷体_GB2312"/>
          <w:b w:val="0"/>
          <w:color w:val="000000"/>
          <w:sz w:val="32"/>
        </w:rPr>
        <w:t>龙头整合数字总部（本批真实数据补充·来源见正文）</w:t>
      </w:r>
    </w:p>
    <w:p>
      <w:pPr>
        <w:spacing w:lineRule="exact" w:line="600" w:before="0" w:after="0"/>
        <w:ind w:firstLine="420"/>
        <w:jc w:val="both"/>
      </w:pPr>
      <w:r>
        <w:rPr>
          <w:rFonts w:ascii="仿宋_GB2312" w:hAnsi="仿宋_GB2312" w:eastAsia="仿宋_GB2312"/>
          <w:b w:val="0"/>
          <w:color w:val="000000"/>
          <w:sz w:val="32"/>
        </w:rPr>
        <w:t>宁阳钢球产业已建立从拔丝到精研的完整产品生产链条，整合周边及县内320余家钢球生产企业，打造钢球数字经济总部；辰信轴承科技建设基础零部件绿色智能智造示范项目，依托洛阳轴承研究所技术支撑，推动产业向高端化、数字化、集群化迈进。（来源：中国经济网、同花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环节/企业</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钢球生产企业</w:t>
            </w:r>
          </w:p>
        </w:tc>
        <w:tc>
          <w:tcPr>
            <w:tcW w:type="dxa" w:w="2835"/>
          </w:tcPr>
          <w:p>
            <w:pPr>
              <w:spacing w:lineRule="exact" w:line="600"/>
              <w:jc w:val="center"/>
            </w:pPr>
            <w:r/>
            <w:r>
              <w:rPr>
                <w:rFonts w:ascii="仿宋_GB2312" w:hAnsi="仿宋_GB2312" w:eastAsia="仿宋_GB2312"/>
                <w:b w:val="0"/>
                <w:color w:val="000000"/>
                <w:sz w:val="32"/>
              </w:rPr>
              <w:t>320余家</w:t>
            </w:r>
          </w:p>
        </w:tc>
        <w:tc>
          <w:tcPr>
            <w:tcW w:type="dxa" w:w="2551"/>
          </w:tcPr>
          <w:p>
            <w:pPr>
              <w:spacing w:lineRule="exact" w:line="600"/>
              <w:jc w:val="center"/>
            </w:pPr>
            <w:r/>
            <w:r>
              <w:rPr>
                <w:rFonts w:ascii="仿宋_GB2312" w:hAnsi="仿宋_GB2312" w:eastAsia="仿宋_GB2312"/>
                <w:b w:val="0"/>
                <w:color w:val="000000"/>
                <w:sz w:val="32"/>
              </w:rPr>
              <w:t>县内整合</w:t>
            </w:r>
          </w:p>
        </w:tc>
      </w:tr>
      <w:tr>
        <w:tc>
          <w:tcPr>
            <w:tcW w:type="dxa" w:w="3118"/>
          </w:tcPr>
          <w:p>
            <w:pPr>
              <w:spacing w:lineRule="exact" w:line="600"/>
              <w:jc w:val="center"/>
            </w:pPr>
            <w:r/>
            <w:r>
              <w:rPr>
                <w:rFonts w:ascii="仿宋_GB2312" w:hAnsi="仿宋_GB2312" w:eastAsia="仿宋_GB2312"/>
                <w:b w:val="0"/>
                <w:color w:val="000000"/>
                <w:sz w:val="32"/>
              </w:rPr>
              <w:t>龙头</w:t>
            </w:r>
          </w:p>
        </w:tc>
        <w:tc>
          <w:tcPr>
            <w:tcW w:type="dxa" w:w="2835"/>
          </w:tcPr>
          <w:p>
            <w:pPr>
              <w:spacing w:lineRule="exact" w:line="600"/>
              <w:jc w:val="center"/>
            </w:pPr>
            <w:r/>
            <w:r>
              <w:rPr>
                <w:rFonts w:ascii="仿宋_GB2312" w:hAnsi="仿宋_GB2312" w:eastAsia="仿宋_GB2312"/>
                <w:b w:val="0"/>
                <w:color w:val="000000"/>
                <w:sz w:val="32"/>
              </w:rPr>
              <w:t>辰信轴承科技</w:t>
            </w:r>
          </w:p>
        </w:tc>
        <w:tc>
          <w:tcPr>
            <w:tcW w:type="dxa" w:w="2551"/>
          </w:tcPr>
          <w:p>
            <w:pPr>
              <w:spacing w:lineRule="exact" w:line="600"/>
              <w:jc w:val="center"/>
            </w:pPr>
            <w:r/>
            <w:r>
              <w:rPr>
                <w:rFonts w:ascii="仿宋_GB2312" w:hAnsi="仿宋_GB2312" w:eastAsia="仿宋_GB2312"/>
                <w:b w:val="0"/>
                <w:color w:val="000000"/>
                <w:sz w:val="32"/>
              </w:rPr>
              <w:t>绿色智能示范</w:t>
            </w:r>
          </w:p>
        </w:tc>
      </w:tr>
      <w:tr>
        <w:tc>
          <w:tcPr>
            <w:tcW w:type="dxa" w:w="3118"/>
          </w:tcPr>
          <w:p>
            <w:pPr>
              <w:spacing w:lineRule="exact" w:line="600"/>
              <w:jc w:val="center"/>
            </w:pPr>
            <w:r/>
            <w:r>
              <w:rPr>
                <w:rFonts w:ascii="仿宋_GB2312" w:hAnsi="仿宋_GB2312" w:eastAsia="仿宋_GB2312"/>
                <w:b w:val="0"/>
                <w:color w:val="000000"/>
                <w:sz w:val="32"/>
              </w:rPr>
              <w:t>技术支撑</w:t>
            </w:r>
          </w:p>
        </w:tc>
        <w:tc>
          <w:tcPr>
            <w:tcW w:type="dxa" w:w="2835"/>
          </w:tcPr>
          <w:p>
            <w:pPr>
              <w:spacing w:lineRule="exact" w:line="600"/>
              <w:jc w:val="center"/>
            </w:pPr>
            <w:r/>
            <w:r>
              <w:rPr>
                <w:rFonts w:ascii="仿宋_GB2312" w:hAnsi="仿宋_GB2312" w:eastAsia="仿宋_GB2312"/>
                <w:b w:val="0"/>
                <w:color w:val="000000"/>
                <w:sz w:val="32"/>
              </w:rPr>
              <w:t>洛阳轴承研究所</w:t>
            </w:r>
          </w:p>
        </w:tc>
        <w:tc>
          <w:tcPr>
            <w:tcW w:type="dxa" w:w="2551"/>
          </w:tcPr>
          <w:p>
            <w:pPr>
              <w:spacing w:lineRule="exact" w:line="600"/>
              <w:jc w:val="center"/>
            </w:pPr>
            <w:r/>
            <w:r>
              <w:rPr>
                <w:rFonts w:ascii="仿宋_GB2312" w:hAnsi="仿宋_GB2312" w:eastAsia="仿宋_GB2312"/>
                <w:b w:val="0"/>
                <w:color w:val="000000"/>
                <w:sz w:val="32"/>
              </w:rPr>
              <w:t>研发中心</w:t>
            </w:r>
          </w:p>
        </w:tc>
      </w:tr>
      <w:tr>
        <w:tc>
          <w:tcPr>
            <w:tcW w:type="dxa" w:w="3118"/>
          </w:tcPr>
          <w:p>
            <w:pPr>
              <w:spacing w:lineRule="exact" w:line="600"/>
              <w:jc w:val="center"/>
            </w:pPr>
            <w:r/>
            <w:r>
              <w:rPr>
                <w:rFonts w:ascii="仿宋_GB2312" w:hAnsi="仿宋_GB2312" w:eastAsia="仿宋_GB2312"/>
                <w:b w:val="0"/>
                <w:color w:val="000000"/>
                <w:sz w:val="32"/>
              </w:rPr>
              <w:t>载体</w:t>
            </w:r>
          </w:p>
        </w:tc>
        <w:tc>
          <w:tcPr>
            <w:tcW w:type="dxa" w:w="2835"/>
          </w:tcPr>
          <w:p>
            <w:pPr>
              <w:spacing w:lineRule="exact" w:line="600"/>
              <w:jc w:val="center"/>
            </w:pPr>
            <w:r/>
            <w:r>
              <w:rPr>
                <w:rFonts w:ascii="仿宋_GB2312" w:hAnsi="仿宋_GB2312" w:eastAsia="仿宋_GB2312"/>
                <w:b w:val="0"/>
                <w:color w:val="000000"/>
                <w:sz w:val="32"/>
              </w:rPr>
              <w:t>钢球数字经济总部</w:t>
            </w:r>
          </w:p>
        </w:tc>
        <w:tc>
          <w:tcPr>
            <w:tcW w:type="dxa" w:w="2551"/>
          </w:tcPr>
          <w:p>
            <w:pPr>
              <w:spacing w:lineRule="exact" w:line="600"/>
              <w:jc w:val="center"/>
            </w:pPr>
            <w:r/>
            <w:r>
              <w:rPr>
                <w:rFonts w:ascii="仿宋_GB2312" w:hAnsi="仿宋_GB2312" w:eastAsia="仿宋_GB2312"/>
                <w:b w:val="0"/>
                <w:color w:val="000000"/>
                <w:sz w:val="32"/>
              </w:rPr>
              <w:t>云联钢球</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（一）轴承钢总体供需</w:t>
      </w:r>
    </w:p>
    <w:p>
      <w:pPr>
        <w:spacing w:lineRule="exact" w:line="600" w:before="0" w:after="0"/>
        <w:ind w:firstLine="420"/>
        <w:jc w:val="both"/>
      </w:pPr>
      <w:r>
        <w:rPr>
          <w:rFonts w:ascii="仿宋_GB2312" w:hAnsi="仿宋_GB2312" w:eastAsia="仿宋_GB2312"/>
          <w:b w:val="0"/>
          <w:color w:val="000000"/>
          <w:sz w:val="32"/>
        </w:rPr>
        <w:t>2023年中国轴承钢产量约700万吨，用于滚动轴承钢球的约210万吨，占比30%（来源：博研咨询）。随高端钢材生产能力提升，预计2025年用于钢球生产的轴承钢供应更充足、质量更优，支撑钢球质量升级。</w:t>
      </w:r>
    </w:p>
    <w:p>
      <w:pPr>
        <w:spacing w:lineRule="exact" w:line="600" w:before="120" w:after="120"/>
        <w:ind w:firstLine="420"/>
        <w:jc w:val="left"/>
      </w:pPr>
      <w:r>
        <w:rPr>
          <w:rFonts w:ascii="楷体_GB2312" w:hAnsi="楷体_GB2312" w:eastAsia="楷体_GB2312"/>
          <w:b w:val="0"/>
          <w:color w:val="000000"/>
          <w:sz w:val="32"/>
        </w:rPr>
        <w:t>（二）高品质轴承钢缺口</w:t>
      </w:r>
    </w:p>
    <w:p>
      <w:pPr>
        <w:spacing w:lineRule="exact" w:line="600" w:before="0" w:after="0"/>
        <w:ind w:firstLine="420"/>
        <w:jc w:val="both"/>
      </w:pPr>
      <w:r>
        <w:rPr>
          <w:rFonts w:ascii="仿宋_GB2312" w:hAnsi="仿宋_GB2312" w:eastAsia="仿宋_GB2312"/>
          <w:b w:val="0"/>
          <w:color w:val="000000"/>
          <w:sz w:val="32"/>
        </w:rPr>
        <w:t>尽管总量充足，但用于G5—G10级超精钢球的高纯净度轴承钢仍部分依赖进口或头部特钢企业，宁阳中低端碳钢球占比高，对高端轴承钢需求随产品升级而增长（行业共性研判）。这构成本地改制线提升纯净度与一致性的方向。</w:t>
      </w:r>
    </w:p>
    <w:p>
      <w:pPr>
        <w:spacing w:lineRule="exact" w:line="600" w:before="120" w:after="120"/>
        <w:ind w:firstLine="420"/>
        <w:jc w:val="left"/>
      </w:pPr>
      <w:r>
        <w:rPr>
          <w:rFonts w:ascii="楷体_GB2312" w:hAnsi="楷体_GB2312" w:eastAsia="楷体_GB2312"/>
          <w:b w:val="0"/>
          <w:color w:val="000000"/>
          <w:sz w:val="32"/>
        </w:rPr>
        <w:t>（三）宁阳本地需求规模</w:t>
      </w:r>
    </w:p>
    <w:p>
      <w:pPr>
        <w:spacing w:lineRule="exact" w:line="600" w:before="0" w:after="0"/>
        <w:ind w:firstLine="420"/>
        <w:jc w:val="both"/>
      </w:pPr>
      <w:r>
        <w:rPr>
          <w:rFonts w:ascii="仿宋_GB2312" w:hAnsi="仿宋_GB2312" w:eastAsia="仿宋_GB2312"/>
          <w:b w:val="0"/>
          <w:color w:val="000000"/>
          <w:sz w:val="32"/>
        </w:rPr>
        <w:t>宁阳年产钢球67万吨，按钢球成材率与原料单耗估算，年消耗轴承钢/钢丝原料约70万吨量级（行业共性研判，依据67万吨钢球产量倒推），庞大的本地需求使30万吨级改制线具备显著的就地消纳与降本空间。</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指标</w:t>
            </w:r>
          </w:p>
        </w:tc>
        <w:tc>
          <w:tcPr>
            <w:tcW w:type="dxa" w:w="1984"/>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说明</w:t>
            </w:r>
          </w:p>
        </w:tc>
        <w:tc>
          <w:tcPr>
            <w:tcW w:type="dxa" w:w="1701"/>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全国轴承钢产量</w:t>
            </w:r>
          </w:p>
        </w:tc>
        <w:tc>
          <w:tcPr>
            <w:tcW w:type="dxa" w:w="1984"/>
          </w:tcPr>
          <w:p>
            <w:pPr>
              <w:spacing w:lineRule="exact" w:line="600"/>
              <w:jc w:val="center"/>
            </w:pPr>
            <w:r/>
            <w:r>
              <w:rPr>
                <w:rFonts w:ascii="仿宋_GB2312" w:hAnsi="仿宋_GB2312" w:eastAsia="仿宋_GB2312"/>
                <w:b w:val="0"/>
                <w:color w:val="000000"/>
                <w:sz w:val="32"/>
              </w:rPr>
              <w:t>700万吨（2023）</w:t>
            </w:r>
          </w:p>
        </w:tc>
        <w:tc>
          <w:tcPr>
            <w:tcW w:type="dxa" w:w="2835"/>
          </w:tcPr>
          <w:p>
            <w:pPr>
              <w:spacing w:lineRule="exact" w:line="600"/>
              <w:jc w:val="center"/>
            </w:pPr>
            <w:r/>
            <w:r>
              <w:rPr>
                <w:rFonts w:ascii="仿宋_GB2312" w:hAnsi="仿宋_GB2312" w:eastAsia="仿宋_GB2312"/>
                <w:b w:val="0"/>
                <w:color w:val="000000"/>
                <w:sz w:val="32"/>
              </w:rPr>
              <w:t>钢铁行业统计</w:t>
            </w:r>
          </w:p>
        </w:tc>
        <w:tc>
          <w:tcPr>
            <w:tcW w:type="dxa" w:w="1701"/>
          </w:tcPr>
          <w:p>
            <w:pPr>
              <w:spacing w:lineRule="exact" w:line="600"/>
              <w:jc w:val="center"/>
            </w:pPr>
            <w:r/>
            <w:r>
              <w:rPr>
                <w:rFonts w:ascii="仿宋_GB2312" w:hAnsi="仿宋_GB2312" w:eastAsia="仿宋_GB2312"/>
                <w:b w:val="0"/>
                <w:color w:val="000000"/>
                <w:sz w:val="32"/>
              </w:rPr>
              <w:t>博研咨询</w:t>
            </w:r>
          </w:p>
        </w:tc>
      </w:tr>
      <w:tr>
        <w:tc>
          <w:tcPr>
            <w:tcW w:type="dxa" w:w="1701"/>
          </w:tcPr>
          <w:p>
            <w:pPr>
              <w:spacing w:lineRule="exact" w:line="600"/>
              <w:jc w:val="center"/>
            </w:pPr>
            <w:r/>
            <w:r>
              <w:rPr>
                <w:rFonts w:ascii="仿宋_GB2312" w:hAnsi="仿宋_GB2312" w:eastAsia="仿宋_GB2312"/>
                <w:b w:val="0"/>
                <w:color w:val="000000"/>
                <w:sz w:val="32"/>
              </w:rPr>
              <w:t>其中钢球用</w:t>
            </w:r>
          </w:p>
        </w:tc>
        <w:tc>
          <w:tcPr>
            <w:tcW w:type="dxa" w:w="1984"/>
          </w:tcPr>
          <w:p>
            <w:pPr>
              <w:spacing w:lineRule="exact" w:line="600"/>
              <w:jc w:val="center"/>
            </w:pPr>
            <w:r/>
            <w:r>
              <w:rPr>
                <w:rFonts w:ascii="仿宋_GB2312" w:hAnsi="仿宋_GB2312" w:eastAsia="仿宋_GB2312"/>
                <w:b w:val="0"/>
                <w:color w:val="000000"/>
                <w:sz w:val="32"/>
              </w:rPr>
              <w:t>约210万吨</w:t>
            </w:r>
          </w:p>
        </w:tc>
        <w:tc>
          <w:tcPr>
            <w:tcW w:type="dxa" w:w="2835"/>
          </w:tcPr>
          <w:p>
            <w:pPr>
              <w:spacing w:lineRule="exact" w:line="600"/>
              <w:jc w:val="center"/>
            </w:pPr>
            <w:r/>
            <w:r>
              <w:rPr>
                <w:rFonts w:ascii="仿宋_GB2312" w:hAnsi="仿宋_GB2312" w:eastAsia="仿宋_GB2312"/>
                <w:b w:val="0"/>
                <w:color w:val="000000"/>
                <w:sz w:val="32"/>
              </w:rPr>
              <w:t>占比30%</w:t>
            </w:r>
          </w:p>
        </w:tc>
        <w:tc>
          <w:tcPr>
            <w:tcW w:type="dxa" w:w="1701"/>
          </w:tcPr>
          <w:p>
            <w:pPr>
              <w:spacing w:lineRule="exact" w:line="600"/>
              <w:jc w:val="center"/>
            </w:pPr>
            <w:r/>
            <w:r>
              <w:rPr>
                <w:rFonts w:ascii="仿宋_GB2312" w:hAnsi="仿宋_GB2312" w:eastAsia="仿宋_GB2312"/>
                <w:b w:val="0"/>
                <w:color w:val="000000"/>
                <w:sz w:val="32"/>
              </w:rPr>
              <w:t>博研咨询</w:t>
            </w:r>
          </w:p>
        </w:tc>
      </w:tr>
      <w:tr>
        <w:tc>
          <w:tcPr>
            <w:tcW w:type="dxa" w:w="1701"/>
          </w:tcPr>
          <w:p>
            <w:pPr>
              <w:spacing w:lineRule="exact" w:line="600"/>
              <w:jc w:val="center"/>
            </w:pPr>
            <w:r/>
            <w:r>
              <w:rPr>
                <w:rFonts w:ascii="仿宋_GB2312" w:hAnsi="仿宋_GB2312" w:eastAsia="仿宋_GB2312"/>
                <w:b w:val="0"/>
                <w:color w:val="000000"/>
                <w:sz w:val="32"/>
              </w:rPr>
              <w:t>宁阳钢球产量</w:t>
            </w:r>
          </w:p>
        </w:tc>
        <w:tc>
          <w:tcPr>
            <w:tcW w:type="dxa" w:w="1984"/>
          </w:tcPr>
          <w:p>
            <w:pPr>
              <w:spacing w:lineRule="exact" w:line="600"/>
              <w:jc w:val="center"/>
            </w:pPr>
            <w:r/>
            <w:r>
              <w:rPr>
                <w:rFonts w:ascii="仿宋_GB2312" w:hAnsi="仿宋_GB2312" w:eastAsia="仿宋_GB2312"/>
                <w:b w:val="0"/>
                <w:color w:val="000000"/>
                <w:sz w:val="32"/>
              </w:rPr>
              <w:t>67万吨/年</w:t>
            </w:r>
          </w:p>
        </w:tc>
        <w:tc>
          <w:tcPr>
            <w:tcW w:type="dxa" w:w="2835"/>
          </w:tcPr>
          <w:p>
            <w:pPr>
              <w:spacing w:lineRule="exact" w:line="600"/>
              <w:jc w:val="center"/>
            </w:pPr>
            <w:r/>
            <w:r>
              <w:rPr>
                <w:rFonts w:ascii="仿宋_GB2312" w:hAnsi="仿宋_GB2312" w:eastAsia="仿宋_GB2312"/>
                <w:b w:val="0"/>
                <w:color w:val="000000"/>
                <w:sz w:val="32"/>
              </w:rPr>
              <w:t>原料需求约70万吨级</w:t>
            </w:r>
          </w:p>
        </w:tc>
        <w:tc>
          <w:tcPr>
            <w:tcW w:type="dxa" w:w="1701"/>
          </w:tcPr>
          <w:p>
            <w:pPr>
              <w:spacing w:lineRule="exact" w:line="600"/>
              <w:jc w:val="center"/>
            </w:pPr>
            <w:r/>
            <w:r>
              <w:rPr>
                <w:rFonts w:ascii="仿宋_GB2312" w:hAnsi="仿宋_GB2312" w:eastAsia="仿宋_GB2312"/>
                <w:b w:val="0"/>
                <w:color w:val="000000"/>
                <w:sz w:val="32"/>
              </w:rPr>
              <w:t>行业测算</w:t>
            </w:r>
          </w:p>
        </w:tc>
      </w:tr>
      <w:tr>
        <w:tc>
          <w:tcPr>
            <w:tcW w:type="dxa" w:w="1701"/>
          </w:tcPr>
          <w:p>
            <w:pPr>
              <w:spacing w:lineRule="exact" w:line="600"/>
              <w:jc w:val="center"/>
            </w:pPr>
            <w:r/>
            <w:r>
              <w:rPr>
                <w:rFonts w:ascii="仿宋_GB2312" w:hAnsi="仿宋_GB2312" w:eastAsia="仿宋_GB2312"/>
                <w:b w:val="0"/>
                <w:color w:val="000000"/>
                <w:sz w:val="32"/>
              </w:rPr>
              <w:t>本地改制</w:t>
            </w:r>
          </w:p>
        </w:tc>
        <w:tc>
          <w:tcPr>
            <w:tcW w:type="dxa" w:w="1984"/>
          </w:tcPr>
          <w:p>
            <w:pPr>
              <w:spacing w:lineRule="exact" w:line="600"/>
              <w:jc w:val="center"/>
            </w:pPr>
            <w:r/>
            <w:r>
              <w:rPr>
                <w:rFonts w:ascii="仿宋_GB2312" w:hAnsi="仿宋_GB2312" w:eastAsia="仿宋_GB2312"/>
                <w:b w:val="0"/>
                <w:color w:val="000000"/>
                <w:sz w:val="32"/>
              </w:rPr>
              <w:t>30万吨线</w:t>
            </w:r>
          </w:p>
        </w:tc>
        <w:tc>
          <w:tcPr>
            <w:tcW w:type="dxa" w:w="2835"/>
          </w:tcPr>
          <w:p>
            <w:pPr>
              <w:spacing w:lineRule="exact" w:line="600"/>
              <w:jc w:val="center"/>
            </w:pPr>
            <w:r/>
            <w:r>
              <w:rPr>
                <w:rFonts w:ascii="仿宋_GB2312" w:hAnsi="仿宋_GB2312" w:eastAsia="仿宋_GB2312"/>
                <w:b w:val="0"/>
                <w:color w:val="000000"/>
                <w:sz w:val="32"/>
              </w:rPr>
              <w:t>全国最大滚动体原料</w:t>
            </w:r>
          </w:p>
        </w:tc>
        <w:tc>
          <w:tcPr>
            <w:tcW w:type="dxa" w:w="1701"/>
          </w:tcPr>
          <w:p>
            <w:pPr>
              <w:spacing w:lineRule="exact" w:line="600"/>
              <w:jc w:val="center"/>
            </w:pPr>
            <w:r/>
            <w:r>
              <w:rPr>
                <w:rFonts w:ascii="仿宋_GB2312" w:hAnsi="仿宋_GB2312" w:eastAsia="仿宋_GB2312"/>
                <w:b w:val="0"/>
                <w:color w:val="000000"/>
                <w:sz w:val="32"/>
              </w:rPr>
              <w:t>省装备协会</w:t>
            </w:r>
          </w:p>
        </w:tc>
      </w:tr>
    </w:tbl>
    <w:p>
      <w:pPr>
        <w:spacing w:lineRule="exact" w:line="600" w:before="120" w:after="120"/>
        <w:ind w:firstLine="420"/>
        <w:jc w:val="left"/>
      </w:pPr>
      <w:r>
        <w:rPr>
          <w:rFonts w:ascii="楷体_GB2312" w:hAnsi="楷体_GB2312" w:eastAsia="楷体_GB2312"/>
          <w:b w:val="0"/>
          <w:color w:val="000000"/>
          <w:sz w:val="32"/>
        </w:rPr>
        <w:t>产销双增（本批真实数据补充·来源见正文）</w:t>
      </w:r>
    </w:p>
    <w:p>
      <w:pPr>
        <w:spacing w:lineRule="exact" w:line="600" w:before="0" w:after="0"/>
        <w:ind w:firstLine="420"/>
        <w:jc w:val="both"/>
      </w:pPr>
      <w:r>
        <w:rPr>
          <w:rFonts w:ascii="仿宋_GB2312" w:hAnsi="仿宋_GB2312" w:eastAsia="仿宋_GB2312"/>
          <w:b w:val="0"/>
          <w:color w:val="000000"/>
          <w:sz w:val="32"/>
        </w:rPr>
        <w:t>2024年上半年，全县钢球产业实现产值30亿元、同比增长11.1%，钢球产量37万吨、同比增长15.2%；宁阳钢球产品远销美国、日本、欧盟、东南亚等国家和地区，出口率高。辰信基础零部件项目建成国内最大钢球基础材料智能化生产线。（来源：中国经济网、同花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增速</w:t>
            </w:r>
          </w:p>
        </w:tc>
      </w:tr>
      <w:tr>
        <w:tc>
          <w:tcPr>
            <w:tcW w:type="dxa" w:w="3118"/>
          </w:tcPr>
          <w:p>
            <w:pPr>
              <w:spacing w:lineRule="exact" w:line="600"/>
              <w:jc w:val="center"/>
            </w:pPr>
            <w:r/>
            <w:r>
              <w:rPr>
                <w:rFonts w:ascii="仿宋_GB2312" w:hAnsi="仿宋_GB2312" w:eastAsia="仿宋_GB2312"/>
                <w:b w:val="0"/>
                <w:color w:val="000000"/>
                <w:sz w:val="32"/>
              </w:rPr>
              <w:t>上半年产值</w:t>
            </w:r>
          </w:p>
        </w:tc>
        <w:tc>
          <w:tcPr>
            <w:tcW w:type="dxa" w:w="2835"/>
          </w:tcPr>
          <w:p>
            <w:pPr>
              <w:spacing w:lineRule="exact" w:line="600"/>
              <w:jc w:val="center"/>
            </w:pPr>
            <w:r/>
            <w:r>
              <w:rPr>
                <w:rFonts w:ascii="仿宋_GB2312" w:hAnsi="仿宋_GB2312" w:eastAsia="仿宋_GB2312"/>
                <w:b w:val="0"/>
                <w:color w:val="000000"/>
                <w:sz w:val="32"/>
              </w:rPr>
              <w:t>30亿元</w:t>
            </w:r>
          </w:p>
        </w:tc>
        <w:tc>
          <w:tcPr>
            <w:tcW w:type="dxa" w:w="2551"/>
          </w:tcPr>
          <w:p>
            <w:pPr>
              <w:spacing w:lineRule="exact" w:line="600"/>
              <w:jc w:val="center"/>
            </w:pPr>
            <w:r/>
            <w:r>
              <w:rPr>
                <w:rFonts w:ascii="仿宋_GB2312" w:hAnsi="仿宋_GB2312" w:eastAsia="仿宋_GB2312"/>
                <w:b w:val="0"/>
                <w:color w:val="000000"/>
                <w:sz w:val="32"/>
              </w:rPr>
              <w:t>同比+11.1%</w:t>
            </w:r>
          </w:p>
        </w:tc>
      </w:tr>
      <w:tr>
        <w:tc>
          <w:tcPr>
            <w:tcW w:type="dxa" w:w="3118"/>
          </w:tcPr>
          <w:p>
            <w:pPr>
              <w:spacing w:lineRule="exact" w:line="600"/>
              <w:jc w:val="center"/>
            </w:pPr>
            <w:r/>
            <w:r>
              <w:rPr>
                <w:rFonts w:ascii="仿宋_GB2312" w:hAnsi="仿宋_GB2312" w:eastAsia="仿宋_GB2312"/>
                <w:b w:val="0"/>
                <w:color w:val="000000"/>
                <w:sz w:val="32"/>
              </w:rPr>
              <w:t>上半年产量</w:t>
            </w:r>
          </w:p>
        </w:tc>
        <w:tc>
          <w:tcPr>
            <w:tcW w:type="dxa" w:w="2835"/>
          </w:tcPr>
          <w:p>
            <w:pPr>
              <w:spacing w:lineRule="exact" w:line="600"/>
              <w:jc w:val="center"/>
            </w:pPr>
            <w:r/>
            <w:r>
              <w:rPr>
                <w:rFonts w:ascii="仿宋_GB2312" w:hAnsi="仿宋_GB2312" w:eastAsia="仿宋_GB2312"/>
                <w:b w:val="0"/>
                <w:color w:val="000000"/>
                <w:sz w:val="32"/>
              </w:rPr>
              <w:t>37万吨</w:t>
            </w:r>
          </w:p>
        </w:tc>
        <w:tc>
          <w:tcPr>
            <w:tcW w:type="dxa" w:w="2551"/>
          </w:tcPr>
          <w:p>
            <w:pPr>
              <w:spacing w:lineRule="exact" w:line="600"/>
              <w:jc w:val="center"/>
            </w:pPr>
            <w:r/>
            <w:r>
              <w:rPr>
                <w:rFonts w:ascii="仿宋_GB2312" w:hAnsi="仿宋_GB2312" w:eastAsia="仿宋_GB2312"/>
                <w:b w:val="0"/>
                <w:color w:val="000000"/>
                <w:sz w:val="32"/>
              </w:rPr>
              <w:t>同比+15.2%</w:t>
            </w:r>
          </w:p>
        </w:tc>
      </w:tr>
      <w:tr>
        <w:tc>
          <w:tcPr>
            <w:tcW w:type="dxa" w:w="3118"/>
          </w:tcPr>
          <w:p>
            <w:pPr>
              <w:spacing w:lineRule="exact" w:line="600"/>
              <w:jc w:val="center"/>
            </w:pPr>
            <w:r/>
            <w:r>
              <w:rPr>
                <w:rFonts w:ascii="仿宋_GB2312" w:hAnsi="仿宋_GB2312" w:eastAsia="仿宋_GB2312"/>
                <w:b w:val="0"/>
                <w:color w:val="000000"/>
                <w:sz w:val="32"/>
              </w:rPr>
              <w:t>出口</w:t>
            </w:r>
          </w:p>
        </w:tc>
        <w:tc>
          <w:tcPr>
            <w:tcW w:type="dxa" w:w="2835"/>
          </w:tcPr>
          <w:p>
            <w:pPr>
              <w:spacing w:lineRule="exact" w:line="600"/>
              <w:jc w:val="center"/>
            </w:pPr>
            <w:r/>
            <w:r>
              <w:rPr>
                <w:rFonts w:ascii="仿宋_GB2312" w:hAnsi="仿宋_GB2312" w:eastAsia="仿宋_GB2312"/>
                <w:b w:val="0"/>
                <w:color w:val="000000"/>
                <w:sz w:val="32"/>
              </w:rPr>
              <w:t>美日欧盟东南亚等</w:t>
            </w:r>
          </w:p>
        </w:tc>
        <w:tc>
          <w:tcPr>
            <w:tcW w:type="dxa" w:w="2551"/>
          </w:tcPr>
          <w:p>
            <w:pPr>
              <w:spacing w:lineRule="exact" w:line="600"/>
              <w:jc w:val="center"/>
            </w:pPr>
            <w:r/>
            <w:r>
              <w:rPr>
                <w:rFonts w:ascii="仿宋_GB2312" w:hAnsi="仿宋_GB2312" w:eastAsia="仿宋_GB2312"/>
                <w:b w:val="0"/>
                <w:color w:val="000000"/>
                <w:sz w:val="32"/>
              </w:rPr>
              <w:t>出口率高</w:t>
            </w:r>
          </w:p>
        </w:tc>
      </w:tr>
      <w:tr>
        <w:tc>
          <w:tcPr>
            <w:tcW w:type="dxa" w:w="3118"/>
          </w:tcPr>
          <w:p>
            <w:pPr>
              <w:spacing w:lineRule="exact" w:line="600"/>
              <w:jc w:val="center"/>
            </w:pPr>
            <w:r/>
            <w:r>
              <w:rPr>
                <w:rFonts w:ascii="仿宋_GB2312" w:hAnsi="仿宋_GB2312" w:eastAsia="仿宋_GB2312"/>
                <w:b w:val="0"/>
                <w:color w:val="000000"/>
                <w:sz w:val="32"/>
              </w:rPr>
              <w:t>材料线</w:t>
            </w:r>
          </w:p>
        </w:tc>
        <w:tc>
          <w:tcPr>
            <w:tcW w:type="dxa" w:w="2835"/>
          </w:tcPr>
          <w:p>
            <w:pPr>
              <w:spacing w:lineRule="exact" w:line="600"/>
              <w:jc w:val="center"/>
            </w:pPr>
            <w:r/>
            <w:r>
              <w:rPr>
                <w:rFonts w:ascii="仿宋_GB2312" w:hAnsi="仿宋_GB2312" w:eastAsia="仿宋_GB2312"/>
                <w:b w:val="0"/>
                <w:color w:val="000000"/>
                <w:sz w:val="32"/>
              </w:rPr>
              <w:t>国内最大基础材料智能线</w:t>
            </w:r>
          </w:p>
        </w:tc>
        <w:tc>
          <w:tcPr>
            <w:tcW w:type="dxa" w:w="2551"/>
          </w:tcPr>
          <w:p>
            <w:pPr>
              <w:spacing w:lineRule="exact" w:line="600"/>
              <w:jc w:val="center"/>
            </w:pPr>
            <w:r/>
            <w:r>
              <w:rPr>
                <w:rFonts w:ascii="仿宋_GB2312" w:hAnsi="仿宋_GB2312" w:eastAsia="仿宋_GB2312"/>
                <w:b w:val="0"/>
                <w:color w:val="000000"/>
                <w:sz w:val="32"/>
              </w:rPr>
              <w:t>辰信30万吨</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（一）原料环节市场主体</w:t>
      </w:r>
    </w:p>
    <w:p>
      <w:pPr>
        <w:spacing w:lineRule="exact" w:line="600" w:before="0" w:after="0"/>
        <w:ind w:firstLine="420"/>
        <w:jc w:val="both"/>
      </w:pPr>
      <w:r>
        <w:rPr>
          <w:rFonts w:ascii="仿宋_GB2312" w:hAnsi="仿宋_GB2312" w:eastAsia="仿宋_GB2312"/>
          <w:b w:val="0"/>
          <w:color w:val="000000"/>
          <w:sz w:val="32"/>
        </w:rPr>
        <w:t>宁阳钢球用轴承钢市场长期由外地特钢企业供货，本地以贸易商与钢球厂自采为主。辰信轴承科技是首个规模化进入原料改制环节的链主企业，填补本地空白（来源：山东省装备制造业协会）。其余企业多为采购方，缺乏议价主动权。</w:t>
      </w:r>
    </w:p>
    <w:p>
      <w:pPr>
        <w:spacing w:lineRule="exact" w:line="600" w:before="120" w:after="120"/>
        <w:ind w:firstLine="420"/>
        <w:jc w:val="left"/>
      </w:pPr>
      <w:r>
        <w:rPr>
          <w:rFonts w:ascii="楷体_GB2312" w:hAnsi="楷体_GB2312" w:eastAsia="楷体_GB2312"/>
          <w:b w:val="0"/>
          <w:color w:val="000000"/>
          <w:sz w:val="32"/>
        </w:rPr>
        <w:t>（二）链主辰信的改制布局</w:t>
      </w:r>
    </w:p>
    <w:p>
      <w:pPr>
        <w:spacing w:lineRule="exact" w:line="600" w:before="0" w:after="0"/>
        <w:ind w:firstLine="420"/>
        <w:jc w:val="both"/>
      </w:pPr>
      <w:r>
        <w:rPr>
          <w:rFonts w:ascii="仿宋_GB2312" w:hAnsi="仿宋_GB2312" w:eastAsia="仿宋_GB2312"/>
          <w:b w:val="0"/>
          <w:color w:val="000000"/>
          <w:sz w:val="32"/>
        </w:rPr>
        <w:t>辰信基础零部件绿色智能智造示范项目一期投入11亿元，建设30万吨退火改制材料生产线，配备罩式球化炉等先进设备，2024年3月点火运行（来源：辰信官网/宁阳县政府）。项目对标上市公司标准，由洛轴所、中机十院规划设计，打造全国最大滚动体原材料生产基地。</w:t>
      </w:r>
    </w:p>
    <w:p>
      <w:pPr>
        <w:spacing w:lineRule="exact" w:line="600" w:before="120" w:after="120"/>
        <w:ind w:firstLine="420"/>
        <w:jc w:val="left"/>
      </w:pPr>
      <w:r>
        <w:rPr>
          <w:rFonts w:ascii="楷体_GB2312" w:hAnsi="楷体_GB2312" w:eastAsia="楷体_GB2312"/>
          <w:b w:val="0"/>
          <w:color w:val="000000"/>
          <w:sz w:val="32"/>
        </w:rPr>
        <w:t>（三）配套与协同</w:t>
      </w:r>
    </w:p>
    <w:p>
      <w:pPr>
        <w:spacing w:lineRule="exact" w:line="600" w:before="0" w:after="0"/>
        <w:ind w:firstLine="420"/>
        <w:jc w:val="both"/>
      </w:pPr>
      <w:r>
        <w:rPr>
          <w:rFonts w:ascii="仿宋_GB2312" w:hAnsi="仿宋_GB2312" w:eastAsia="仿宋_GB2312"/>
          <w:b w:val="0"/>
          <w:color w:val="000000"/>
          <w:sz w:val="32"/>
        </w:rPr>
        <w:t>改制线带动本地物流、包装、配件、维修等上下游链条补齐，为320余家钢球企业提供稳定原料；云联钢球平台集采代采进一步整合上游采购端（来源：经济日报/宁阳县政府）。</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主体</w:t>
            </w:r>
          </w:p>
        </w:tc>
        <w:tc>
          <w:tcPr>
            <w:tcW w:type="dxa" w:w="1701"/>
          </w:tcPr>
          <w:p>
            <w:pPr>
              <w:spacing w:lineRule="exact" w:line="600"/>
              <w:jc w:val="center"/>
            </w:pPr>
            <w:r/>
            <w:r>
              <w:rPr>
                <w:rFonts w:ascii="黑体" w:hAnsi="黑体" w:eastAsia="黑体"/>
                <w:b/>
                <w:color w:val="000000"/>
                <w:sz w:val="32"/>
              </w:rPr>
              <w:t>角色</w:t>
            </w:r>
          </w:p>
        </w:tc>
        <w:tc>
          <w:tcPr>
            <w:tcW w:type="dxa" w:w="3118"/>
          </w:tcPr>
          <w:p>
            <w:pPr>
              <w:spacing w:lineRule="exact" w:line="600"/>
              <w:jc w:val="center"/>
            </w:pPr>
            <w:r/>
            <w:r>
              <w:rPr>
                <w:rFonts w:ascii="黑体" w:hAnsi="黑体" w:eastAsia="黑体"/>
                <w:b/>
                <w:color w:val="000000"/>
                <w:sz w:val="32"/>
              </w:rPr>
              <w:t>关键数据</w:t>
            </w:r>
          </w:p>
        </w:tc>
        <w:tc>
          <w:tcPr>
            <w:tcW w:type="dxa" w:w="1701"/>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辰信轴承科技</w:t>
            </w:r>
          </w:p>
        </w:tc>
        <w:tc>
          <w:tcPr>
            <w:tcW w:type="dxa" w:w="1701"/>
          </w:tcPr>
          <w:p>
            <w:pPr>
              <w:spacing w:lineRule="exact" w:line="600"/>
              <w:jc w:val="center"/>
            </w:pPr>
            <w:r/>
            <w:r>
              <w:rPr>
                <w:rFonts w:ascii="仿宋_GB2312" w:hAnsi="仿宋_GB2312" w:eastAsia="仿宋_GB2312"/>
                <w:b w:val="0"/>
                <w:color w:val="000000"/>
                <w:sz w:val="32"/>
              </w:rPr>
              <w:t>链主/改制</w:t>
            </w:r>
          </w:p>
        </w:tc>
        <w:tc>
          <w:tcPr>
            <w:tcW w:type="dxa" w:w="3118"/>
          </w:tcPr>
          <w:p>
            <w:pPr>
              <w:spacing w:lineRule="exact" w:line="600"/>
              <w:jc w:val="center"/>
            </w:pPr>
            <w:r/>
            <w:r>
              <w:rPr>
                <w:rFonts w:ascii="仿宋_GB2312" w:hAnsi="仿宋_GB2312" w:eastAsia="仿宋_GB2312"/>
                <w:b w:val="0"/>
                <w:color w:val="000000"/>
                <w:sz w:val="32"/>
              </w:rPr>
              <w:t>30万吨改制、11亿投资</w:t>
            </w:r>
          </w:p>
        </w:tc>
        <w:tc>
          <w:tcPr>
            <w:tcW w:type="dxa" w:w="1701"/>
          </w:tcPr>
          <w:p>
            <w:pPr>
              <w:spacing w:lineRule="exact" w:line="600"/>
              <w:jc w:val="center"/>
            </w:pPr>
            <w:r/>
            <w:r>
              <w:rPr>
                <w:rFonts w:ascii="仿宋_GB2312" w:hAnsi="仿宋_GB2312" w:eastAsia="仿宋_GB2312"/>
                <w:b w:val="0"/>
                <w:color w:val="000000"/>
                <w:sz w:val="32"/>
              </w:rPr>
              <w:t>辰信官网</w:t>
            </w:r>
          </w:p>
        </w:tc>
      </w:tr>
      <w:tr>
        <w:tc>
          <w:tcPr>
            <w:tcW w:type="dxa" w:w="1701"/>
          </w:tcPr>
          <w:p>
            <w:pPr>
              <w:spacing w:lineRule="exact" w:line="600"/>
              <w:jc w:val="center"/>
            </w:pPr>
            <w:r/>
            <w:r>
              <w:rPr>
                <w:rFonts w:ascii="仿宋_GB2312" w:hAnsi="仿宋_GB2312" w:eastAsia="仿宋_GB2312"/>
                <w:b w:val="0"/>
                <w:color w:val="000000"/>
                <w:sz w:val="32"/>
              </w:rPr>
              <w:t>外地特钢</w:t>
            </w:r>
          </w:p>
        </w:tc>
        <w:tc>
          <w:tcPr>
            <w:tcW w:type="dxa" w:w="1701"/>
          </w:tcPr>
          <w:p>
            <w:pPr>
              <w:spacing w:lineRule="exact" w:line="600"/>
              <w:jc w:val="center"/>
            </w:pPr>
            <w:r/>
            <w:r>
              <w:rPr>
                <w:rFonts w:ascii="仿宋_GB2312" w:hAnsi="仿宋_GB2312" w:eastAsia="仿宋_GB2312"/>
                <w:b w:val="0"/>
                <w:color w:val="000000"/>
                <w:sz w:val="32"/>
              </w:rPr>
              <w:t>供应商</w:t>
            </w:r>
          </w:p>
        </w:tc>
        <w:tc>
          <w:tcPr>
            <w:tcW w:type="dxa" w:w="3118"/>
          </w:tcPr>
          <w:p>
            <w:pPr>
              <w:spacing w:lineRule="exact" w:line="600"/>
              <w:jc w:val="center"/>
            </w:pPr>
            <w:r/>
            <w:r>
              <w:rPr>
                <w:rFonts w:ascii="仿宋_GB2312" w:hAnsi="仿宋_GB2312" w:eastAsia="仿宋_GB2312"/>
                <w:b w:val="0"/>
                <w:color w:val="000000"/>
                <w:sz w:val="32"/>
              </w:rPr>
              <w:t>中信特钢等</w:t>
            </w:r>
          </w:p>
        </w:tc>
        <w:tc>
          <w:tcPr>
            <w:tcW w:type="dxa" w:w="1701"/>
          </w:tcPr>
          <w:p>
            <w:pPr>
              <w:spacing w:lineRule="exact" w:line="600"/>
              <w:jc w:val="center"/>
            </w:pPr>
            <w:r/>
            <w:r>
              <w:rPr>
                <w:rFonts w:ascii="仿宋_GB2312" w:hAnsi="仿宋_GB2312" w:eastAsia="仿宋_GB2312"/>
                <w:b w:val="0"/>
                <w:color w:val="000000"/>
                <w:sz w:val="32"/>
              </w:rPr>
              <w:t>博研咨询</w:t>
            </w:r>
          </w:p>
        </w:tc>
      </w:tr>
      <w:tr>
        <w:tc>
          <w:tcPr>
            <w:tcW w:type="dxa" w:w="1701"/>
          </w:tcPr>
          <w:p>
            <w:pPr>
              <w:spacing w:lineRule="exact" w:line="600"/>
              <w:jc w:val="center"/>
            </w:pPr>
            <w:r/>
            <w:r>
              <w:rPr>
                <w:rFonts w:ascii="仿宋_GB2312" w:hAnsi="仿宋_GB2312" w:eastAsia="仿宋_GB2312"/>
                <w:b w:val="0"/>
                <w:color w:val="000000"/>
                <w:sz w:val="32"/>
              </w:rPr>
              <w:t>云联钢球</w:t>
            </w:r>
          </w:p>
        </w:tc>
        <w:tc>
          <w:tcPr>
            <w:tcW w:type="dxa" w:w="1701"/>
          </w:tcPr>
          <w:p>
            <w:pPr>
              <w:spacing w:lineRule="exact" w:line="600"/>
              <w:jc w:val="center"/>
            </w:pPr>
            <w:r/>
            <w:r>
              <w:rPr>
                <w:rFonts w:ascii="仿宋_GB2312" w:hAnsi="仿宋_GB2312" w:eastAsia="仿宋_GB2312"/>
                <w:b w:val="0"/>
                <w:color w:val="000000"/>
                <w:sz w:val="32"/>
              </w:rPr>
              <w:t>集采平台</w:t>
            </w:r>
          </w:p>
        </w:tc>
        <w:tc>
          <w:tcPr>
            <w:tcW w:type="dxa" w:w="3118"/>
          </w:tcPr>
          <w:p>
            <w:pPr>
              <w:spacing w:lineRule="exact" w:line="600"/>
              <w:jc w:val="center"/>
            </w:pPr>
            <w:r/>
            <w:r>
              <w:rPr>
                <w:rFonts w:ascii="仿宋_GB2312" w:hAnsi="仿宋_GB2312" w:eastAsia="仿宋_GB2312"/>
                <w:b w:val="0"/>
                <w:color w:val="000000"/>
                <w:sz w:val="32"/>
              </w:rPr>
              <w:t>入驻12家金融机构</w:t>
            </w:r>
          </w:p>
        </w:tc>
        <w:tc>
          <w:tcPr>
            <w:tcW w:type="dxa" w:w="1701"/>
          </w:tcPr>
          <w:p>
            <w:pPr>
              <w:spacing w:lineRule="exact" w:line="600"/>
              <w:jc w:val="center"/>
            </w:pPr>
            <w:r/>
            <w:r>
              <w:rPr>
                <w:rFonts w:ascii="仿宋_GB2312" w:hAnsi="仿宋_GB2312" w:eastAsia="仿宋_GB2312"/>
                <w:b w:val="0"/>
                <w:color w:val="000000"/>
                <w:sz w:val="32"/>
              </w:rPr>
              <w:t>经济日报</w:t>
            </w:r>
          </w:p>
        </w:tc>
      </w:tr>
    </w:tbl>
    <w:p>
      <w:pPr>
        <w:spacing w:lineRule="exact" w:line="600" w:before="120" w:after="120"/>
        <w:ind w:firstLine="420"/>
        <w:jc w:val="left"/>
      </w:pPr>
      <w:r>
        <w:rPr>
          <w:rFonts w:ascii="楷体_GB2312" w:hAnsi="楷体_GB2312" w:eastAsia="楷体_GB2312"/>
          <w:b w:val="0"/>
          <w:color w:val="000000"/>
          <w:sz w:val="32"/>
        </w:rPr>
        <w:t>研发检测中枢（本批真实数据补充·来源见正文）</w:t>
      </w:r>
    </w:p>
    <w:p>
      <w:pPr>
        <w:spacing w:lineRule="exact" w:line="600" w:before="0" w:after="0"/>
        <w:ind w:firstLine="420"/>
        <w:jc w:val="both"/>
      </w:pPr>
      <w:r>
        <w:rPr>
          <w:rFonts w:ascii="仿宋_GB2312" w:hAnsi="仿宋_GB2312" w:eastAsia="仿宋_GB2312"/>
          <w:b w:val="0"/>
          <w:color w:val="000000"/>
          <w:sz w:val="32"/>
        </w:rPr>
        <w:t>宁阳以辰信轴承科技为龙头，整合320余家钢球生产企业，与洛阳轴承研究所合作共建国家级钢球及特种材料球技术研发中心和滚动体检验检测中心；建成钢球智能制造工业园区，入选省级示范型数字经济园区。（来源：同花顺、中国经济网）</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主体/平台</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龙头企业</w:t>
            </w:r>
          </w:p>
        </w:tc>
        <w:tc>
          <w:tcPr>
            <w:tcW w:type="dxa" w:w="2835"/>
          </w:tcPr>
          <w:p>
            <w:pPr>
              <w:spacing w:lineRule="exact" w:line="600"/>
              <w:jc w:val="center"/>
            </w:pPr>
            <w:r/>
            <w:r>
              <w:rPr>
                <w:rFonts w:ascii="仿宋_GB2312" w:hAnsi="仿宋_GB2312" w:eastAsia="仿宋_GB2312"/>
                <w:b w:val="0"/>
                <w:color w:val="000000"/>
                <w:sz w:val="32"/>
              </w:rPr>
              <w:t>辰信轴承科技</w:t>
            </w:r>
          </w:p>
        </w:tc>
        <w:tc>
          <w:tcPr>
            <w:tcW w:type="dxa" w:w="2551"/>
          </w:tcPr>
          <w:p>
            <w:pPr>
              <w:spacing w:lineRule="exact" w:line="600"/>
              <w:jc w:val="center"/>
            </w:pPr>
            <w:r/>
            <w:r>
              <w:rPr>
                <w:rFonts w:ascii="仿宋_GB2312" w:hAnsi="仿宋_GB2312" w:eastAsia="仿宋_GB2312"/>
                <w:b w:val="0"/>
                <w:color w:val="000000"/>
                <w:sz w:val="32"/>
              </w:rPr>
              <w:t>驱动整合</w:t>
            </w:r>
          </w:p>
        </w:tc>
      </w:tr>
      <w:tr>
        <w:tc>
          <w:tcPr>
            <w:tcW w:type="dxa" w:w="3118"/>
          </w:tcPr>
          <w:p>
            <w:pPr>
              <w:spacing w:lineRule="exact" w:line="600"/>
              <w:jc w:val="center"/>
            </w:pPr>
            <w:r/>
            <w:r>
              <w:rPr>
                <w:rFonts w:ascii="仿宋_GB2312" w:hAnsi="仿宋_GB2312" w:eastAsia="仿宋_GB2312"/>
                <w:b w:val="0"/>
                <w:color w:val="000000"/>
                <w:sz w:val="32"/>
              </w:rPr>
              <w:t>研发检测</w:t>
            </w:r>
          </w:p>
        </w:tc>
        <w:tc>
          <w:tcPr>
            <w:tcW w:type="dxa" w:w="2835"/>
          </w:tcPr>
          <w:p>
            <w:pPr>
              <w:spacing w:lineRule="exact" w:line="600"/>
              <w:jc w:val="center"/>
            </w:pPr>
            <w:r/>
            <w:r>
              <w:rPr>
                <w:rFonts w:ascii="仿宋_GB2312" w:hAnsi="仿宋_GB2312" w:eastAsia="仿宋_GB2312"/>
                <w:b w:val="0"/>
                <w:color w:val="000000"/>
                <w:sz w:val="32"/>
              </w:rPr>
              <w:t>国家级研发中心/检测中心</w:t>
            </w:r>
          </w:p>
        </w:tc>
        <w:tc>
          <w:tcPr>
            <w:tcW w:type="dxa" w:w="2551"/>
          </w:tcPr>
          <w:p>
            <w:pPr>
              <w:spacing w:lineRule="exact" w:line="600"/>
              <w:jc w:val="center"/>
            </w:pPr>
            <w:r/>
            <w:r>
              <w:rPr>
                <w:rFonts w:ascii="仿宋_GB2312" w:hAnsi="仿宋_GB2312" w:eastAsia="仿宋_GB2312"/>
                <w:b w:val="0"/>
                <w:color w:val="000000"/>
                <w:sz w:val="32"/>
              </w:rPr>
              <w:t>洛阳轴承所</w:t>
            </w:r>
          </w:p>
        </w:tc>
      </w:tr>
      <w:tr>
        <w:tc>
          <w:tcPr>
            <w:tcW w:type="dxa" w:w="3118"/>
          </w:tcPr>
          <w:p>
            <w:pPr>
              <w:spacing w:lineRule="exact" w:line="600"/>
              <w:jc w:val="center"/>
            </w:pPr>
            <w:r/>
            <w:r>
              <w:rPr>
                <w:rFonts w:ascii="仿宋_GB2312" w:hAnsi="仿宋_GB2312" w:eastAsia="仿宋_GB2312"/>
                <w:b w:val="0"/>
                <w:color w:val="000000"/>
                <w:sz w:val="32"/>
              </w:rPr>
              <w:t>智造园区</w:t>
            </w:r>
          </w:p>
        </w:tc>
        <w:tc>
          <w:tcPr>
            <w:tcW w:type="dxa" w:w="2835"/>
          </w:tcPr>
          <w:p>
            <w:pPr>
              <w:spacing w:lineRule="exact" w:line="600"/>
              <w:jc w:val="center"/>
            </w:pPr>
            <w:r/>
            <w:r>
              <w:rPr>
                <w:rFonts w:ascii="仿宋_GB2312" w:hAnsi="仿宋_GB2312" w:eastAsia="仿宋_GB2312"/>
                <w:b w:val="0"/>
                <w:color w:val="000000"/>
                <w:sz w:val="32"/>
              </w:rPr>
              <w:t>省级示范型数字经济园区</w:t>
            </w:r>
          </w:p>
        </w:tc>
        <w:tc>
          <w:tcPr>
            <w:tcW w:type="dxa" w:w="2551"/>
          </w:tcPr>
          <w:p>
            <w:pPr>
              <w:spacing w:lineRule="exact" w:line="600"/>
              <w:jc w:val="center"/>
            </w:pPr>
            <w:r/>
            <w:r>
              <w:rPr>
                <w:rFonts w:ascii="仿宋_GB2312" w:hAnsi="仿宋_GB2312" w:eastAsia="仿宋_GB2312"/>
                <w:b w:val="0"/>
                <w:color w:val="000000"/>
                <w:sz w:val="32"/>
              </w:rPr>
              <w:t>宁阳</w:t>
            </w:r>
          </w:p>
        </w:tc>
      </w:tr>
      <w:tr>
        <w:tc>
          <w:tcPr>
            <w:tcW w:type="dxa" w:w="3118"/>
          </w:tcPr>
          <w:p>
            <w:pPr>
              <w:spacing w:lineRule="exact" w:line="600"/>
              <w:jc w:val="center"/>
            </w:pPr>
            <w:r/>
            <w:r>
              <w:rPr>
                <w:rFonts w:ascii="仿宋_GB2312" w:hAnsi="仿宋_GB2312" w:eastAsia="仿宋_GB2312"/>
                <w:b w:val="0"/>
                <w:color w:val="000000"/>
                <w:sz w:val="32"/>
              </w:rPr>
              <w:t>企业整合</w:t>
            </w:r>
          </w:p>
        </w:tc>
        <w:tc>
          <w:tcPr>
            <w:tcW w:type="dxa" w:w="2835"/>
          </w:tcPr>
          <w:p>
            <w:pPr>
              <w:spacing w:lineRule="exact" w:line="600"/>
              <w:jc w:val="center"/>
            </w:pPr>
            <w:r/>
            <w:r>
              <w:rPr>
                <w:rFonts w:ascii="仿宋_GB2312" w:hAnsi="仿宋_GB2312" w:eastAsia="仿宋_GB2312"/>
                <w:b w:val="0"/>
                <w:color w:val="000000"/>
                <w:sz w:val="32"/>
              </w:rPr>
              <w:t>320余家</w:t>
            </w:r>
          </w:p>
        </w:tc>
        <w:tc>
          <w:tcPr>
            <w:tcW w:type="dxa" w:w="2551"/>
          </w:tcPr>
          <w:p>
            <w:pPr>
              <w:spacing w:lineRule="exact" w:line="600"/>
              <w:jc w:val="center"/>
            </w:pPr>
            <w:r/>
            <w:r>
              <w:rPr>
                <w:rFonts w:ascii="仿宋_GB2312" w:hAnsi="仿宋_GB2312" w:eastAsia="仿宋_GB2312"/>
                <w:b w:val="0"/>
                <w:color w:val="000000"/>
                <w:sz w:val="32"/>
              </w:rPr>
              <w:t>数字总部</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（一）球化退火工艺</w:t>
      </w:r>
    </w:p>
    <w:p>
      <w:pPr>
        <w:spacing w:lineRule="exact" w:line="600" w:before="0" w:after="0"/>
        <w:ind w:firstLine="420"/>
        <w:jc w:val="both"/>
      </w:pPr>
      <w:r>
        <w:rPr>
          <w:rFonts w:ascii="仿宋_GB2312" w:hAnsi="仿宋_GB2312" w:eastAsia="仿宋_GB2312"/>
          <w:b w:val="0"/>
          <w:color w:val="000000"/>
          <w:sz w:val="32"/>
        </w:rPr>
        <w:t>辰信采用国内最先进罩式球化炉生产线，对轴承钢线材进行球化退火，改善切削与冷镦性能，保证后续钢球组织均匀性（来源：山东省装备制造业协会）。该工艺是钢球用轴承钢质量可控的关键节点。</w:t>
      </w:r>
    </w:p>
    <w:p>
      <w:pPr>
        <w:spacing w:lineRule="exact" w:line="600" w:before="120" w:after="120"/>
        <w:ind w:firstLine="420"/>
        <w:jc w:val="left"/>
      </w:pPr>
      <w:r>
        <w:rPr>
          <w:rFonts w:ascii="楷体_GB2312" w:hAnsi="楷体_GB2312" w:eastAsia="楷体_GB2312"/>
          <w:b w:val="0"/>
          <w:color w:val="000000"/>
          <w:sz w:val="32"/>
        </w:rPr>
        <w:t>（二）质量管控与标准</w:t>
      </w:r>
    </w:p>
    <w:p>
      <w:pPr>
        <w:spacing w:lineRule="exact" w:line="600" w:before="0" w:after="0"/>
        <w:ind w:firstLine="420"/>
        <w:jc w:val="both"/>
      </w:pPr>
      <w:r>
        <w:rPr>
          <w:rFonts w:ascii="仿宋_GB2312" w:hAnsi="仿宋_GB2312" w:eastAsia="仿宋_GB2312"/>
          <w:b w:val="0"/>
          <w:color w:val="000000"/>
          <w:sz w:val="32"/>
        </w:rPr>
        <w:t>辰信建设检验检测中心，对改制料实施全流程质控，依托洛轴所工艺优势与中机十院设计经验优化品控体系（来源：辰信官网/省装备协会）。在钢球用轴承钢领域，提升非金属夹杂物控制与碳化物均匀度是技术攻坚重点。</w:t>
      </w:r>
    </w:p>
    <w:p>
      <w:pPr>
        <w:spacing w:lineRule="exact" w:line="600" w:before="120" w:after="120"/>
        <w:ind w:firstLine="420"/>
        <w:jc w:val="left"/>
      </w:pPr>
      <w:r>
        <w:rPr>
          <w:rFonts w:ascii="楷体_GB2312" w:hAnsi="楷体_GB2312" w:eastAsia="楷体_GB2312"/>
          <w:b w:val="0"/>
          <w:color w:val="000000"/>
          <w:sz w:val="32"/>
        </w:rPr>
        <w:t>（三）绿色低碳改制</w:t>
      </w:r>
    </w:p>
    <w:p>
      <w:pPr>
        <w:spacing w:lineRule="exact" w:line="600" w:before="0" w:after="0"/>
        <w:ind w:firstLine="420"/>
        <w:jc w:val="both"/>
      </w:pPr>
      <w:r>
        <w:rPr>
          <w:rFonts w:ascii="仿宋_GB2312" w:hAnsi="仿宋_GB2312" w:eastAsia="仿宋_GB2312"/>
          <w:b w:val="0"/>
          <w:color w:val="000000"/>
          <w:sz w:val="32"/>
        </w:rPr>
        <w:t>辰信项目配套光伏发电、余热利用等绿色能源（经营范围含太阳能发电、风力发电技术服务），推动钢球原材料改制低碳化（来源：天眼查经营范围/辰信官网）。契合钢铁行业能耗双控与绿色制造导向。</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技术点</w:t>
            </w:r>
          </w:p>
        </w:tc>
        <w:tc>
          <w:tcPr>
            <w:tcW w:type="dxa" w:w="2268"/>
          </w:tcPr>
          <w:p>
            <w:pPr>
              <w:spacing w:lineRule="exact" w:line="600"/>
              <w:jc w:val="center"/>
            </w:pPr>
            <w:r/>
            <w:r>
              <w:rPr>
                <w:rFonts w:ascii="黑体" w:hAnsi="黑体" w:eastAsia="黑体"/>
                <w:b/>
                <w:color w:val="000000"/>
                <w:sz w:val="32"/>
              </w:rPr>
              <w:t>举措</w:t>
            </w:r>
          </w:p>
        </w:tc>
        <w:tc>
          <w:tcPr>
            <w:tcW w:type="dxa" w:w="2551"/>
          </w:tcPr>
          <w:p>
            <w:pPr>
              <w:spacing w:lineRule="exact" w:line="600"/>
              <w:jc w:val="center"/>
            </w:pPr>
            <w:r/>
            <w:r>
              <w:rPr>
                <w:rFonts w:ascii="黑体" w:hAnsi="黑体" w:eastAsia="黑体"/>
                <w:b/>
                <w:color w:val="000000"/>
                <w:sz w:val="32"/>
              </w:rPr>
              <w:t>成效</w:t>
            </w:r>
          </w:p>
        </w:tc>
        <w:tc>
          <w:tcPr>
            <w:tcW w:type="dxa" w:w="1984"/>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球化退火</w:t>
            </w:r>
          </w:p>
        </w:tc>
        <w:tc>
          <w:tcPr>
            <w:tcW w:type="dxa" w:w="2268"/>
          </w:tcPr>
          <w:p>
            <w:pPr>
              <w:spacing w:lineRule="exact" w:line="600"/>
              <w:jc w:val="center"/>
            </w:pPr>
            <w:r/>
            <w:r>
              <w:rPr>
                <w:rFonts w:ascii="仿宋_GB2312" w:hAnsi="仿宋_GB2312" w:eastAsia="仿宋_GB2312"/>
                <w:b w:val="0"/>
                <w:color w:val="000000"/>
                <w:sz w:val="32"/>
              </w:rPr>
              <w:t>罩式球化炉</w:t>
            </w:r>
          </w:p>
        </w:tc>
        <w:tc>
          <w:tcPr>
            <w:tcW w:type="dxa" w:w="2551"/>
          </w:tcPr>
          <w:p>
            <w:pPr>
              <w:spacing w:lineRule="exact" w:line="600"/>
              <w:jc w:val="center"/>
            </w:pPr>
            <w:r/>
            <w:r>
              <w:rPr>
                <w:rFonts w:ascii="仿宋_GB2312" w:hAnsi="仿宋_GB2312" w:eastAsia="仿宋_GB2312"/>
                <w:b w:val="0"/>
                <w:color w:val="000000"/>
                <w:sz w:val="32"/>
              </w:rPr>
              <w:t>全国最先进线</w:t>
            </w:r>
          </w:p>
        </w:tc>
        <w:tc>
          <w:tcPr>
            <w:tcW w:type="dxa" w:w="1984"/>
          </w:tcPr>
          <w:p>
            <w:pPr>
              <w:spacing w:lineRule="exact" w:line="600"/>
              <w:jc w:val="center"/>
            </w:pPr>
            <w:r/>
            <w:r>
              <w:rPr>
                <w:rFonts w:ascii="仿宋_GB2312" w:hAnsi="仿宋_GB2312" w:eastAsia="仿宋_GB2312"/>
                <w:b w:val="0"/>
                <w:color w:val="000000"/>
                <w:sz w:val="32"/>
              </w:rPr>
              <w:t>省装备协会</w:t>
            </w:r>
          </w:p>
        </w:tc>
      </w:tr>
      <w:tr>
        <w:tc>
          <w:tcPr>
            <w:tcW w:type="dxa" w:w="1701"/>
          </w:tcPr>
          <w:p>
            <w:pPr>
              <w:spacing w:lineRule="exact" w:line="600"/>
              <w:jc w:val="center"/>
            </w:pPr>
            <w:r/>
            <w:r>
              <w:rPr>
                <w:rFonts w:ascii="仿宋_GB2312" w:hAnsi="仿宋_GB2312" w:eastAsia="仿宋_GB2312"/>
                <w:b w:val="0"/>
                <w:color w:val="000000"/>
                <w:sz w:val="32"/>
              </w:rPr>
              <w:t>质控</w:t>
            </w:r>
          </w:p>
        </w:tc>
        <w:tc>
          <w:tcPr>
            <w:tcW w:type="dxa" w:w="2268"/>
          </w:tcPr>
          <w:p>
            <w:pPr>
              <w:spacing w:lineRule="exact" w:line="600"/>
              <w:jc w:val="center"/>
            </w:pPr>
            <w:r/>
            <w:r>
              <w:rPr>
                <w:rFonts w:ascii="仿宋_GB2312" w:hAnsi="仿宋_GB2312" w:eastAsia="仿宋_GB2312"/>
                <w:b w:val="0"/>
                <w:color w:val="000000"/>
                <w:sz w:val="32"/>
              </w:rPr>
              <w:t>检测中心</w:t>
            </w:r>
          </w:p>
        </w:tc>
        <w:tc>
          <w:tcPr>
            <w:tcW w:type="dxa" w:w="2551"/>
          </w:tcPr>
          <w:p>
            <w:pPr>
              <w:spacing w:lineRule="exact" w:line="600"/>
              <w:jc w:val="center"/>
            </w:pPr>
            <w:r/>
            <w:r>
              <w:rPr>
                <w:rFonts w:ascii="仿宋_GB2312" w:hAnsi="仿宋_GB2312" w:eastAsia="仿宋_GB2312"/>
                <w:b w:val="0"/>
                <w:color w:val="000000"/>
                <w:sz w:val="32"/>
              </w:rPr>
              <w:t>全流程品控</w:t>
            </w:r>
          </w:p>
        </w:tc>
        <w:tc>
          <w:tcPr>
            <w:tcW w:type="dxa" w:w="1984"/>
          </w:tcPr>
          <w:p>
            <w:pPr>
              <w:spacing w:lineRule="exact" w:line="600"/>
              <w:jc w:val="center"/>
            </w:pPr>
            <w:r/>
            <w:r>
              <w:rPr>
                <w:rFonts w:ascii="仿宋_GB2312" w:hAnsi="仿宋_GB2312" w:eastAsia="仿宋_GB2312"/>
                <w:b w:val="0"/>
                <w:color w:val="000000"/>
                <w:sz w:val="32"/>
              </w:rPr>
              <w:t>辰信官网</w:t>
            </w:r>
          </w:p>
        </w:tc>
      </w:tr>
      <w:tr>
        <w:tc>
          <w:tcPr>
            <w:tcW w:type="dxa" w:w="1701"/>
          </w:tcPr>
          <w:p>
            <w:pPr>
              <w:spacing w:lineRule="exact" w:line="600"/>
              <w:jc w:val="center"/>
            </w:pPr>
            <w:r/>
            <w:r>
              <w:rPr>
                <w:rFonts w:ascii="仿宋_GB2312" w:hAnsi="仿宋_GB2312" w:eastAsia="仿宋_GB2312"/>
                <w:b w:val="0"/>
                <w:color w:val="000000"/>
                <w:sz w:val="32"/>
              </w:rPr>
              <w:t>绿色</w:t>
            </w:r>
          </w:p>
        </w:tc>
        <w:tc>
          <w:tcPr>
            <w:tcW w:type="dxa" w:w="2268"/>
          </w:tcPr>
          <w:p>
            <w:pPr>
              <w:spacing w:lineRule="exact" w:line="600"/>
              <w:jc w:val="center"/>
            </w:pPr>
            <w:r/>
            <w:r>
              <w:rPr>
                <w:rFonts w:ascii="仿宋_GB2312" w:hAnsi="仿宋_GB2312" w:eastAsia="仿宋_GB2312"/>
                <w:b w:val="0"/>
                <w:color w:val="000000"/>
                <w:sz w:val="32"/>
              </w:rPr>
              <w:t>光伏/余热</w:t>
            </w:r>
          </w:p>
        </w:tc>
        <w:tc>
          <w:tcPr>
            <w:tcW w:type="dxa" w:w="2551"/>
          </w:tcPr>
          <w:p>
            <w:pPr>
              <w:spacing w:lineRule="exact" w:line="600"/>
              <w:jc w:val="center"/>
            </w:pPr>
            <w:r/>
            <w:r>
              <w:rPr>
                <w:rFonts w:ascii="仿宋_GB2312" w:hAnsi="仿宋_GB2312" w:eastAsia="仿宋_GB2312"/>
                <w:b w:val="0"/>
                <w:color w:val="000000"/>
                <w:sz w:val="32"/>
              </w:rPr>
              <w:t>低碳改制</w:t>
            </w:r>
          </w:p>
        </w:tc>
        <w:tc>
          <w:tcPr>
            <w:tcW w:type="dxa" w:w="1984"/>
          </w:tcPr>
          <w:p>
            <w:pPr>
              <w:spacing w:lineRule="exact" w:line="600"/>
              <w:jc w:val="center"/>
            </w:pPr>
            <w:r/>
            <w:r>
              <w:rPr>
                <w:rFonts w:ascii="仿宋_GB2312" w:hAnsi="仿宋_GB2312" w:eastAsia="仿宋_GB2312"/>
                <w:b w:val="0"/>
                <w:color w:val="000000"/>
                <w:sz w:val="32"/>
              </w:rPr>
              <w:t>天眼查</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（一）原料成本结构</w:t>
      </w:r>
    </w:p>
    <w:p>
      <w:pPr>
        <w:spacing w:lineRule="exact" w:line="600" w:before="0" w:after="0"/>
        <w:ind w:firstLine="420"/>
        <w:jc w:val="both"/>
      </w:pPr>
      <w:r>
        <w:rPr>
          <w:rFonts w:ascii="仿宋_GB2312" w:hAnsi="仿宋_GB2312" w:eastAsia="仿宋_GB2312"/>
          <w:b w:val="0"/>
          <w:color w:val="000000"/>
          <w:sz w:val="32"/>
        </w:rPr>
        <w:t>轴承钢/钢丝占钢球制造成本约50%—60%，是钢球企业最大成本项（行业共性研判）。云联钢球集采使宁阳钢球企业采购成本平均下降约9%，直接改善毛利（来源：经济日报）。本地30万吨改制线投产后，预计进一步降低运输与周转成本。</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改制环节需稳定蒸汽、电力与用地。专班协调解决辰信项目蒸汽供应、用地占压文物等问题（来源：宁阳县政府）。项目占地162.96亩，配置绿色能源，要素保障总体到位。</w:t>
      </w:r>
    </w:p>
    <w:p>
      <w:pPr>
        <w:spacing w:lineRule="exact" w:line="600" w:before="120" w:after="120"/>
        <w:ind w:firstLine="420"/>
        <w:jc w:val="left"/>
      </w:pPr>
      <w:r>
        <w:rPr>
          <w:rFonts w:ascii="楷体_GB2312" w:hAnsi="楷体_GB2312" w:eastAsia="楷体_GB2312"/>
          <w:b w:val="0"/>
          <w:color w:val="000000"/>
          <w:sz w:val="32"/>
        </w:rPr>
        <w:t>（三）盈利模式</w:t>
      </w:r>
    </w:p>
    <w:p>
      <w:pPr>
        <w:spacing w:lineRule="exact" w:line="600" w:before="0" w:after="0"/>
        <w:ind w:firstLine="420"/>
        <w:jc w:val="both"/>
      </w:pPr>
      <w:r>
        <w:rPr>
          <w:rFonts w:ascii="仿宋_GB2312" w:hAnsi="仿宋_GB2312" w:eastAsia="仿宋_GB2312"/>
          <w:b w:val="0"/>
          <w:color w:val="000000"/>
          <w:sz w:val="32"/>
        </w:rPr>
        <w:t>改制环节以加工费+原料贸易差为主要盈利来源，规模化后单位成本下降。对比外购成品钢丝，本地改制可捕获部分上游利润，提升产业链整体附加值（行业共性研判）。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指标</w:t>
            </w:r>
          </w:p>
        </w:tc>
        <w:tc>
          <w:tcPr>
            <w:tcW w:type="dxa" w:w="3402"/>
          </w:tcPr>
          <w:p>
            <w:pPr>
              <w:spacing w:lineRule="exact" w:line="600"/>
              <w:jc w:val="center"/>
            </w:pPr>
            <w:r/>
            <w:r>
              <w:rPr>
                <w:rFonts w:ascii="黑体" w:hAnsi="黑体" w:eastAsia="黑体"/>
                <w:b/>
                <w:color w:val="000000"/>
                <w:sz w:val="32"/>
              </w:rPr>
              <w:t>数值/判断</w:t>
            </w:r>
          </w:p>
        </w:tc>
        <w:tc>
          <w:tcPr>
            <w:tcW w:type="dxa" w:w="3118"/>
          </w:tcPr>
          <w:p>
            <w:pPr>
              <w:spacing w:lineRule="exact" w:line="600"/>
              <w:jc w:val="center"/>
            </w:pPr>
            <w:r/>
            <w:r>
              <w:rPr>
                <w:rFonts w:ascii="黑体" w:hAnsi="黑体" w:eastAsia="黑体"/>
                <w:b/>
                <w:color w:val="000000"/>
                <w:sz w:val="32"/>
              </w:rPr>
              <w:t>来源</w:t>
            </w:r>
          </w:p>
        </w:tc>
      </w:tr>
      <w:tr>
        <w:tc>
          <w:tcPr>
            <w:tcW w:type="dxa" w:w="2268"/>
          </w:tcPr>
          <w:p>
            <w:pPr>
              <w:spacing w:lineRule="exact" w:line="600"/>
              <w:jc w:val="center"/>
            </w:pPr>
            <w:r/>
            <w:r>
              <w:rPr>
                <w:rFonts w:ascii="仿宋_GB2312" w:hAnsi="仿宋_GB2312" w:eastAsia="仿宋_GB2312"/>
                <w:b w:val="0"/>
                <w:color w:val="000000"/>
                <w:sz w:val="32"/>
              </w:rPr>
              <w:t>原料占成本比</w:t>
            </w:r>
          </w:p>
        </w:tc>
        <w:tc>
          <w:tcPr>
            <w:tcW w:type="dxa" w:w="3402"/>
          </w:tcPr>
          <w:p>
            <w:pPr>
              <w:spacing w:lineRule="exact" w:line="600"/>
              <w:jc w:val="center"/>
            </w:pPr>
            <w:r/>
            <w:r>
              <w:rPr>
                <w:rFonts w:ascii="仿宋_GB2312" w:hAnsi="仿宋_GB2312" w:eastAsia="仿宋_GB2312"/>
                <w:b w:val="0"/>
                <w:color w:val="000000"/>
                <w:sz w:val="32"/>
              </w:rPr>
              <w:t>约50%-60%</w:t>
            </w:r>
          </w:p>
        </w:tc>
        <w:tc>
          <w:tcPr>
            <w:tcW w:type="dxa" w:w="3118"/>
          </w:tcPr>
          <w:p>
            <w:pPr>
              <w:spacing w:lineRule="exact" w:line="600"/>
              <w:jc w:val="center"/>
            </w:pPr>
            <w:r/>
            <w:r>
              <w:rPr>
                <w:rFonts w:ascii="仿宋_GB2312" w:hAnsi="仿宋_GB2312" w:eastAsia="仿宋_GB2312"/>
                <w:b w:val="0"/>
                <w:color w:val="000000"/>
                <w:sz w:val="32"/>
              </w:rPr>
              <w:t>行业共性研判</w:t>
            </w:r>
          </w:p>
        </w:tc>
      </w:tr>
      <w:tr>
        <w:tc>
          <w:tcPr>
            <w:tcW w:type="dxa" w:w="2268"/>
          </w:tcPr>
          <w:p>
            <w:pPr>
              <w:spacing w:lineRule="exact" w:line="600"/>
              <w:jc w:val="center"/>
            </w:pPr>
            <w:r/>
            <w:r>
              <w:rPr>
                <w:rFonts w:ascii="仿宋_GB2312" w:hAnsi="仿宋_GB2312" w:eastAsia="仿宋_GB2312"/>
                <w:b w:val="0"/>
                <w:color w:val="000000"/>
                <w:sz w:val="32"/>
              </w:rPr>
              <w:t>集采降本</w:t>
            </w:r>
          </w:p>
        </w:tc>
        <w:tc>
          <w:tcPr>
            <w:tcW w:type="dxa" w:w="3402"/>
          </w:tcPr>
          <w:p>
            <w:pPr>
              <w:spacing w:lineRule="exact" w:line="600"/>
              <w:jc w:val="center"/>
            </w:pPr>
            <w:r/>
            <w:r>
              <w:rPr>
                <w:rFonts w:ascii="仿宋_GB2312" w:hAnsi="仿宋_GB2312" w:eastAsia="仿宋_GB2312"/>
                <w:b w:val="0"/>
                <w:color w:val="000000"/>
                <w:sz w:val="32"/>
              </w:rPr>
              <w:t>平均9%</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改制线占地</w:t>
            </w:r>
          </w:p>
        </w:tc>
        <w:tc>
          <w:tcPr>
            <w:tcW w:type="dxa" w:w="3402"/>
          </w:tcPr>
          <w:p>
            <w:pPr>
              <w:spacing w:lineRule="exact" w:line="600"/>
              <w:jc w:val="center"/>
            </w:pPr>
            <w:r/>
            <w:r>
              <w:rPr>
                <w:rFonts w:ascii="仿宋_GB2312" w:hAnsi="仿宋_GB2312" w:eastAsia="仿宋_GB2312"/>
                <w:b w:val="0"/>
                <w:color w:val="000000"/>
                <w:sz w:val="32"/>
              </w:rPr>
              <w:t>162.96亩</w:t>
            </w:r>
          </w:p>
        </w:tc>
        <w:tc>
          <w:tcPr>
            <w:tcW w:type="dxa" w:w="3118"/>
          </w:tcPr>
          <w:p>
            <w:pPr>
              <w:spacing w:lineRule="exact" w:line="600"/>
              <w:jc w:val="center"/>
            </w:pPr>
            <w:r/>
            <w:r>
              <w:rPr>
                <w:rFonts w:ascii="仿宋_GB2312" w:hAnsi="仿宋_GB2312" w:eastAsia="仿宋_GB2312"/>
                <w:b w:val="0"/>
                <w:color w:val="000000"/>
                <w:sz w:val="32"/>
              </w:rPr>
              <w:t>辰信官网</w:t>
            </w:r>
          </w:p>
        </w:tc>
      </w:tr>
    </w:tbl>
    <w:p>
      <w:pPr>
        <w:spacing w:lineRule="exact" w:line="600" w:before="120" w:after="120"/>
        <w:ind w:firstLine="420"/>
        <w:jc w:val="left"/>
      </w:pPr>
      <w:r>
        <w:rPr>
          <w:rFonts w:ascii="楷体_GB2312" w:hAnsi="楷体_GB2312" w:eastAsia="楷体_GB2312"/>
          <w:b w:val="0"/>
          <w:color w:val="000000"/>
          <w:sz w:val="32"/>
        </w:rPr>
        <w:t>产业大脑降本（本批真实数据补充·来源见正文）</w:t>
      </w:r>
    </w:p>
    <w:p>
      <w:pPr>
        <w:spacing w:lineRule="exact" w:line="600" w:before="0" w:after="0"/>
        <w:ind w:firstLine="420"/>
        <w:jc w:val="both"/>
      </w:pPr>
      <w:r>
        <w:rPr>
          <w:rFonts w:ascii="仿宋_GB2312" w:hAnsi="仿宋_GB2312" w:eastAsia="仿宋_GB2312"/>
          <w:b w:val="0"/>
          <w:color w:val="000000"/>
          <w:sz w:val="32"/>
        </w:rPr>
        <w:t>宁阳县投资1500万元建设“钢球产业大脑”，入选山东省2024年度“产业大脑”建设试点，通过大数据、云计算、物联网为产业链赋能；与中信云网合作上线“云联钢球”数字经济总部，已入驻企业91家、金融机构12家，企业采购成本平均下降约9%；AGV智慧物流+WMS智慧仓储每年节约人工及搬运成本600万元。（来源：中国经济网、同花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要素/项目</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效果</w:t>
            </w:r>
          </w:p>
        </w:tc>
      </w:tr>
      <w:tr>
        <w:tc>
          <w:tcPr>
            <w:tcW w:type="dxa" w:w="3118"/>
          </w:tcPr>
          <w:p>
            <w:pPr>
              <w:spacing w:lineRule="exact" w:line="600"/>
              <w:jc w:val="center"/>
            </w:pPr>
            <w:r/>
            <w:r>
              <w:rPr>
                <w:rFonts w:ascii="仿宋_GB2312" w:hAnsi="仿宋_GB2312" w:eastAsia="仿宋_GB2312"/>
                <w:b w:val="0"/>
                <w:color w:val="000000"/>
                <w:sz w:val="32"/>
              </w:rPr>
              <w:t>钢球产业大脑</w:t>
            </w:r>
          </w:p>
        </w:tc>
        <w:tc>
          <w:tcPr>
            <w:tcW w:type="dxa" w:w="2835"/>
          </w:tcPr>
          <w:p>
            <w:pPr>
              <w:spacing w:lineRule="exact" w:line="600"/>
              <w:jc w:val="center"/>
            </w:pPr>
            <w:r/>
            <w:r>
              <w:rPr>
                <w:rFonts w:ascii="仿宋_GB2312" w:hAnsi="仿宋_GB2312" w:eastAsia="仿宋_GB2312"/>
                <w:b w:val="0"/>
                <w:color w:val="000000"/>
                <w:sz w:val="32"/>
              </w:rPr>
              <w:t>投资1500万元</w:t>
            </w:r>
          </w:p>
        </w:tc>
        <w:tc>
          <w:tcPr>
            <w:tcW w:type="dxa" w:w="2551"/>
          </w:tcPr>
          <w:p>
            <w:pPr>
              <w:spacing w:lineRule="exact" w:line="600"/>
              <w:jc w:val="center"/>
            </w:pPr>
            <w:r/>
            <w:r>
              <w:rPr>
                <w:rFonts w:ascii="仿宋_GB2312" w:hAnsi="仿宋_GB2312" w:eastAsia="仿宋_GB2312"/>
                <w:b w:val="0"/>
                <w:color w:val="000000"/>
                <w:sz w:val="32"/>
              </w:rPr>
              <w:t>省2024产业大脑试点</w:t>
            </w:r>
          </w:p>
        </w:tc>
      </w:tr>
      <w:tr>
        <w:tc>
          <w:tcPr>
            <w:tcW w:type="dxa" w:w="3118"/>
          </w:tcPr>
          <w:p>
            <w:pPr>
              <w:spacing w:lineRule="exact" w:line="600"/>
              <w:jc w:val="center"/>
            </w:pPr>
            <w:r/>
            <w:r>
              <w:rPr>
                <w:rFonts w:ascii="仿宋_GB2312" w:hAnsi="仿宋_GB2312" w:eastAsia="仿宋_GB2312"/>
                <w:b w:val="0"/>
                <w:color w:val="000000"/>
                <w:sz w:val="32"/>
              </w:rPr>
              <w:t>云联钢球</w:t>
            </w:r>
          </w:p>
        </w:tc>
        <w:tc>
          <w:tcPr>
            <w:tcW w:type="dxa" w:w="2835"/>
          </w:tcPr>
          <w:p>
            <w:pPr>
              <w:spacing w:lineRule="exact" w:line="600"/>
              <w:jc w:val="center"/>
            </w:pPr>
            <w:r/>
            <w:r>
              <w:rPr>
                <w:rFonts w:ascii="仿宋_GB2312" w:hAnsi="仿宋_GB2312" w:eastAsia="仿宋_GB2312"/>
                <w:b w:val="0"/>
                <w:color w:val="000000"/>
                <w:sz w:val="32"/>
              </w:rPr>
              <w:t>入驻91家/金融机构12家</w:t>
            </w:r>
          </w:p>
        </w:tc>
        <w:tc>
          <w:tcPr>
            <w:tcW w:type="dxa" w:w="2551"/>
          </w:tcPr>
          <w:p>
            <w:pPr>
              <w:spacing w:lineRule="exact" w:line="600"/>
              <w:jc w:val="center"/>
            </w:pPr>
            <w:r/>
            <w:r>
              <w:rPr>
                <w:rFonts w:ascii="仿宋_GB2312" w:hAnsi="仿宋_GB2312" w:eastAsia="仿宋_GB2312"/>
                <w:b w:val="0"/>
                <w:color w:val="000000"/>
                <w:sz w:val="32"/>
              </w:rPr>
              <w:t>采购降本约9%</w:t>
            </w:r>
          </w:p>
        </w:tc>
      </w:tr>
      <w:tr>
        <w:tc>
          <w:tcPr>
            <w:tcW w:type="dxa" w:w="3118"/>
          </w:tcPr>
          <w:p>
            <w:pPr>
              <w:spacing w:lineRule="exact" w:line="600"/>
              <w:jc w:val="center"/>
            </w:pPr>
            <w:r/>
            <w:r>
              <w:rPr>
                <w:rFonts w:ascii="仿宋_GB2312" w:hAnsi="仿宋_GB2312" w:eastAsia="仿宋_GB2312"/>
                <w:b w:val="0"/>
                <w:color w:val="000000"/>
                <w:sz w:val="32"/>
              </w:rPr>
              <w:t>智慧物流</w:t>
            </w:r>
          </w:p>
        </w:tc>
        <w:tc>
          <w:tcPr>
            <w:tcW w:type="dxa" w:w="2835"/>
          </w:tcPr>
          <w:p>
            <w:pPr>
              <w:spacing w:lineRule="exact" w:line="600"/>
              <w:jc w:val="center"/>
            </w:pPr>
            <w:r/>
            <w:r>
              <w:rPr>
                <w:rFonts w:ascii="仿宋_GB2312" w:hAnsi="仿宋_GB2312" w:eastAsia="仿宋_GB2312"/>
                <w:b w:val="0"/>
                <w:color w:val="000000"/>
                <w:sz w:val="32"/>
              </w:rPr>
              <w:t>AGV+WMS</w:t>
            </w:r>
          </w:p>
        </w:tc>
        <w:tc>
          <w:tcPr>
            <w:tcW w:type="dxa" w:w="2551"/>
          </w:tcPr>
          <w:p>
            <w:pPr>
              <w:spacing w:lineRule="exact" w:line="600"/>
              <w:jc w:val="center"/>
            </w:pPr>
            <w:r/>
            <w:r>
              <w:rPr>
                <w:rFonts w:ascii="仿宋_GB2312" w:hAnsi="仿宋_GB2312" w:eastAsia="仿宋_GB2312"/>
                <w:b w:val="0"/>
                <w:color w:val="000000"/>
                <w:sz w:val="32"/>
              </w:rPr>
              <w:t>年节约600万元</w:t>
            </w:r>
          </w:p>
        </w:tc>
      </w:tr>
      <w:tr>
        <w:tc>
          <w:tcPr>
            <w:tcW w:type="dxa" w:w="3118"/>
          </w:tcPr>
          <w:p>
            <w:pPr>
              <w:spacing w:lineRule="exact" w:line="600"/>
              <w:jc w:val="center"/>
            </w:pPr>
            <w:r/>
            <w:r>
              <w:rPr>
                <w:rFonts w:ascii="仿宋_GB2312" w:hAnsi="仿宋_GB2312" w:eastAsia="仿宋_GB2312"/>
                <w:b w:val="0"/>
                <w:color w:val="000000"/>
                <w:sz w:val="32"/>
              </w:rPr>
              <w:t>数字化</w:t>
            </w:r>
          </w:p>
        </w:tc>
        <w:tc>
          <w:tcPr>
            <w:tcW w:type="dxa" w:w="2835"/>
          </w:tcPr>
          <w:p>
            <w:pPr>
              <w:spacing w:lineRule="exact" w:line="600"/>
              <w:jc w:val="center"/>
            </w:pPr>
            <w:r/>
            <w:r>
              <w:rPr>
                <w:rFonts w:ascii="仿宋_GB2312" w:hAnsi="仿宋_GB2312" w:eastAsia="仿宋_GB2312"/>
                <w:b w:val="0"/>
                <w:color w:val="000000"/>
                <w:sz w:val="32"/>
              </w:rPr>
              <w:t>大数据/云/物联网赋能</w:t>
            </w:r>
          </w:p>
        </w:tc>
        <w:tc>
          <w:tcPr>
            <w:tcW w:type="dxa" w:w="2551"/>
          </w:tcPr>
          <w:p>
            <w:pPr>
              <w:spacing w:lineRule="exact" w:line="600"/>
              <w:jc w:val="center"/>
            </w:pPr>
            <w:r/>
            <w:r>
              <w:rPr>
                <w:rFonts w:ascii="仿宋_GB2312" w:hAnsi="仿宋_GB2312" w:eastAsia="仿宋_GB2312"/>
                <w:b w:val="0"/>
                <w:color w:val="000000"/>
                <w:sz w:val="32"/>
              </w:rPr>
              <w:t>订单快速响应</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高端装备、风电、新能源汽车对高纯净度轴承钢需求增长，本地改制线可向高端牌号延伸；绿色低碳改制契合「双碳」导向，具备差异化竞争力（来源：博研咨询/行业年报）。</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高品质轴承钢技术门槛高，宁阳改制线在纯净度、一致性上仍需爬坡；同时面临外地特钢企业的价格竞争，若仅做低端改制则附加值有限（行业共性研判）。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轴承钢价格随铁矿石、焦炭周期波动，库存与接单节奏错配带来跌价风险；特钢产能政策与能耗约束亦影响扩产节奏（行业共性研判）。</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417"/>
          </w:tcPr>
          <w:p>
            <w:pPr>
              <w:spacing w:lineRule="exact" w:line="600"/>
              <w:jc w:val="center"/>
            </w:pPr>
            <w:r/>
            <w:r>
              <w:rPr>
                <w:rFonts w:ascii="黑体" w:hAnsi="黑体" w:eastAsia="黑体"/>
                <w:b/>
                <w:color w:val="000000"/>
                <w:sz w:val="32"/>
              </w:rPr>
              <w:t>维度</w:t>
            </w:r>
          </w:p>
        </w:tc>
        <w:tc>
          <w:tcPr>
            <w:tcW w:type="dxa" w:w="2551"/>
          </w:tcPr>
          <w:p>
            <w:pPr>
              <w:spacing w:lineRule="exact" w:line="600"/>
              <w:jc w:val="center"/>
            </w:pPr>
            <w:r/>
            <w:r>
              <w:rPr>
                <w:rFonts w:ascii="黑体" w:hAnsi="黑体" w:eastAsia="黑体"/>
                <w:b/>
                <w:color w:val="000000"/>
                <w:sz w:val="32"/>
              </w:rPr>
              <w:t>判断</w:t>
            </w:r>
          </w:p>
        </w:tc>
        <w:tc>
          <w:tcPr>
            <w:tcW w:type="dxa" w:w="2835"/>
          </w:tcPr>
          <w:p>
            <w:pPr>
              <w:spacing w:lineRule="exact" w:line="600"/>
              <w:jc w:val="center"/>
            </w:pPr>
            <w:r/>
            <w:r>
              <w:rPr>
                <w:rFonts w:ascii="黑体" w:hAnsi="黑体" w:eastAsia="黑体"/>
                <w:b/>
                <w:color w:val="000000"/>
                <w:sz w:val="32"/>
              </w:rPr>
              <w:t>依据</w:t>
            </w:r>
          </w:p>
        </w:tc>
        <w:tc>
          <w:tcPr>
            <w:tcW w:type="dxa" w:w="1701"/>
          </w:tcPr>
          <w:p>
            <w:pPr>
              <w:spacing w:lineRule="exact" w:line="600"/>
              <w:jc w:val="center"/>
            </w:pPr>
            <w:r/>
            <w:r>
              <w:rPr>
                <w:rFonts w:ascii="黑体" w:hAnsi="黑体" w:eastAsia="黑体"/>
                <w:b/>
                <w:color w:val="000000"/>
                <w:sz w:val="32"/>
              </w:rPr>
              <w:t>来源</w:t>
            </w:r>
          </w:p>
        </w:tc>
      </w:tr>
      <w:tr>
        <w:tc>
          <w:tcPr>
            <w:tcW w:type="dxa" w:w="1417"/>
          </w:tcPr>
          <w:p>
            <w:pPr>
              <w:spacing w:lineRule="exact" w:line="600"/>
              <w:jc w:val="center"/>
            </w:pPr>
            <w:r/>
            <w:r>
              <w:rPr>
                <w:rFonts w:ascii="仿宋_GB2312" w:hAnsi="仿宋_GB2312" w:eastAsia="仿宋_GB2312"/>
                <w:b w:val="0"/>
                <w:color w:val="000000"/>
                <w:sz w:val="32"/>
              </w:rPr>
              <w:t>机遇</w:t>
            </w:r>
          </w:p>
        </w:tc>
        <w:tc>
          <w:tcPr>
            <w:tcW w:type="dxa" w:w="2551"/>
          </w:tcPr>
          <w:p>
            <w:pPr>
              <w:spacing w:lineRule="exact" w:line="600"/>
              <w:jc w:val="center"/>
            </w:pPr>
            <w:r/>
            <w:r>
              <w:rPr>
                <w:rFonts w:ascii="仿宋_GB2312" w:hAnsi="仿宋_GB2312" w:eastAsia="仿宋_GB2312"/>
                <w:b w:val="0"/>
                <w:color w:val="000000"/>
                <w:sz w:val="32"/>
              </w:rPr>
              <w:t>高端+绿色</w:t>
            </w:r>
          </w:p>
        </w:tc>
        <w:tc>
          <w:tcPr>
            <w:tcW w:type="dxa" w:w="2835"/>
          </w:tcPr>
          <w:p>
            <w:pPr>
              <w:spacing w:lineRule="exact" w:line="600"/>
              <w:jc w:val="center"/>
            </w:pPr>
            <w:r/>
            <w:r>
              <w:rPr>
                <w:rFonts w:ascii="仿宋_GB2312" w:hAnsi="仿宋_GB2312" w:eastAsia="仿宋_GB2312"/>
                <w:b w:val="0"/>
                <w:color w:val="000000"/>
                <w:sz w:val="32"/>
              </w:rPr>
              <w:t>风电新能源需求</w:t>
            </w:r>
          </w:p>
        </w:tc>
        <w:tc>
          <w:tcPr>
            <w:tcW w:type="dxa" w:w="1701"/>
          </w:tcPr>
          <w:p>
            <w:pPr>
              <w:spacing w:lineRule="exact" w:line="600"/>
              <w:jc w:val="center"/>
            </w:pPr>
            <w:r/>
            <w:r>
              <w:rPr>
                <w:rFonts w:ascii="仿宋_GB2312" w:hAnsi="仿宋_GB2312" w:eastAsia="仿宋_GB2312"/>
                <w:b w:val="0"/>
                <w:color w:val="000000"/>
                <w:sz w:val="32"/>
              </w:rPr>
              <w:t>博研咨询</w:t>
            </w:r>
          </w:p>
        </w:tc>
      </w:tr>
      <w:tr>
        <w:tc>
          <w:tcPr>
            <w:tcW w:type="dxa" w:w="1417"/>
          </w:tcPr>
          <w:p>
            <w:pPr>
              <w:spacing w:lineRule="exact" w:line="600"/>
              <w:jc w:val="center"/>
            </w:pPr>
            <w:r/>
            <w:r>
              <w:rPr>
                <w:rFonts w:ascii="仿宋_GB2312" w:hAnsi="仿宋_GB2312" w:eastAsia="仿宋_GB2312"/>
                <w:b w:val="0"/>
                <w:color w:val="000000"/>
                <w:sz w:val="32"/>
              </w:rPr>
              <w:t>挑战</w:t>
            </w:r>
          </w:p>
        </w:tc>
        <w:tc>
          <w:tcPr>
            <w:tcW w:type="dxa" w:w="2551"/>
          </w:tcPr>
          <w:p>
            <w:pPr>
              <w:spacing w:lineRule="exact" w:line="600"/>
              <w:jc w:val="center"/>
            </w:pPr>
            <w:r/>
            <w:r>
              <w:rPr>
                <w:rFonts w:ascii="仿宋_GB2312" w:hAnsi="仿宋_GB2312" w:eastAsia="仿宋_GB2312"/>
                <w:b w:val="0"/>
                <w:color w:val="000000"/>
                <w:sz w:val="32"/>
              </w:rPr>
              <w:t>技术爬坡</w:t>
            </w:r>
          </w:p>
        </w:tc>
        <w:tc>
          <w:tcPr>
            <w:tcW w:type="dxa" w:w="2835"/>
          </w:tcPr>
          <w:p>
            <w:pPr>
              <w:spacing w:lineRule="exact" w:line="600"/>
              <w:jc w:val="center"/>
            </w:pPr>
            <w:r/>
            <w:r>
              <w:rPr>
                <w:rFonts w:ascii="仿宋_GB2312" w:hAnsi="仿宋_GB2312" w:eastAsia="仿宋_GB2312"/>
                <w:b w:val="0"/>
                <w:color w:val="000000"/>
                <w:sz w:val="32"/>
              </w:rPr>
              <w:t>纯净度要求高</w:t>
            </w:r>
          </w:p>
        </w:tc>
        <w:tc>
          <w:tcPr>
            <w:tcW w:type="dxa" w:w="1701"/>
          </w:tcPr>
          <w:p>
            <w:pPr>
              <w:spacing w:lineRule="exact" w:line="600"/>
              <w:jc w:val="center"/>
            </w:pPr>
            <w:r/>
            <w:r>
              <w:rPr>
                <w:rFonts w:ascii="仿宋_GB2312" w:hAnsi="仿宋_GB2312" w:eastAsia="仿宋_GB2312"/>
                <w:b w:val="0"/>
                <w:color w:val="000000"/>
                <w:sz w:val="32"/>
              </w:rPr>
              <w:t>行业研判</w:t>
            </w:r>
          </w:p>
        </w:tc>
      </w:tr>
      <w:tr>
        <w:tc>
          <w:tcPr>
            <w:tcW w:type="dxa" w:w="1417"/>
          </w:tcPr>
          <w:p>
            <w:pPr>
              <w:spacing w:lineRule="exact" w:line="600"/>
              <w:jc w:val="center"/>
            </w:pPr>
            <w:r/>
            <w:r>
              <w:rPr>
                <w:rFonts w:ascii="仿宋_GB2312" w:hAnsi="仿宋_GB2312" w:eastAsia="仿宋_GB2312"/>
                <w:b w:val="0"/>
                <w:color w:val="000000"/>
                <w:sz w:val="32"/>
              </w:rPr>
              <w:t>风险</w:t>
            </w:r>
          </w:p>
        </w:tc>
        <w:tc>
          <w:tcPr>
            <w:tcW w:type="dxa" w:w="2551"/>
          </w:tcPr>
          <w:p>
            <w:pPr>
              <w:spacing w:lineRule="exact" w:line="600"/>
              <w:jc w:val="center"/>
            </w:pPr>
            <w:r/>
            <w:r>
              <w:rPr>
                <w:rFonts w:ascii="仿宋_GB2312" w:hAnsi="仿宋_GB2312" w:eastAsia="仿宋_GB2312"/>
                <w:b w:val="0"/>
                <w:color w:val="000000"/>
                <w:sz w:val="32"/>
              </w:rPr>
              <w:t>价格波动</w:t>
            </w:r>
          </w:p>
        </w:tc>
        <w:tc>
          <w:tcPr>
            <w:tcW w:type="dxa" w:w="2835"/>
          </w:tcPr>
          <w:p>
            <w:pPr>
              <w:spacing w:lineRule="exact" w:line="600"/>
              <w:jc w:val="center"/>
            </w:pPr>
            <w:r/>
            <w:r>
              <w:rPr>
                <w:rFonts w:ascii="仿宋_GB2312" w:hAnsi="仿宋_GB2312" w:eastAsia="仿宋_GB2312"/>
                <w:b w:val="0"/>
                <w:color w:val="000000"/>
                <w:sz w:val="32"/>
              </w:rPr>
              <w:t>钢价周期</w:t>
            </w:r>
          </w:p>
        </w:tc>
        <w:tc>
          <w:tcPr>
            <w:tcW w:type="dxa" w:w="1701"/>
          </w:tcPr>
          <w:p>
            <w:pPr>
              <w:spacing w:lineRule="exact" w:line="600"/>
              <w:jc w:val="center"/>
            </w:pPr>
            <w:r/>
            <w:r>
              <w:rPr>
                <w:rFonts w:ascii="仿宋_GB2312" w:hAnsi="仿宋_GB2312" w:eastAsia="仿宋_GB2312"/>
                <w:b w:val="0"/>
                <w:color w:val="000000"/>
                <w:sz w:val="32"/>
              </w:rPr>
              <w:t>行业研判</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（一）延伸高端牌号</w:t>
      </w:r>
    </w:p>
    <w:p>
      <w:pPr>
        <w:spacing w:lineRule="exact" w:line="600" w:before="0" w:after="0"/>
        <w:ind w:firstLine="420"/>
        <w:jc w:val="both"/>
      </w:pPr>
      <w:r>
        <w:rPr>
          <w:rFonts w:ascii="仿宋_GB2312" w:hAnsi="仿宋_GB2312" w:eastAsia="仿宋_GB2312"/>
          <w:b w:val="0"/>
          <w:color w:val="000000"/>
          <w:sz w:val="32"/>
        </w:rPr>
        <w:t>在30万吨改制基础上，向高纯净度轴承钢、不锈钢线材、特种合金线材延伸，服务G5—G10级超精钢球与医疗、军工场景（来源：省装备协会/辰信官网）。</w:t>
      </w:r>
    </w:p>
    <w:p>
      <w:pPr>
        <w:spacing w:lineRule="exact" w:line="600" w:before="120" w:after="120"/>
        <w:ind w:firstLine="420"/>
        <w:jc w:val="left"/>
      </w:pPr>
      <w:r>
        <w:rPr>
          <w:rFonts w:ascii="楷体_GB2312" w:hAnsi="楷体_GB2312" w:eastAsia="楷体_GB2312"/>
          <w:b w:val="0"/>
          <w:color w:val="000000"/>
          <w:sz w:val="32"/>
        </w:rPr>
        <w:t>（二）强化质量基础设施</w:t>
      </w:r>
    </w:p>
    <w:p>
      <w:pPr>
        <w:spacing w:lineRule="exact" w:line="600" w:before="0" w:after="0"/>
        <w:ind w:firstLine="420"/>
        <w:jc w:val="both"/>
      </w:pPr>
      <w:r>
        <w:rPr>
          <w:rFonts w:ascii="仿宋_GB2312" w:hAnsi="仿宋_GB2312" w:eastAsia="仿宋_GB2312"/>
          <w:b w:val="0"/>
          <w:color w:val="000000"/>
          <w:sz w:val="32"/>
        </w:rPr>
        <w:t>依托辰信检测中心与云联钢球平台，建立钢球用轴承钢团体标准与共享检测体系，输出质量管控经验给中小企业（来源：宁阳县政府/经济日报）。</w:t>
      </w:r>
    </w:p>
    <w:p>
      <w:pPr>
        <w:spacing w:lineRule="exact" w:line="600" w:before="120" w:after="120"/>
        <w:ind w:firstLine="420"/>
        <w:jc w:val="left"/>
      </w:pPr>
      <w:r>
        <w:rPr>
          <w:rFonts w:ascii="楷体_GB2312" w:hAnsi="楷体_GB2312" w:eastAsia="楷体_GB2312"/>
          <w:b w:val="0"/>
          <w:color w:val="000000"/>
          <w:sz w:val="32"/>
        </w:rPr>
        <w:t>（三）绿色低碳循环</w:t>
      </w:r>
    </w:p>
    <w:p>
      <w:pPr>
        <w:spacing w:lineRule="exact" w:line="600" w:before="0" w:after="0"/>
        <w:ind w:firstLine="420"/>
        <w:jc w:val="both"/>
      </w:pPr>
      <w:r>
        <w:rPr>
          <w:rFonts w:ascii="仿宋_GB2312" w:hAnsi="仿宋_GB2312" w:eastAsia="仿宋_GB2312"/>
          <w:b w:val="0"/>
          <w:color w:val="000000"/>
          <w:sz w:val="32"/>
        </w:rPr>
        <w:t>推广光伏/余热利用与废酸再生，建设绿色原料基地，对接下游主机厂绿色供应链要求（行业共性研判）。</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417"/>
          </w:tcPr>
          <w:p>
            <w:pPr>
              <w:spacing w:lineRule="exact" w:line="600"/>
              <w:jc w:val="center"/>
            </w:pPr>
            <w:r/>
            <w:r>
              <w:rPr>
                <w:rFonts w:ascii="黑体" w:hAnsi="黑体" w:eastAsia="黑体"/>
                <w:b/>
                <w:color w:val="000000"/>
                <w:sz w:val="32"/>
              </w:rPr>
              <w:t>路径</w:t>
            </w:r>
          </w:p>
        </w:tc>
        <w:tc>
          <w:tcPr>
            <w:tcW w:type="dxa" w:w="2551"/>
          </w:tcPr>
          <w:p>
            <w:pPr>
              <w:spacing w:lineRule="exact" w:line="600"/>
              <w:jc w:val="center"/>
            </w:pPr>
            <w:r/>
            <w:r>
              <w:rPr>
                <w:rFonts w:ascii="黑体" w:hAnsi="黑体" w:eastAsia="黑体"/>
                <w:b/>
                <w:color w:val="000000"/>
                <w:sz w:val="32"/>
              </w:rPr>
              <w:t>抓手</w:t>
            </w:r>
          </w:p>
        </w:tc>
        <w:tc>
          <w:tcPr>
            <w:tcW w:type="dxa" w:w="2835"/>
          </w:tcPr>
          <w:p>
            <w:pPr>
              <w:spacing w:lineRule="exact" w:line="600"/>
              <w:jc w:val="center"/>
            </w:pPr>
            <w:r/>
            <w:r>
              <w:rPr>
                <w:rFonts w:ascii="黑体" w:hAnsi="黑体" w:eastAsia="黑体"/>
                <w:b/>
                <w:color w:val="000000"/>
                <w:sz w:val="32"/>
              </w:rPr>
              <w:t>目标</w:t>
            </w:r>
          </w:p>
        </w:tc>
        <w:tc>
          <w:tcPr>
            <w:tcW w:type="dxa" w:w="1701"/>
          </w:tcPr>
          <w:p>
            <w:pPr>
              <w:spacing w:lineRule="exact" w:line="600"/>
              <w:jc w:val="center"/>
            </w:pPr>
            <w:r/>
            <w:r>
              <w:rPr>
                <w:rFonts w:ascii="黑体" w:hAnsi="黑体" w:eastAsia="黑体"/>
                <w:b/>
                <w:color w:val="000000"/>
                <w:sz w:val="32"/>
              </w:rPr>
              <w:t>来源</w:t>
            </w:r>
          </w:p>
        </w:tc>
      </w:tr>
      <w:tr>
        <w:tc>
          <w:tcPr>
            <w:tcW w:type="dxa" w:w="1417"/>
          </w:tcPr>
          <w:p>
            <w:pPr>
              <w:spacing w:lineRule="exact" w:line="600"/>
              <w:jc w:val="center"/>
            </w:pPr>
            <w:r/>
            <w:r>
              <w:rPr>
                <w:rFonts w:ascii="仿宋_GB2312" w:hAnsi="仿宋_GB2312" w:eastAsia="仿宋_GB2312"/>
                <w:b w:val="0"/>
                <w:color w:val="000000"/>
                <w:sz w:val="32"/>
              </w:rPr>
              <w:t>高端延伸</w:t>
            </w:r>
          </w:p>
        </w:tc>
        <w:tc>
          <w:tcPr>
            <w:tcW w:type="dxa" w:w="2551"/>
          </w:tcPr>
          <w:p>
            <w:pPr>
              <w:spacing w:lineRule="exact" w:line="600"/>
              <w:jc w:val="center"/>
            </w:pPr>
            <w:r/>
            <w:r>
              <w:rPr>
                <w:rFonts w:ascii="仿宋_GB2312" w:hAnsi="仿宋_GB2312" w:eastAsia="仿宋_GB2312"/>
                <w:b w:val="0"/>
                <w:color w:val="000000"/>
                <w:sz w:val="32"/>
              </w:rPr>
              <w:t>高纯净轴承钢</w:t>
            </w:r>
          </w:p>
        </w:tc>
        <w:tc>
          <w:tcPr>
            <w:tcW w:type="dxa" w:w="2835"/>
          </w:tcPr>
          <w:p>
            <w:pPr>
              <w:spacing w:lineRule="exact" w:line="600"/>
              <w:jc w:val="center"/>
            </w:pPr>
            <w:r/>
            <w:r>
              <w:rPr>
                <w:rFonts w:ascii="仿宋_GB2312" w:hAnsi="仿宋_GB2312" w:eastAsia="仿宋_GB2312"/>
                <w:b w:val="0"/>
                <w:color w:val="000000"/>
                <w:sz w:val="32"/>
              </w:rPr>
              <w:t>医疗军工替代</w:t>
            </w:r>
          </w:p>
        </w:tc>
        <w:tc>
          <w:tcPr>
            <w:tcW w:type="dxa" w:w="1701"/>
          </w:tcPr>
          <w:p>
            <w:pPr>
              <w:spacing w:lineRule="exact" w:line="600"/>
              <w:jc w:val="center"/>
            </w:pPr>
            <w:r/>
            <w:r>
              <w:rPr>
                <w:rFonts w:ascii="仿宋_GB2312" w:hAnsi="仿宋_GB2312" w:eastAsia="仿宋_GB2312"/>
                <w:b w:val="0"/>
                <w:color w:val="000000"/>
                <w:sz w:val="32"/>
              </w:rPr>
              <w:t>省装备协会</w:t>
            </w:r>
          </w:p>
        </w:tc>
      </w:tr>
      <w:tr>
        <w:tc>
          <w:tcPr>
            <w:tcW w:type="dxa" w:w="1417"/>
          </w:tcPr>
          <w:p>
            <w:pPr>
              <w:spacing w:lineRule="exact" w:line="600"/>
              <w:jc w:val="center"/>
            </w:pPr>
            <w:r/>
            <w:r>
              <w:rPr>
                <w:rFonts w:ascii="仿宋_GB2312" w:hAnsi="仿宋_GB2312" w:eastAsia="仿宋_GB2312"/>
                <w:b w:val="0"/>
                <w:color w:val="000000"/>
                <w:sz w:val="32"/>
              </w:rPr>
              <w:t>质量基础</w:t>
            </w:r>
          </w:p>
        </w:tc>
        <w:tc>
          <w:tcPr>
            <w:tcW w:type="dxa" w:w="2551"/>
          </w:tcPr>
          <w:p>
            <w:pPr>
              <w:spacing w:lineRule="exact" w:line="600"/>
              <w:jc w:val="center"/>
            </w:pPr>
            <w:r/>
            <w:r>
              <w:rPr>
                <w:rFonts w:ascii="仿宋_GB2312" w:hAnsi="仿宋_GB2312" w:eastAsia="仿宋_GB2312"/>
                <w:b w:val="0"/>
                <w:color w:val="000000"/>
                <w:sz w:val="32"/>
              </w:rPr>
              <w:t>检测+团标</w:t>
            </w:r>
          </w:p>
        </w:tc>
        <w:tc>
          <w:tcPr>
            <w:tcW w:type="dxa" w:w="2835"/>
          </w:tcPr>
          <w:p>
            <w:pPr>
              <w:spacing w:lineRule="exact" w:line="600"/>
              <w:jc w:val="center"/>
            </w:pPr>
            <w:r/>
            <w:r>
              <w:rPr>
                <w:rFonts w:ascii="仿宋_GB2312" w:hAnsi="仿宋_GB2312" w:eastAsia="仿宋_GB2312"/>
                <w:b w:val="0"/>
                <w:color w:val="000000"/>
                <w:sz w:val="32"/>
              </w:rPr>
              <w:t>共享品控</w:t>
            </w:r>
          </w:p>
        </w:tc>
        <w:tc>
          <w:tcPr>
            <w:tcW w:type="dxa" w:w="1701"/>
          </w:tcPr>
          <w:p>
            <w:pPr>
              <w:spacing w:lineRule="exact" w:line="600"/>
              <w:jc w:val="center"/>
            </w:pPr>
            <w:r/>
            <w:r>
              <w:rPr>
                <w:rFonts w:ascii="仿宋_GB2312" w:hAnsi="仿宋_GB2312" w:eastAsia="仿宋_GB2312"/>
                <w:b w:val="0"/>
                <w:color w:val="000000"/>
                <w:sz w:val="32"/>
              </w:rPr>
              <w:t>宁阳县政府</w:t>
            </w:r>
          </w:p>
        </w:tc>
      </w:tr>
      <w:tr>
        <w:tc>
          <w:tcPr>
            <w:tcW w:type="dxa" w:w="1417"/>
          </w:tcPr>
          <w:p>
            <w:pPr>
              <w:spacing w:lineRule="exact" w:line="600"/>
              <w:jc w:val="center"/>
            </w:pPr>
            <w:r/>
            <w:r>
              <w:rPr>
                <w:rFonts w:ascii="仿宋_GB2312" w:hAnsi="仿宋_GB2312" w:eastAsia="仿宋_GB2312"/>
                <w:b w:val="0"/>
                <w:color w:val="000000"/>
                <w:sz w:val="32"/>
              </w:rPr>
              <w:t>绿色</w:t>
            </w:r>
          </w:p>
        </w:tc>
        <w:tc>
          <w:tcPr>
            <w:tcW w:type="dxa" w:w="2551"/>
          </w:tcPr>
          <w:p>
            <w:pPr>
              <w:spacing w:lineRule="exact" w:line="600"/>
              <w:jc w:val="center"/>
            </w:pPr>
            <w:r/>
            <w:r>
              <w:rPr>
                <w:rFonts w:ascii="仿宋_GB2312" w:hAnsi="仿宋_GB2312" w:eastAsia="仿宋_GB2312"/>
                <w:b w:val="0"/>
                <w:color w:val="000000"/>
                <w:sz w:val="32"/>
              </w:rPr>
              <w:t>光伏余热</w:t>
            </w:r>
          </w:p>
        </w:tc>
        <w:tc>
          <w:tcPr>
            <w:tcW w:type="dxa" w:w="2835"/>
          </w:tcPr>
          <w:p>
            <w:pPr>
              <w:spacing w:lineRule="exact" w:line="600"/>
              <w:jc w:val="center"/>
            </w:pPr>
            <w:r/>
            <w:r>
              <w:rPr>
                <w:rFonts w:ascii="仿宋_GB2312" w:hAnsi="仿宋_GB2312" w:eastAsia="仿宋_GB2312"/>
                <w:b w:val="0"/>
                <w:color w:val="000000"/>
                <w:sz w:val="32"/>
              </w:rPr>
              <w:t>低碳基地</w:t>
            </w:r>
          </w:p>
        </w:tc>
        <w:tc>
          <w:tcPr>
            <w:tcW w:type="dxa" w:w="1701"/>
          </w:tcPr>
          <w:p>
            <w:pPr>
              <w:spacing w:lineRule="exact" w:line="600"/>
              <w:jc w:val="center"/>
            </w:pPr>
            <w:r/>
            <w:r>
              <w:rPr>
                <w:rFonts w:ascii="仿宋_GB2312" w:hAnsi="仿宋_GB2312" w:eastAsia="仿宋_GB2312"/>
                <w:b w:val="0"/>
                <w:color w:val="000000"/>
                <w:sz w:val="32"/>
              </w:rPr>
              <w:t>行业研判</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（一）改制产线扩能</w:t>
      </w:r>
    </w:p>
    <w:p>
      <w:pPr>
        <w:spacing w:lineRule="exact" w:line="600" w:before="0" w:after="0"/>
        <w:ind w:firstLine="420"/>
        <w:jc w:val="both"/>
      </w:pPr>
      <w:r>
        <w:rPr>
          <w:rFonts w:ascii="仿宋_GB2312" w:hAnsi="仿宋_GB2312" w:eastAsia="仿宋_GB2312"/>
          <w:b w:val="0"/>
          <w:color w:val="000000"/>
          <w:sz w:val="32"/>
        </w:rPr>
        <w:t>30万吨改制线一期已投11亿元，若向高端牌号与二期扩能，仍需设备与流动资金融资，预计数亿元级（来源：辰信官网/行业研判）。</w:t>
      </w:r>
    </w:p>
    <w:p>
      <w:pPr>
        <w:spacing w:lineRule="exact" w:line="600" w:before="120" w:after="120"/>
        <w:ind w:firstLine="420"/>
        <w:jc w:val="left"/>
      </w:pPr>
      <w:r>
        <w:rPr>
          <w:rFonts w:ascii="楷体_GB2312" w:hAnsi="楷体_GB2312" w:eastAsia="楷体_GB2312"/>
          <w:b w:val="0"/>
          <w:color w:val="000000"/>
          <w:sz w:val="32"/>
        </w:rPr>
        <w:t>（二）原料集采垫资</w:t>
      </w:r>
    </w:p>
    <w:p>
      <w:pPr>
        <w:spacing w:lineRule="exact" w:line="600" w:before="0" w:after="0"/>
        <w:ind w:firstLine="420"/>
        <w:jc w:val="both"/>
      </w:pPr>
      <w:r>
        <w:rPr>
          <w:rFonts w:ascii="仿宋_GB2312" w:hAnsi="仿宋_GB2312" w:eastAsia="仿宋_GB2312"/>
          <w:b w:val="0"/>
          <w:color w:val="000000"/>
          <w:sz w:val="32"/>
        </w:rPr>
        <w:t>云联钢球平台代采模式需要周转资金池与供应链金融，已入驻12家金融机构，可扩大授信（来源：经济日报）。</w:t>
      </w:r>
    </w:p>
    <w:p>
      <w:pPr>
        <w:spacing w:lineRule="exact" w:line="600" w:before="120" w:after="120"/>
        <w:ind w:firstLine="420"/>
        <w:jc w:val="left"/>
      </w:pPr>
      <w:r>
        <w:rPr>
          <w:rFonts w:ascii="楷体_GB2312" w:hAnsi="楷体_GB2312" w:eastAsia="楷体_GB2312"/>
          <w:b w:val="0"/>
          <w:color w:val="000000"/>
          <w:sz w:val="32"/>
        </w:rPr>
        <w:t>（三）绿色技改贷款</w:t>
      </w:r>
    </w:p>
    <w:p>
      <w:pPr>
        <w:spacing w:lineRule="exact" w:line="600" w:before="0" w:after="0"/>
        <w:ind w:firstLine="420"/>
        <w:jc w:val="both"/>
      </w:pPr>
      <w:r>
        <w:rPr>
          <w:rFonts w:ascii="仿宋_GB2312" w:hAnsi="仿宋_GB2312" w:eastAsia="仿宋_GB2312"/>
          <w:b w:val="0"/>
          <w:color w:val="000000"/>
          <w:sz w:val="32"/>
        </w:rPr>
        <w:t>光伏、余热与环保设施可申请绿色信贷与碳减排支持工具（行业共性研判）。</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融资方向</w:t>
            </w:r>
          </w:p>
        </w:tc>
        <w:tc>
          <w:tcPr>
            <w:tcW w:type="dxa" w:w="2268"/>
          </w:tcPr>
          <w:p>
            <w:pPr>
              <w:spacing w:lineRule="exact" w:line="600"/>
              <w:jc w:val="center"/>
            </w:pPr>
            <w:r/>
            <w:r>
              <w:rPr>
                <w:rFonts w:ascii="黑体" w:hAnsi="黑体" w:eastAsia="黑体"/>
                <w:b/>
                <w:color w:val="000000"/>
                <w:sz w:val="32"/>
              </w:rPr>
              <w:t>规模/方式</w:t>
            </w:r>
          </w:p>
        </w:tc>
        <w:tc>
          <w:tcPr>
            <w:tcW w:type="dxa" w:w="2551"/>
          </w:tcPr>
          <w:p>
            <w:pPr>
              <w:spacing w:lineRule="exact" w:line="600"/>
              <w:jc w:val="center"/>
            </w:pPr>
            <w:r/>
            <w:r>
              <w:rPr>
                <w:rFonts w:ascii="黑体" w:hAnsi="黑体" w:eastAsia="黑体"/>
                <w:b/>
                <w:color w:val="000000"/>
                <w:sz w:val="32"/>
              </w:rPr>
              <w:t>受益</w:t>
            </w:r>
          </w:p>
        </w:tc>
        <w:tc>
          <w:tcPr>
            <w:tcW w:type="dxa" w:w="1701"/>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扩能</w:t>
            </w:r>
          </w:p>
        </w:tc>
        <w:tc>
          <w:tcPr>
            <w:tcW w:type="dxa" w:w="2268"/>
          </w:tcPr>
          <w:p>
            <w:pPr>
              <w:spacing w:lineRule="exact" w:line="600"/>
              <w:jc w:val="center"/>
            </w:pPr>
            <w:r/>
            <w:r>
              <w:rPr>
                <w:rFonts w:ascii="仿宋_GB2312" w:hAnsi="仿宋_GB2312" w:eastAsia="仿宋_GB2312"/>
                <w:b w:val="0"/>
                <w:color w:val="000000"/>
                <w:sz w:val="32"/>
              </w:rPr>
              <w:t>数亿元设备贷</w:t>
            </w:r>
          </w:p>
        </w:tc>
        <w:tc>
          <w:tcPr>
            <w:tcW w:type="dxa" w:w="2551"/>
          </w:tcPr>
          <w:p>
            <w:pPr>
              <w:spacing w:lineRule="exact" w:line="600"/>
              <w:jc w:val="center"/>
            </w:pPr>
            <w:r/>
            <w:r>
              <w:rPr>
                <w:rFonts w:ascii="仿宋_GB2312" w:hAnsi="仿宋_GB2312" w:eastAsia="仿宋_GB2312"/>
                <w:b w:val="0"/>
                <w:color w:val="000000"/>
                <w:sz w:val="32"/>
              </w:rPr>
              <w:t>辰信</w:t>
            </w:r>
          </w:p>
        </w:tc>
        <w:tc>
          <w:tcPr>
            <w:tcW w:type="dxa" w:w="1701"/>
          </w:tcPr>
          <w:p>
            <w:pPr>
              <w:spacing w:lineRule="exact" w:line="600"/>
              <w:jc w:val="center"/>
            </w:pPr>
            <w:r/>
            <w:r>
              <w:rPr>
                <w:rFonts w:ascii="仿宋_GB2312" w:hAnsi="仿宋_GB2312" w:eastAsia="仿宋_GB2312"/>
                <w:b w:val="0"/>
                <w:color w:val="000000"/>
                <w:sz w:val="32"/>
              </w:rPr>
              <w:t>辰信官网</w:t>
            </w:r>
          </w:p>
        </w:tc>
      </w:tr>
      <w:tr>
        <w:tc>
          <w:tcPr>
            <w:tcW w:type="dxa" w:w="1701"/>
          </w:tcPr>
          <w:p>
            <w:pPr>
              <w:spacing w:lineRule="exact" w:line="600"/>
              <w:jc w:val="center"/>
            </w:pPr>
            <w:r/>
            <w:r>
              <w:rPr>
                <w:rFonts w:ascii="仿宋_GB2312" w:hAnsi="仿宋_GB2312" w:eastAsia="仿宋_GB2312"/>
                <w:b w:val="0"/>
                <w:color w:val="000000"/>
                <w:sz w:val="32"/>
              </w:rPr>
              <w:t>集采</w:t>
            </w:r>
          </w:p>
        </w:tc>
        <w:tc>
          <w:tcPr>
            <w:tcW w:type="dxa" w:w="2268"/>
          </w:tcPr>
          <w:p>
            <w:pPr>
              <w:spacing w:lineRule="exact" w:line="600"/>
              <w:jc w:val="center"/>
            </w:pPr>
            <w:r/>
            <w:r>
              <w:rPr>
                <w:rFonts w:ascii="仿宋_GB2312" w:hAnsi="仿宋_GB2312" w:eastAsia="仿宋_GB2312"/>
                <w:b w:val="0"/>
                <w:color w:val="000000"/>
                <w:sz w:val="32"/>
              </w:rPr>
              <w:t>供应链金融</w:t>
            </w:r>
          </w:p>
        </w:tc>
        <w:tc>
          <w:tcPr>
            <w:tcW w:type="dxa" w:w="2551"/>
          </w:tcPr>
          <w:p>
            <w:pPr>
              <w:spacing w:lineRule="exact" w:line="600"/>
              <w:jc w:val="center"/>
            </w:pPr>
            <w:r/>
            <w:r>
              <w:rPr>
                <w:rFonts w:ascii="仿宋_GB2312" w:hAnsi="仿宋_GB2312" w:eastAsia="仿宋_GB2312"/>
                <w:b w:val="0"/>
                <w:color w:val="000000"/>
                <w:sz w:val="32"/>
              </w:rPr>
              <w:t>中小企业</w:t>
            </w:r>
          </w:p>
        </w:tc>
        <w:tc>
          <w:tcPr>
            <w:tcW w:type="dxa" w:w="1701"/>
          </w:tcPr>
          <w:p>
            <w:pPr>
              <w:spacing w:lineRule="exact" w:line="600"/>
              <w:jc w:val="center"/>
            </w:pPr>
            <w:r/>
            <w:r>
              <w:rPr>
                <w:rFonts w:ascii="仿宋_GB2312" w:hAnsi="仿宋_GB2312" w:eastAsia="仿宋_GB2312"/>
                <w:b w:val="0"/>
                <w:color w:val="000000"/>
                <w:sz w:val="32"/>
              </w:rPr>
              <w:t>经济日报</w:t>
            </w:r>
          </w:p>
        </w:tc>
      </w:tr>
      <w:tr>
        <w:tc>
          <w:tcPr>
            <w:tcW w:type="dxa" w:w="1701"/>
          </w:tcPr>
          <w:p>
            <w:pPr>
              <w:spacing w:lineRule="exact" w:line="600"/>
              <w:jc w:val="center"/>
            </w:pPr>
            <w:r/>
            <w:r>
              <w:rPr>
                <w:rFonts w:ascii="仿宋_GB2312" w:hAnsi="仿宋_GB2312" w:eastAsia="仿宋_GB2312"/>
                <w:b w:val="0"/>
                <w:color w:val="000000"/>
                <w:sz w:val="32"/>
              </w:rPr>
              <w:t>绿色</w:t>
            </w:r>
          </w:p>
        </w:tc>
        <w:tc>
          <w:tcPr>
            <w:tcW w:type="dxa" w:w="2268"/>
          </w:tcPr>
          <w:p>
            <w:pPr>
              <w:spacing w:lineRule="exact" w:line="600"/>
              <w:jc w:val="center"/>
            </w:pPr>
            <w:r/>
            <w:r>
              <w:rPr>
                <w:rFonts w:ascii="仿宋_GB2312" w:hAnsi="仿宋_GB2312" w:eastAsia="仿宋_GB2312"/>
                <w:b w:val="0"/>
                <w:color w:val="000000"/>
                <w:sz w:val="32"/>
              </w:rPr>
              <w:t>绿色信贷</w:t>
            </w:r>
          </w:p>
        </w:tc>
        <w:tc>
          <w:tcPr>
            <w:tcW w:type="dxa" w:w="2551"/>
          </w:tcPr>
          <w:p>
            <w:pPr>
              <w:spacing w:lineRule="exact" w:line="600"/>
              <w:jc w:val="center"/>
            </w:pPr>
            <w:r/>
            <w:r>
              <w:rPr>
                <w:rFonts w:ascii="仿宋_GB2312" w:hAnsi="仿宋_GB2312" w:eastAsia="仿宋_GB2312"/>
                <w:b w:val="0"/>
                <w:color w:val="000000"/>
                <w:sz w:val="32"/>
              </w:rPr>
              <w:t>改制线</w:t>
            </w:r>
          </w:p>
        </w:tc>
        <w:tc>
          <w:tcPr>
            <w:tcW w:type="dxa" w:w="1701"/>
          </w:tcPr>
          <w:p>
            <w:pPr>
              <w:spacing w:lineRule="exact" w:line="600"/>
              <w:jc w:val="center"/>
            </w:pPr>
            <w:r/>
            <w:r>
              <w:rPr>
                <w:rFonts w:ascii="仿宋_GB2312" w:hAnsi="仿宋_GB2312" w:eastAsia="仿宋_GB2312"/>
                <w:b w:val="0"/>
                <w:color w:val="000000"/>
                <w:sz w:val="32"/>
              </w:rPr>
              <w:t>行业研判</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辰信轴承科技（山东）有限公司：宁阳钢球产业园链主，投资26亿元建设基础零部件绿色智能智造示范项目，建成全国最大的30万吨钢球钢丝原材料改制（罩式球化炉）生产线，配套研发、检测、云联钢球数字经济总部「四中心一平台」，原料直供下游320余家钢球企业。来源：辰信轴承科技官网、山东省装备制造业协会。</w:t>
      </w:r>
    </w:p>
    <w:p>
      <w:pPr>
        <w:spacing w:lineRule="exact" w:line="600" w:before="0" w:after="0"/>
        <w:ind w:firstLine="420"/>
        <w:jc w:val="both"/>
      </w:pPr>
      <w:r>
        <w:rPr>
          <w:rFonts w:ascii="仿宋_GB2312" w:hAnsi="仿宋_GB2312" w:eastAsia="仿宋_GB2312"/>
          <w:b w:val="0"/>
          <w:color w:val="000000"/>
          <w:sz w:val="32"/>
        </w:rPr>
        <w:t>宁阳县新东工贸有限公司：位于泗店镇，主营钢球、轴承及钢球磨削液，年产钢球3000吨、出口率99%，是钢球用轴承钢的重要采购与加工主体。来源：企业官网、天眼查。</w:t>
      </w:r>
    </w:p>
    <w:p>
      <w:pPr>
        <w:spacing w:lineRule="exact" w:line="600" w:before="0" w:after="0"/>
        <w:ind w:firstLine="420"/>
        <w:jc w:val="both"/>
      </w:pPr>
      <w:r>
        <w:rPr>
          <w:rFonts w:ascii="仿宋_GB2312" w:hAnsi="仿宋_GB2312" w:eastAsia="仿宋_GB2312"/>
          <w:b w:val="0"/>
          <w:color w:val="000000"/>
          <w:sz w:val="32"/>
        </w:rPr>
        <w:t>宁阳县先锋轴承钢球厂：位于堽城钢球工业园，主营钢球/铜球/玻璃球加工，为宁阳钢球制造骨干之一，对轴承钢/钢丝原料形成稳定本地需求。来源：天眼查、宁阳县产业集群资料。</w:t>
      </w:r>
    </w:p>
    <w:p>
      <w:pPr>
        <w:spacing w:lineRule="exact" w:line="600" w:before="0" w:after="0"/>
        <w:jc w:val="left"/>
      </w:pPr>
      <w:r>
        <w:rPr>
          <w:rFonts w:ascii="仿宋_GB2312" w:hAnsi="仿宋_GB2312" w:eastAsia="仿宋_GB2312"/>
          <w:b w:val="0"/>
          <w:color w:val="000000"/>
          <w:sz w:val="28"/>
        </w:rPr>
        <w:t>主要数据来源：山东省工业和信息化厅《小小钢球产业的蝶变》（sicc.gxt.shandong.gov.cn）；宁阳县政府官网《小钢珠「滚」出大产业》（2024-09-14）；辰信轴承科技（山东）有限公司官网及《轴承科技：锚定高质量发展》；山东省装备制造业协会《协会探厂：辰信轴承链主风采》（2026-04-15）；中国经济网《智改数转推动制造业高质量发展》（2024-10-20）；博研咨询《中国滚动轴承钢球行业市场前景预测及投资价值评估报告》（docin.com）；博研咨询《中国配套轴承钢球行业市场前景预测及投资价值评估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