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山东临沂费县（绿色家居材料）特色产业集群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板式家具与家居定制制造行业深度分析报告</w:t>
      </w:r>
    </w:p>
    <w:p>
      <w:pPr>
        <w:spacing w:lineRule="exact" w:line="600" w:before="0" w:after="0"/>
        <w:jc w:val="left"/>
      </w:pPr>
      <w:r>
        <w:rPr>
          <w:rFonts w:ascii="仿宋_GB2312" w:hAnsi="仿宋_GB2312" w:eastAsia="仿宋_GB2312"/>
          <w:b w:val="0"/>
          <w:color w:val="000000"/>
          <w:sz w:val="28"/>
        </w:rPr>
        <w:t>本报告聚焦费县绿色家居材料集群中的板式家具与家居定制制造环节（含木门、橱柜、衣柜、全屋定制、装配式装修）。数据来源于企业官网、权威媒体与政府报道，数据截至2024年；部分企业细分财务数据公开有限，已标注「公开资料有限」。</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板式家具与家居定制制造是费县「智造一个健康家」的终端环节与价值链高地，直接面向消费者与地产精装。费县以探沂镇为核心，聚集泰森日盛、安信美家、朝泰实业等定制家居企业，2024年全县全屋定制、家具橱柜等终端产品生产企业达93家。泰森日盛工业4.0美好家居项目年销售10亿元、2022年营收14.25亿元，安信美家工业4.0工厂年产10万套橱柜、智能云仓发货能力提升5倍，是「国企+民企+央企」与「油改水」转型标杆。在定制家居渗透率提升与装配式装修背景下，行业向工业4.0、柔性定制、绿色水性漆与整装交付升级。主要风险为地产下行、价格战与应收账款占用。</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费县终端产品企业（2024）</w:t>
            </w:r>
          </w:p>
        </w:tc>
        <w:tc>
          <w:tcPr>
            <w:tcW w:type="dxa" w:w="2835"/>
          </w:tcPr>
          <w:p>
            <w:pPr>
              <w:spacing w:lineRule="exact" w:line="600"/>
              <w:jc w:val="center"/>
            </w:pPr>
            <w:r/>
            <w:r>
              <w:rPr>
                <w:rFonts w:ascii="仿宋_GB2312" w:hAnsi="仿宋_GB2312" w:eastAsia="仿宋_GB2312"/>
                <w:b w:val="0"/>
                <w:color w:val="000000"/>
                <w:sz w:val="32"/>
              </w:rPr>
              <w:t>93家（全屋定制/家具橱柜）</w:t>
            </w:r>
          </w:p>
        </w:tc>
        <w:tc>
          <w:tcPr>
            <w:tcW w:type="dxa" w:w="3118"/>
          </w:tcPr>
          <w:p>
            <w:pPr>
              <w:spacing w:lineRule="exact" w:line="600"/>
              <w:jc w:val="center"/>
            </w:pPr>
            <w:r/>
            <w:r>
              <w:rPr>
                <w:rFonts w:ascii="仿宋_GB2312" w:hAnsi="仿宋_GB2312" w:eastAsia="仿宋_GB2312"/>
                <w:b w:val="0"/>
                <w:color w:val="000000"/>
                <w:sz w:val="32"/>
              </w:rPr>
              <w:t>wood168.net</w:t>
            </w:r>
          </w:p>
        </w:tc>
      </w:tr>
      <w:tr>
        <w:tc>
          <w:tcPr>
            <w:tcW w:type="dxa" w:w="2835"/>
          </w:tcPr>
          <w:p>
            <w:pPr>
              <w:spacing w:lineRule="exact" w:line="600"/>
              <w:jc w:val="center"/>
            </w:pPr>
            <w:r/>
            <w:r>
              <w:rPr>
                <w:rFonts w:ascii="仿宋_GB2312" w:hAnsi="仿宋_GB2312" w:eastAsia="仿宋_GB2312"/>
                <w:b w:val="0"/>
                <w:color w:val="000000"/>
                <w:sz w:val="32"/>
              </w:rPr>
              <w:t>临沂全屋定制规模</w:t>
            </w:r>
          </w:p>
        </w:tc>
        <w:tc>
          <w:tcPr>
            <w:tcW w:type="dxa" w:w="2835"/>
          </w:tcPr>
          <w:p>
            <w:pPr>
              <w:spacing w:lineRule="exact" w:line="600"/>
              <w:jc w:val="center"/>
            </w:pPr>
            <w:r/>
            <w:r>
              <w:rPr>
                <w:rFonts w:ascii="仿宋_GB2312" w:hAnsi="仿宋_GB2312" w:eastAsia="仿宋_GB2312"/>
                <w:b w:val="0"/>
                <w:color w:val="000000"/>
                <w:sz w:val="32"/>
              </w:rPr>
              <w:t>50余家、70万套/年</w:t>
            </w:r>
          </w:p>
        </w:tc>
        <w:tc>
          <w:tcPr>
            <w:tcW w:type="dxa" w:w="3118"/>
          </w:tcPr>
          <w:p>
            <w:pPr>
              <w:spacing w:lineRule="exact" w:line="600"/>
              <w:jc w:val="center"/>
            </w:pPr>
            <w:r/>
            <w:r>
              <w:rPr>
                <w:rFonts w:ascii="仿宋_GB2312" w:hAnsi="仿宋_GB2312" w:eastAsia="仿宋_GB2312"/>
                <w:b w:val="0"/>
                <w:color w:val="000000"/>
                <w:sz w:val="32"/>
              </w:rPr>
              <w:t>临沂市木业产业链研究</w:t>
            </w:r>
          </w:p>
        </w:tc>
      </w:tr>
      <w:tr>
        <w:tc>
          <w:tcPr>
            <w:tcW w:type="dxa" w:w="2835"/>
          </w:tcPr>
          <w:p>
            <w:pPr>
              <w:spacing w:lineRule="exact" w:line="600"/>
              <w:jc w:val="center"/>
            </w:pPr>
            <w:r/>
            <w:r>
              <w:rPr>
                <w:rFonts w:ascii="仿宋_GB2312" w:hAnsi="仿宋_GB2312" w:eastAsia="仿宋_GB2312"/>
                <w:b w:val="0"/>
                <w:color w:val="000000"/>
                <w:sz w:val="32"/>
              </w:rPr>
              <w:t>泰森日盛2022营收</w:t>
            </w:r>
          </w:p>
        </w:tc>
        <w:tc>
          <w:tcPr>
            <w:tcW w:type="dxa" w:w="2835"/>
          </w:tcPr>
          <w:p>
            <w:pPr>
              <w:spacing w:lineRule="exact" w:line="600"/>
              <w:jc w:val="center"/>
            </w:pPr>
            <w:r/>
            <w:r>
              <w:rPr>
                <w:rFonts w:ascii="仿宋_GB2312" w:hAnsi="仿宋_GB2312" w:eastAsia="仿宋_GB2312"/>
                <w:b w:val="0"/>
                <w:color w:val="000000"/>
                <w:sz w:val="32"/>
              </w:rPr>
              <w:t>14.25亿元（综合赋税1.2亿）</w:t>
            </w:r>
          </w:p>
        </w:tc>
        <w:tc>
          <w:tcPr>
            <w:tcW w:type="dxa" w:w="3118"/>
          </w:tcPr>
          <w:p>
            <w:pPr>
              <w:spacing w:lineRule="exact" w:line="600"/>
              <w:jc w:val="center"/>
            </w:pPr>
            <w:r/>
            <w:r>
              <w:rPr>
                <w:rFonts w:ascii="仿宋_GB2312" w:hAnsi="仿宋_GB2312" w:eastAsia="仿宋_GB2312"/>
                <w:b w:val="0"/>
                <w:color w:val="000000"/>
                <w:sz w:val="32"/>
              </w:rPr>
              <w:t>央广网/网易</w:t>
            </w:r>
          </w:p>
        </w:tc>
      </w:tr>
      <w:tr>
        <w:tc>
          <w:tcPr>
            <w:tcW w:type="dxa" w:w="2835"/>
          </w:tcPr>
          <w:p>
            <w:pPr>
              <w:spacing w:lineRule="exact" w:line="600"/>
              <w:jc w:val="center"/>
            </w:pPr>
            <w:r/>
            <w:r>
              <w:rPr>
                <w:rFonts w:ascii="仿宋_GB2312" w:hAnsi="仿宋_GB2312" w:eastAsia="仿宋_GB2312"/>
                <w:b w:val="0"/>
                <w:color w:val="000000"/>
                <w:sz w:val="32"/>
              </w:rPr>
              <w:t>泰森工业4.0项目</w:t>
            </w:r>
          </w:p>
        </w:tc>
        <w:tc>
          <w:tcPr>
            <w:tcW w:type="dxa" w:w="2835"/>
          </w:tcPr>
          <w:p>
            <w:pPr>
              <w:spacing w:lineRule="exact" w:line="600"/>
              <w:jc w:val="center"/>
            </w:pPr>
            <w:r/>
            <w:r>
              <w:rPr>
                <w:rFonts w:ascii="仿宋_GB2312" w:hAnsi="仿宋_GB2312" w:eastAsia="仿宋_GB2312"/>
                <w:b w:val="0"/>
                <w:color w:val="000000"/>
                <w:sz w:val="32"/>
              </w:rPr>
              <w:t>投资8.6亿、年销售10亿、效率+25%</w:t>
            </w:r>
          </w:p>
        </w:tc>
        <w:tc>
          <w:tcPr>
            <w:tcW w:type="dxa" w:w="3118"/>
          </w:tcPr>
          <w:p>
            <w:pPr>
              <w:spacing w:lineRule="exact" w:line="600"/>
              <w:jc w:val="center"/>
            </w:pPr>
            <w:r/>
            <w:r>
              <w:rPr>
                <w:rFonts w:ascii="仿宋_GB2312" w:hAnsi="仿宋_GB2312" w:eastAsia="仿宋_GB2312"/>
                <w:b w:val="0"/>
                <w:color w:val="000000"/>
                <w:sz w:val="32"/>
              </w:rPr>
              <w:t>央广网/网易</w:t>
            </w:r>
          </w:p>
        </w:tc>
      </w:tr>
      <w:tr>
        <w:tc>
          <w:tcPr>
            <w:tcW w:type="dxa" w:w="2835"/>
          </w:tcPr>
          <w:p>
            <w:pPr>
              <w:spacing w:lineRule="exact" w:line="600"/>
              <w:jc w:val="center"/>
            </w:pPr>
            <w:r/>
            <w:r>
              <w:rPr>
                <w:rFonts w:ascii="仿宋_GB2312" w:hAnsi="仿宋_GB2312" w:eastAsia="仿宋_GB2312"/>
                <w:b w:val="0"/>
                <w:color w:val="000000"/>
                <w:sz w:val="32"/>
              </w:rPr>
              <w:t>安信美家产能</w:t>
            </w:r>
          </w:p>
        </w:tc>
        <w:tc>
          <w:tcPr>
            <w:tcW w:type="dxa" w:w="2835"/>
          </w:tcPr>
          <w:p>
            <w:pPr>
              <w:spacing w:lineRule="exact" w:line="600"/>
              <w:jc w:val="center"/>
            </w:pPr>
            <w:r/>
            <w:r>
              <w:rPr>
                <w:rFonts w:ascii="仿宋_GB2312" w:hAnsi="仿宋_GB2312" w:eastAsia="仿宋_GB2312"/>
                <w:b w:val="0"/>
                <w:color w:val="000000"/>
                <w:sz w:val="32"/>
              </w:rPr>
              <w:t>年产10万套橱柜</w:t>
            </w:r>
          </w:p>
        </w:tc>
        <w:tc>
          <w:tcPr>
            <w:tcW w:type="dxa" w:w="3118"/>
          </w:tcPr>
          <w:p>
            <w:pPr>
              <w:spacing w:lineRule="exact" w:line="600"/>
              <w:jc w:val="center"/>
            </w:pPr>
            <w:r/>
            <w:r>
              <w:rPr>
                <w:rFonts w:ascii="仿宋_GB2312" w:hAnsi="仿宋_GB2312" w:eastAsia="仿宋_GB2312"/>
                <w:b w:val="0"/>
                <w:color w:val="000000"/>
                <w:sz w:val="32"/>
              </w:rPr>
              <w:t>wood365.cn/焦点家居</w:t>
            </w:r>
          </w:p>
        </w:tc>
      </w:tr>
      <w:tr>
        <w:tc>
          <w:tcPr>
            <w:tcW w:type="dxa" w:w="2835"/>
          </w:tcPr>
          <w:p>
            <w:pPr>
              <w:spacing w:lineRule="exact" w:line="600"/>
              <w:jc w:val="center"/>
            </w:pPr>
            <w:r/>
            <w:r>
              <w:rPr>
                <w:rFonts w:ascii="仿宋_GB2312" w:hAnsi="仿宋_GB2312" w:eastAsia="仿宋_GB2312"/>
                <w:b w:val="0"/>
                <w:color w:val="000000"/>
                <w:sz w:val="32"/>
              </w:rPr>
              <w:t>安信名伦木造</w:t>
            </w:r>
          </w:p>
        </w:tc>
        <w:tc>
          <w:tcPr>
            <w:tcW w:type="dxa" w:w="2835"/>
          </w:tcPr>
          <w:p>
            <w:pPr>
              <w:spacing w:lineRule="exact" w:line="600"/>
              <w:jc w:val="center"/>
            </w:pPr>
            <w:r/>
            <w:r>
              <w:rPr>
                <w:rFonts w:ascii="仿宋_GB2312" w:hAnsi="仿宋_GB2312" w:eastAsia="仿宋_GB2312"/>
                <w:b w:val="0"/>
                <w:color w:val="000000"/>
                <w:sz w:val="32"/>
              </w:rPr>
              <w:t>门店超230家、海外订单+40%</w:t>
            </w:r>
          </w:p>
        </w:tc>
        <w:tc>
          <w:tcPr>
            <w:tcW w:type="dxa" w:w="3118"/>
          </w:tcPr>
          <w:p>
            <w:pPr>
              <w:spacing w:lineRule="exact" w:line="600"/>
              <w:jc w:val="center"/>
            </w:pPr>
            <w:r/>
            <w:r>
              <w:rPr>
                <w:rFonts w:ascii="仿宋_GB2312" w:hAnsi="仿宋_GB2312" w:eastAsia="仿宋_GB2312"/>
                <w:b w:val="0"/>
                <w:color w:val="000000"/>
                <w:sz w:val="32"/>
              </w:rPr>
              <w:t>琅琊新闻网</w:t>
            </w:r>
          </w:p>
        </w:tc>
      </w:tr>
      <w:tr>
        <w:tc>
          <w:tcPr>
            <w:tcW w:type="dxa" w:w="2835"/>
          </w:tcPr>
          <w:p>
            <w:pPr>
              <w:spacing w:lineRule="exact" w:line="600"/>
              <w:jc w:val="center"/>
            </w:pPr>
            <w:r/>
            <w:r>
              <w:rPr>
                <w:rFonts w:ascii="仿宋_GB2312" w:hAnsi="仿宋_GB2312" w:eastAsia="仿宋_GB2312"/>
                <w:b w:val="0"/>
                <w:color w:val="000000"/>
                <w:sz w:val="32"/>
              </w:rPr>
              <w:t>泰森专利</w:t>
            </w:r>
          </w:p>
        </w:tc>
        <w:tc>
          <w:tcPr>
            <w:tcW w:type="dxa" w:w="2835"/>
          </w:tcPr>
          <w:p>
            <w:pPr>
              <w:spacing w:lineRule="exact" w:line="600"/>
              <w:jc w:val="center"/>
            </w:pPr>
            <w:r/>
            <w:r>
              <w:rPr>
                <w:rFonts w:ascii="仿宋_GB2312" w:hAnsi="仿宋_GB2312" w:eastAsia="仿宋_GB2312"/>
                <w:b w:val="0"/>
                <w:color w:val="000000"/>
                <w:sz w:val="32"/>
              </w:rPr>
              <w:t>134项、CNAS实验室</w:t>
            </w:r>
          </w:p>
        </w:tc>
        <w:tc>
          <w:tcPr>
            <w:tcW w:type="dxa" w:w="3118"/>
          </w:tcPr>
          <w:p>
            <w:pPr>
              <w:spacing w:lineRule="exact" w:line="600"/>
              <w:jc w:val="center"/>
            </w:pPr>
            <w:r/>
            <w:r>
              <w:rPr>
                <w:rFonts w:ascii="仿宋_GB2312" w:hAnsi="仿宋_GB2312" w:eastAsia="仿宋_GB2312"/>
                <w:b w:val="0"/>
                <w:color w:val="000000"/>
                <w:sz w:val="32"/>
              </w:rPr>
              <w:t>央广网/网易</w:t>
            </w:r>
          </w:p>
        </w:tc>
      </w:tr>
      <w:tr>
        <w:tc>
          <w:tcPr>
            <w:tcW w:type="dxa" w:w="2835"/>
          </w:tcPr>
          <w:p>
            <w:pPr>
              <w:spacing w:lineRule="exact" w:line="600"/>
              <w:jc w:val="center"/>
            </w:pPr>
            <w:r/>
            <w:r>
              <w:rPr>
                <w:rFonts w:ascii="仿宋_GB2312" w:hAnsi="仿宋_GB2312" w:eastAsia="仿宋_GB2312"/>
                <w:b w:val="0"/>
                <w:color w:val="000000"/>
                <w:sz w:val="32"/>
              </w:rPr>
              <w:t>探沂镇木业相关企业</w:t>
            </w:r>
          </w:p>
        </w:tc>
        <w:tc>
          <w:tcPr>
            <w:tcW w:type="dxa" w:w="2835"/>
          </w:tcPr>
          <w:p>
            <w:pPr>
              <w:spacing w:lineRule="exact" w:line="600"/>
              <w:jc w:val="center"/>
            </w:pPr>
            <w:r/>
            <w:r>
              <w:rPr>
                <w:rFonts w:ascii="仿宋_GB2312" w:hAnsi="仿宋_GB2312" w:eastAsia="仿宋_GB2312"/>
                <w:b w:val="0"/>
                <w:color w:val="000000"/>
                <w:sz w:val="32"/>
              </w:rPr>
              <w:t>4600余家</w:t>
            </w:r>
          </w:p>
        </w:tc>
        <w:tc>
          <w:tcPr>
            <w:tcW w:type="dxa" w:w="3118"/>
          </w:tcPr>
          <w:p>
            <w:pPr>
              <w:spacing w:lineRule="exact" w:line="600"/>
              <w:jc w:val="center"/>
            </w:pPr>
            <w:r/>
            <w:r>
              <w:rPr>
                <w:rFonts w:ascii="仿宋_GB2312" w:hAnsi="仿宋_GB2312" w:eastAsia="仿宋_GB2312"/>
                <w:b w:val="0"/>
                <w:color w:val="000000"/>
                <w:sz w:val="32"/>
              </w:rPr>
              <w:t>琅琊新闻网</w:t>
            </w:r>
          </w:p>
        </w:tc>
      </w:tr>
      <w:tr>
        <w:tc>
          <w:tcPr>
            <w:tcW w:type="dxa" w:w="2835"/>
          </w:tcPr>
          <w:p>
            <w:pPr>
              <w:spacing w:lineRule="exact" w:line="600"/>
              <w:jc w:val="center"/>
            </w:pPr>
            <w:r/>
            <w:r>
              <w:rPr>
                <w:rFonts w:ascii="仿宋_GB2312" w:hAnsi="仿宋_GB2312" w:eastAsia="仿宋_GB2312"/>
                <w:b w:val="0"/>
                <w:color w:val="000000"/>
                <w:sz w:val="32"/>
              </w:rPr>
              <w:t>费县技改投资（2024）</w:t>
            </w:r>
          </w:p>
        </w:tc>
        <w:tc>
          <w:tcPr>
            <w:tcW w:type="dxa" w:w="2835"/>
          </w:tcPr>
          <w:p>
            <w:pPr>
              <w:spacing w:lineRule="exact" w:line="600"/>
              <w:jc w:val="center"/>
            </w:pPr>
            <w:r/>
            <w:r>
              <w:rPr>
                <w:rFonts w:ascii="仿宋_GB2312" w:hAnsi="仿宋_GB2312" w:eastAsia="仿宋_GB2312"/>
                <w:b w:val="0"/>
                <w:color w:val="000000"/>
                <w:sz w:val="32"/>
              </w:rPr>
              <w:t>35.7亿元（同比+21.3%）</w:t>
            </w:r>
          </w:p>
        </w:tc>
        <w:tc>
          <w:tcPr>
            <w:tcW w:type="dxa" w:w="3118"/>
          </w:tcPr>
          <w:p>
            <w:pPr>
              <w:spacing w:lineRule="exact" w:line="600"/>
              <w:jc w:val="center"/>
            </w:pPr>
            <w:r/>
            <w:r>
              <w:rPr>
                <w:rFonts w:ascii="仿宋_GB2312" w:hAnsi="仿宋_GB2312" w:eastAsia="仿宋_GB2312"/>
                <w:b w:val="0"/>
                <w:color w:val="000000"/>
                <w:sz w:val="32"/>
              </w:rPr>
              <w:t>费县2024工业成绩单</w:t>
            </w:r>
          </w:p>
        </w:tc>
      </w:tr>
      <w:tr>
        <w:tc>
          <w:tcPr>
            <w:tcW w:type="dxa" w:w="2835"/>
          </w:tcPr>
          <w:p>
            <w:pPr>
              <w:spacing w:lineRule="exact" w:line="600"/>
              <w:jc w:val="center"/>
            </w:pPr>
            <w:r/>
            <w:r>
              <w:rPr>
                <w:rFonts w:ascii="仿宋_GB2312" w:hAnsi="仿宋_GB2312" w:eastAsia="仿宋_GB2312"/>
                <w:b w:val="0"/>
                <w:color w:val="000000"/>
                <w:sz w:val="32"/>
              </w:rPr>
              <w:t>木业产业大脑</w:t>
            </w:r>
          </w:p>
        </w:tc>
        <w:tc>
          <w:tcPr>
            <w:tcW w:type="dxa" w:w="2835"/>
          </w:tcPr>
          <w:p>
            <w:pPr>
              <w:spacing w:lineRule="exact" w:line="600"/>
              <w:jc w:val="center"/>
            </w:pPr>
            <w:r/>
            <w:r>
              <w:rPr>
                <w:rFonts w:ascii="仿宋_GB2312" w:hAnsi="仿宋_GB2312" w:eastAsia="仿宋_GB2312"/>
                <w:b w:val="0"/>
                <w:color w:val="000000"/>
                <w:sz w:val="32"/>
              </w:rPr>
              <w:t>省级试点</w:t>
            </w:r>
          </w:p>
        </w:tc>
        <w:tc>
          <w:tcPr>
            <w:tcW w:type="dxa" w:w="3118"/>
          </w:tcPr>
          <w:p>
            <w:pPr>
              <w:spacing w:lineRule="exact" w:line="600"/>
              <w:jc w:val="center"/>
            </w:pPr>
            <w:r/>
            <w:r>
              <w:rPr>
                <w:rFonts w:ascii="仿宋_GB2312" w:hAnsi="仿宋_GB2312" w:eastAsia="仿宋_GB2312"/>
                <w:b w:val="0"/>
                <w:color w:val="000000"/>
                <w:sz w:val="32"/>
              </w:rPr>
              <w:t>新华财经</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（一）定制家居渗透率提升</w:t>
      </w:r>
    </w:p>
    <w:p>
      <w:pPr>
        <w:spacing w:lineRule="exact" w:line="600" w:before="0" w:after="0"/>
        <w:ind w:firstLine="420"/>
        <w:jc w:val="both"/>
      </w:pPr>
      <w:r>
        <w:rPr>
          <w:rFonts w:ascii="仿宋_GB2312" w:hAnsi="仿宋_GB2312" w:eastAsia="仿宋_GB2312"/>
          <w:b w:val="0"/>
          <w:color w:val="000000"/>
          <w:sz w:val="32"/>
        </w:rPr>
        <w:t>在消费升级与精装房占比提升背景下，板式家具向全屋定制、整体家装演进，定制家居渗透率持续提高。费县顺应趋势推动木业由单板、板材向终端家具、定制家居升级，2024年全县全屋定制、家具橱柜等终端产品生产企业发展到93家（来源：wood168.net）。临沂全市现有全屋定制企业50余家、年产定制产品70万套，形成从测量、设计下单、智能排产到上门安装完整链条（来源：临沂市木业产业链研究）。</w:t>
      </w:r>
    </w:p>
    <w:p>
      <w:pPr>
        <w:spacing w:lineRule="exact" w:line="600" w:before="120" w:after="120"/>
        <w:ind w:firstLine="420"/>
        <w:jc w:val="left"/>
      </w:pPr>
      <w:r>
        <w:rPr>
          <w:rFonts w:ascii="楷体_GB2312" w:hAnsi="楷体_GB2312" w:eastAsia="楷体_GB2312"/>
          <w:b w:val="0"/>
          <w:color w:val="000000"/>
          <w:sz w:val="32"/>
        </w:rPr>
        <w:t>（二）区域定位：北方整装智造中心</w:t>
      </w:r>
    </w:p>
    <w:p>
      <w:pPr>
        <w:spacing w:lineRule="exact" w:line="600" w:before="0" w:after="0"/>
        <w:ind w:firstLine="420"/>
        <w:jc w:val="both"/>
      </w:pPr>
      <w:r>
        <w:rPr>
          <w:rFonts w:ascii="仿宋_GB2312" w:hAnsi="仿宋_GB2312" w:eastAsia="仿宋_GB2312"/>
          <w:b w:val="0"/>
          <w:color w:val="000000"/>
          <w:sz w:val="32"/>
        </w:rPr>
        <w:t>费县以「生产一张绿色板、智造一个健康家」为标识，目标打造「中国北方全屋整装智造中心」，使木业产值突破500亿元（来源：央广网/网易转载）。探沂镇作为「中国木业特色小镇」，木业相关企业4600余家，2公里半径内可完成从原木到成品家具全流程（来源：琅琊新闻网、中木商网）。集群获评全市唯一「国家级中小企业特色产业集群」，政策与品牌势能充足（来源：wood168.net）。</w:t>
      </w:r>
    </w:p>
    <w:p>
      <w:pPr>
        <w:spacing w:lineRule="exact" w:line="600" w:before="120" w:after="120"/>
        <w:ind w:firstLine="420"/>
        <w:jc w:val="left"/>
      </w:pPr>
      <w:r>
        <w:rPr>
          <w:rFonts w:ascii="楷体_GB2312" w:hAnsi="楷体_GB2312" w:eastAsia="楷体_GB2312"/>
          <w:b w:val="0"/>
          <w:color w:val="000000"/>
          <w:sz w:val="32"/>
        </w:rPr>
        <w:t>（三）绿色建筑与装配式装修</w:t>
      </w:r>
    </w:p>
    <w:p>
      <w:pPr>
        <w:spacing w:lineRule="exact" w:line="600" w:before="0" w:after="0"/>
        <w:ind w:firstLine="420"/>
        <w:jc w:val="both"/>
      </w:pPr>
      <w:r>
        <w:rPr>
          <w:rFonts w:ascii="仿宋_GB2312" w:hAnsi="仿宋_GB2312" w:eastAsia="仿宋_GB2312"/>
          <w:b w:val="0"/>
          <w:color w:val="000000"/>
          <w:sz w:val="32"/>
        </w:rPr>
        <w:t>装配式建筑与装配式装修政策推动板式家具工厂化、模块化交付。泰森日盛建设装配式装修样板房，应用智能窗帘、升降梳妆台、电动密室门等，门板采用无醛板材、实木开放漆工艺、装配式铝蜂窝板吊顶（来源：央广网/网易）。旧改、存量翻新与保障房为板式定制提供增量，缓解地产新建下行冲击（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宏观指标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费县终端产品企业</w:t>
            </w:r>
          </w:p>
        </w:tc>
        <w:tc>
          <w:tcPr>
            <w:tcW w:type="dxa" w:w="3118"/>
          </w:tcPr>
          <w:p>
            <w:pPr>
              <w:spacing w:lineRule="exact" w:line="600"/>
              <w:jc w:val="center"/>
            </w:pPr>
            <w:r/>
            <w:r>
              <w:rPr>
                <w:rFonts w:ascii="仿宋_GB2312" w:hAnsi="仿宋_GB2312" w:eastAsia="仿宋_GB2312"/>
                <w:b w:val="0"/>
                <w:color w:val="000000"/>
                <w:sz w:val="32"/>
              </w:rPr>
              <w:t>93家（全屋定制/家具橱柜）</w:t>
            </w:r>
          </w:p>
        </w:tc>
        <w:tc>
          <w:tcPr>
            <w:tcW w:type="dxa" w:w="2551"/>
          </w:tcPr>
          <w:p>
            <w:pPr>
              <w:spacing w:lineRule="exact" w:line="600"/>
              <w:jc w:val="center"/>
            </w:pPr>
            <w:r/>
            <w:r>
              <w:rPr>
                <w:rFonts w:ascii="仿宋_GB2312" w:hAnsi="仿宋_GB2312" w:eastAsia="仿宋_GB2312"/>
                <w:b w:val="0"/>
                <w:color w:val="000000"/>
                <w:sz w:val="32"/>
              </w:rPr>
              <w:t>wood168.net/2024</w:t>
            </w:r>
          </w:p>
        </w:tc>
      </w:tr>
      <w:tr>
        <w:tc>
          <w:tcPr>
            <w:tcW w:type="dxa" w:w="2835"/>
          </w:tcPr>
          <w:p>
            <w:pPr>
              <w:spacing w:lineRule="exact" w:line="600"/>
              <w:jc w:val="center"/>
            </w:pPr>
            <w:r/>
            <w:r>
              <w:rPr>
                <w:rFonts w:ascii="仿宋_GB2312" w:hAnsi="仿宋_GB2312" w:eastAsia="仿宋_GB2312"/>
                <w:b w:val="0"/>
                <w:color w:val="000000"/>
                <w:sz w:val="32"/>
              </w:rPr>
              <w:t>临沂全屋定制</w:t>
            </w:r>
          </w:p>
        </w:tc>
        <w:tc>
          <w:tcPr>
            <w:tcW w:type="dxa" w:w="3118"/>
          </w:tcPr>
          <w:p>
            <w:pPr>
              <w:spacing w:lineRule="exact" w:line="600"/>
              <w:jc w:val="center"/>
            </w:pPr>
            <w:r/>
            <w:r>
              <w:rPr>
                <w:rFonts w:ascii="仿宋_GB2312" w:hAnsi="仿宋_GB2312" w:eastAsia="仿宋_GB2312"/>
                <w:b w:val="0"/>
                <w:color w:val="000000"/>
                <w:sz w:val="32"/>
              </w:rPr>
              <w:t>50余家、70万套/年</w:t>
            </w:r>
          </w:p>
        </w:tc>
        <w:tc>
          <w:tcPr>
            <w:tcW w:type="dxa" w:w="2551"/>
          </w:tcPr>
          <w:p>
            <w:pPr>
              <w:spacing w:lineRule="exact" w:line="600"/>
              <w:jc w:val="center"/>
            </w:pPr>
            <w:r/>
            <w:r>
              <w:rPr>
                <w:rFonts w:ascii="仿宋_GB2312" w:hAnsi="仿宋_GB2312" w:eastAsia="仿宋_GB2312"/>
                <w:b w:val="0"/>
                <w:color w:val="000000"/>
                <w:sz w:val="32"/>
              </w:rPr>
              <w:t>临沂市木业产业链研究</w:t>
            </w:r>
          </w:p>
        </w:tc>
      </w:tr>
      <w:tr>
        <w:tc>
          <w:tcPr>
            <w:tcW w:type="dxa" w:w="2835"/>
          </w:tcPr>
          <w:p>
            <w:pPr>
              <w:spacing w:lineRule="exact" w:line="600"/>
              <w:jc w:val="center"/>
            </w:pPr>
            <w:r/>
            <w:r>
              <w:rPr>
                <w:rFonts w:ascii="仿宋_GB2312" w:hAnsi="仿宋_GB2312" w:eastAsia="仿宋_GB2312"/>
                <w:b w:val="0"/>
                <w:color w:val="000000"/>
                <w:sz w:val="32"/>
              </w:rPr>
              <w:t>探沂镇木业相关企业</w:t>
            </w:r>
          </w:p>
        </w:tc>
        <w:tc>
          <w:tcPr>
            <w:tcW w:type="dxa" w:w="3118"/>
          </w:tcPr>
          <w:p>
            <w:pPr>
              <w:spacing w:lineRule="exact" w:line="600"/>
              <w:jc w:val="center"/>
            </w:pPr>
            <w:r/>
            <w:r>
              <w:rPr>
                <w:rFonts w:ascii="仿宋_GB2312" w:hAnsi="仿宋_GB2312" w:eastAsia="仿宋_GB2312"/>
                <w:b w:val="0"/>
                <w:color w:val="000000"/>
                <w:sz w:val="32"/>
              </w:rPr>
              <w:t>4600余家</w:t>
            </w:r>
          </w:p>
        </w:tc>
        <w:tc>
          <w:tcPr>
            <w:tcW w:type="dxa" w:w="2551"/>
          </w:tcPr>
          <w:p>
            <w:pPr>
              <w:spacing w:lineRule="exact" w:line="600"/>
              <w:jc w:val="center"/>
            </w:pPr>
            <w:r/>
            <w:r>
              <w:rPr>
                <w:rFonts w:ascii="仿宋_GB2312" w:hAnsi="仿宋_GB2312" w:eastAsia="仿宋_GB2312"/>
                <w:b w:val="0"/>
                <w:color w:val="000000"/>
                <w:sz w:val="32"/>
              </w:rPr>
              <w:t>琅琊新闻网</w:t>
            </w:r>
          </w:p>
        </w:tc>
      </w:tr>
      <w:tr>
        <w:tc>
          <w:tcPr>
            <w:tcW w:type="dxa" w:w="2835"/>
          </w:tcPr>
          <w:p>
            <w:pPr>
              <w:spacing w:lineRule="exact" w:line="600"/>
              <w:jc w:val="center"/>
            </w:pPr>
            <w:r/>
            <w:r>
              <w:rPr>
                <w:rFonts w:ascii="仿宋_GB2312" w:hAnsi="仿宋_GB2312" w:eastAsia="仿宋_GB2312"/>
                <w:b w:val="0"/>
                <w:color w:val="000000"/>
                <w:sz w:val="32"/>
              </w:rPr>
              <w:t>国家级特色产业集群</w:t>
            </w:r>
          </w:p>
        </w:tc>
        <w:tc>
          <w:tcPr>
            <w:tcW w:type="dxa" w:w="3118"/>
          </w:tcPr>
          <w:p>
            <w:pPr>
              <w:spacing w:lineRule="exact" w:line="600"/>
              <w:jc w:val="center"/>
            </w:pPr>
            <w:r/>
            <w:r>
              <w:rPr>
                <w:rFonts w:ascii="仿宋_GB2312" w:hAnsi="仿宋_GB2312" w:eastAsia="仿宋_GB2312"/>
                <w:b w:val="0"/>
                <w:color w:val="000000"/>
                <w:sz w:val="32"/>
              </w:rPr>
              <w:t>全市唯一（费县木业）</w:t>
            </w:r>
          </w:p>
        </w:tc>
        <w:tc>
          <w:tcPr>
            <w:tcW w:type="dxa" w:w="2551"/>
          </w:tcPr>
          <w:p>
            <w:pPr>
              <w:spacing w:lineRule="exact" w:line="600"/>
              <w:jc w:val="center"/>
            </w:pPr>
            <w:r/>
            <w:r>
              <w:rPr>
                <w:rFonts w:ascii="仿宋_GB2312" w:hAnsi="仿宋_GB2312" w:eastAsia="仿宋_GB2312"/>
                <w:b w:val="0"/>
                <w:color w:val="000000"/>
                <w:sz w:val="32"/>
              </w:rPr>
              <w:t>wood168.net/2024</w:t>
            </w:r>
          </w:p>
        </w:tc>
      </w:tr>
      <w:tr>
        <w:tc>
          <w:tcPr>
            <w:tcW w:type="dxa" w:w="2835"/>
          </w:tcPr>
          <w:p>
            <w:pPr>
              <w:spacing w:lineRule="exact" w:line="600"/>
              <w:jc w:val="center"/>
            </w:pPr>
            <w:r/>
            <w:r>
              <w:rPr>
                <w:rFonts w:ascii="仿宋_GB2312" w:hAnsi="仿宋_GB2312" w:eastAsia="仿宋_GB2312"/>
                <w:b w:val="0"/>
                <w:color w:val="000000"/>
                <w:sz w:val="32"/>
              </w:rPr>
              <w:t>产业目标</w:t>
            </w:r>
          </w:p>
        </w:tc>
        <w:tc>
          <w:tcPr>
            <w:tcW w:type="dxa" w:w="3118"/>
          </w:tcPr>
          <w:p>
            <w:pPr>
              <w:spacing w:lineRule="exact" w:line="600"/>
              <w:jc w:val="center"/>
            </w:pPr>
            <w:r/>
            <w:r>
              <w:rPr>
                <w:rFonts w:ascii="仿宋_GB2312" w:hAnsi="仿宋_GB2312" w:eastAsia="仿宋_GB2312"/>
                <w:b w:val="0"/>
                <w:color w:val="000000"/>
                <w:sz w:val="32"/>
              </w:rPr>
              <w:t>中国北方全屋整装智造中心</w:t>
            </w:r>
          </w:p>
        </w:tc>
        <w:tc>
          <w:tcPr>
            <w:tcW w:type="dxa" w:w="2551"/>
          </w:tcPr>
          <w:p>
            <w:pPr>
              <w:spacing w:lineRule="exact" w:line="600"/>
              <w:jc w:val="center"/>
            </w:pPr>
            <w:r/>
            <w:r>
              <w:rPr>
                <w:rFonts w:ascii="仿宋_GB2312" w:hAnsi="仿宋_GB2312" w:eastAsia="仿宋_GB2312"/>
                <w:b w:val="0"/>
                <w:color w:val="000000"/>
                <w:sz w:val="32"/>
              </w:rPr>
              <w:t>央广网/网易</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（一）上游：基材与五金供应</w:t>
      </w:r>
    </w:p>
    <w:p>
      <w:pPr>
        <w:spacing w:lineRule="exact" w:line="600" w:before="0" w:after="0"/>
        <w:ind w:firstLine="420"/>
        <w:jc w:val="both"/>
      </w:pPr>
      <w:r>
        <w:rPr>
          <w:rFonts w:ascii="仿宋_GB2312" w:hAnsi="仿宋_GB2312" w:eastAsia="仿宋_GB2312"/>
          <w:b w:val="0"/>
          <w:color w:val="000000"/>
          <w:sz w:val="32"/>
        </w:rPr>
        <w:t>板式定制上游为生态板、OSB、MDF、刨花板等基材及五金（铰链、导轨）。费县本地基材供给充足（板材产能约1920万m³/年，来源：临沂市木业产业链研究），泰森日盛产品五金采用海蒂诗（Hettich）等国际品牌（来源：泰森日盛官网）。本地化基材配套使定制企业采购半径短、响应快（行业共性研判）。</w:t>
      </w:r>
    </w:p>
    <w:p>
      <w:pPr>
        <w:spacing w:lineRule="exact" w:line="600" w:before="120" w:after="120"/>
        <w:ind w:firstLine="420"/>
        <w:jc w:val="left"/>
      </w:pPr>
      <w:r>
        <w:rPr>
          <w:rFonts w:ascii="楷体_GB2312" w:hAnsi="楷体_GB2312" w:eastAsia="楷体_GB2312"/>
          <w:b w:val="0"/>
          <w:color w:val="000000"/>
          <w:sz w:val="32"/>
        </w:rPr>
        <w:t>（二）中游：柔性制造与工业4.0</w:t>
      </w:r>
    </w:p>
    <w:p>
      <w:pPr>
        <w:spacing w:lineRule="exact" w:line="600" w:before="0" w:after="0"/>
        <w:ind w:firstLine="420"/>
        <w:jc w:val="both"/>
      </w:pPr>
      <w:r>
        <w:rPr>
          <w:rFonts w:ascii="仿宋_GB2312" w:hAnsi="仿宋_GB2312" w:eastAsia="仿宋_GB2312"/>
          <w:b w:val="0"/>
          <w:color w:val="000000"/>
          <w:sz w:val="32"/>
        </w:rPr>
        <w:t>中游为拆单、开料、封边、钻孔、涂装、装配的柔性制造。泰森日盛美好家居智能制造项目按工业4.0标准，运用自主研发IMES系统实现智能生产与智能仓储，整体效率较传统提升25%，从原料上料到包装入库全自动化，一块板材加工成门仅需3分钟（来源：央广网/网易、网易税惠稿）。安信美家引进德国全自动柔性线与意大利CEFLA水性涂装线，自主研发AHC系统，年产10万套橱柜（来源：wood365.cn、焦点家居）。</w:t>
      </w:r>
    </w:p>
    <w:p>
      <w:pPr>
        <w:spacing w:lineRule="exact" w:line="600" w:before="120" w:after="120"/>
        <w:ind w:firstLine="420"/>
        <w:jc w:val="left"/>
      </w:pPr>
      <w:r>
        <w:rPr>
          <w:rFonts w:ascii="楷体_GB2312" w:hAnsi="楷体_GB2312" w:eastAsia="楷体_GB2312"/>
          <w:b w:val="0"/>
          <w:color w:val="000000"/>
          <w:sz w:val="32"/>
        </w:rPr>
        <w:t>（三）下游：地产集采与零售整装</w:t>
      </w:r>
    </w:p>
    <w:p>
      <w:pPr>
        <w:spacing w:lineRule="exact" w:line="600" w:before="0" w:after="0"/>
        <w:ind w:firstLine="420"/>
        <w:jc w:val="both"/>
      </w:pPr>
      <w:r>
        <w:rPr>
          <w:rFonts w:ascii="仿宋_GB2312" w:hAnsi="仿宋_GB2312" w:eastAsia="仿宋_GB2312"/>
          <w:b w:val="0"/>
          <w:color w:val="000000"/>
          <w:sz w:val="32"/>
        </w:rPr>
        <w:t>下游为地产精装集采、零售全屋定制与装配式装修。泰森日盛是保利、万科、龙湖、招商蛇口、华润、融创等30余家百强地产战略集采中心，产品远销美、英、法等50多国（来源：泰森日盛官网、央广网）。安信美家旗下「名伦木造」全国门店超230家、海外订单增长40%（来源：琅琊新闻网）。渠道结构由工程集采与零售双轮驱动（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内容/代表主体</w:t>
            </w:r>
          </w:p>
        </w:tc>
        <w:tc>
          <w:tcPr>
            <w:tcW w:type="dxa" w:w="2835"/>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上游基材五金</w:t>
            </w:r>
          </w:p>
        </w:tc>
        <w:tc>
          <w:tcPr>
            <w:tcW w:type="dxa" w:w="3402"/>
          </w:tcPr>
          <w:p>
            <w:pPr>
              <w:spacing w:lineRule="exact" w:line="600"/>
              <w:jc w:val="center"/>
            </w:pPr>
            <w:r/>
            <w:r>
              <w:rPr>
                <w:rFonts w:ascii="仿宋_GB2312" w:hAnsi="仿宋_GB2312" w:eastAsia="仿宋_GB2312"/>
                <w:b w:val="0"/>
                <w:color w:val="000000"/>
                <w:sz w:val="32"/>
              </w:rPr>
              <w:t>生态板/OSB/海蒂诗五金</w:t>
            </w:r>
          </w:p>
        </w:tc>
        <w:tc>
          <w:tcPr>
            <w:tcW w:type="dxa" w:w="2835"/>
          </w:tcPr>
          <w:p>
            <w:pPr>
              <w:spacing w:lineRule="exact" w:line="600"/>
              <w:jc w:val="center"/>
            </w:pPr>
            <w:r/>
            <w:r>
              <w:rPr>
                <w:rFonts w:ascii="仿宋_GB2312" w:hAnsi="仿宋_GB2312" w:eastAsia="仿宋_GB2312"/>
                <w:b w:val="0"/>
                <w:color w:val="000000"/>
                <w:sz w:val="32"/>
              </w:rPr>
              <w:t>费县基材约1920万m³/年</w:t>
            </w:r>
          </w:p>
        </w:tc>
      </w:tr>
      <w:tr>
        <w:tc>
          <w:tcPr>
            <w:tcW w:type="dxa" w:w="2268"/>
          </w:tcPr>
          <w:p>
            <w:pPr>
              <w:spacing w:lineRule="exact" w:line="600"/>
              <w:jc w:val="center"/>
            </w:pPr>
            <w:r/>
            <w:r>
              <w:rPr>
                <w:rFonts w:ascii="仿宋_GB2312" w:hAnsi="仿宋_GB2312" w:eastAsia="仿宋_GB2312"/>
                <w:b w:val="0"/>
                <w:color w:val="000000"/>
                <w:sz w:val="32"/>
              </w:rPr>
              <w:t>中游柔性制造</w:t>
            </w:r>
          </w:p>
        </w:tc>
        <w:tc>
          <w:tcPr>
            <w:tcW w:type="dxa" w:w="3402"/>
          </w:tcPr>
          <w:p>
            <w:pPr>
              <w:spacing w:lineRule="exact" w:line="600"/>
              <w:jc w:val="center"/>
            </w:pPr>
            <w:r/>
            <w:r>
              <w:rPr>
                <w:rFonts w:ascii="仿宋_GB2312" w:hAnsi="仿宋_GB2312" w:eastAsia="仿宋_GB2312"/>
                <w:b w:val="0"/>
                <w:color w:val="000000"/>
                <w:sz w:val="32"/>
              </w:rPr>
              <w:t>泰森IMES、安信AHC</w:t>
            </w:r>
          </w:p>
        </w:tc>
        <w:tc>
          <w:tcPr>
            <w:tcW w:type="dxa" w:w="2835"/>
          </w:tcPr>
          <w:p>
            <w:pPr>
              <w:spacing w:lineRule="exact" w:line="600"/>
              <w:jc w:val="center"/>
            </w:pPr>
            <w:r/>
            <w:r>
              <w:rPr>
                <w:rFonts w:ascii="仿宋_GB2312" w:hAnsi="仿宋_GB2312" w:eastAsia="仿宋_GB2312"/>
                <w:b w:val="0"/>
                <w:color w:val="000000"/>
                <w:sz w:val="32"/>
              </w:rPr>
              <w:t>效率+25%、3分钟成门</w:t>
            </w:r>
          </w:p>
        </w:tc>
      </w:tr>
      <w:tr>
        <w:tc>
          <w:tcPr>
            <w:tcW w:type="dxa" w:w="2268"/>
          </w:tcPr>
          <w:p>
            <w:pPr>
              <w:spacing w:lineRule="exact" w:line="600"/>
              <w:jc w:val="center"/>
            </w:pPr>
            <w:r/>
            <w:r>
              <w:rPr>
                <w:rFonts w:ascii="仿宋_GB2312" w:hAnsi="仿宋_GB2312" w:eastAsia="仿宋_GB2312"/>
                <w:b w:val="0"/>
                <w:color w:val="000000"/>
                <w:sz w:val="32"/>
              </w:rPr>
              <w:t>中游产能</w:t>
            </w:r>
          </w:p>
        </w:tc>
        <w:tc>
          <w:tcPr>
            <w:tcW w:type="dxa" w:w="3402"/>
          </w:tcPr>
          <w:p>
            <w:pPr>
              <w:spacing w:lineRule="exact" w:line="600"/>
              <w:jc w:val="center"/>
            </w:pPr>
            <w:r/>
            <w:r>
              <w:rPr>
                <w:rFonts w:ascii="仿宋_GB2312" w:hAnsi="仿宋_GB2312" w:eastAsia="仿宋_GB2312"/>
                <w:b w:val="0"/>
                <w:color w:val="000000"/>
                <w:sz w:val="32"/>
              </w:rPr>
              <w:t>安信柔性线</w:t>
            </w:r>
          </w:p>
        </w:tc>
        <w:tc>
          <w:tcPr>
            <w:tcW w:type="dxa" w:w="2835"/>
          </w:tcPr>
          <w:p>
            <w:pPr>
              <w:spacing w:lineRule="exact" w:line="600"/>
              <w:jc w:val="center"/>
            </w:pPr>
            <w:r/>
            <w:r>
              <w:rPr>
                <w:rFonts w:ascii="仿宋_GB2312" w:hAnsi="仿宋_GB2312" w:eastAsia="仿宋_GB2312"/>
                <w:b w:val="0"/>
                <w:color w:val="000000"/>
                <w:sz w:val="32"/>
              </w:rPr>
              <w:t>年产10万套橱柜</w:t>
            </w:r>
          </w:p>
        </w:tc>
      </w:tr>
      <w:tr>
        <w:tc>
          <w:tcPr>
            <w:tcW w:type="dxa" w:w="2268"/>
          </w:tcPr>
          <w:p>
            <w:pPr>
              <w:spacing w:lineRule="exact" w:line="600"/>
              <w:jc w:val="center"/>
            </w:pPr>
            <w:r/>
            <w:r>
              <w:rPr>
                <w:rFonts w:ascii="仿宋_GB2312" w:hAnsi="仿宋_GB2312" w:eastAsia="仿宋_GB2312"/>
                <w:b w:val="0"/>
                <w:color w:val="000000"/>
                <w:sz w:val="32"/>
              </w:rPr>
              <w:t>下游集采</w:t>
            </w:r>
          </w:p>
        </w:tc>
        <w:tc>
          <w:tcPr>
            <w:tcW w:type="dxa" w:w="3402"/>
          </w:tcPr>
          <w:p>
            <w:pPr>
              <w:spacing w:lineRule="exact" w:line="600"/>
              <w:jc w:val="center"/>
            </w:pPr>
            <w:r/>
            <w:r>
              <w:rPr>
                <w:rFonts w:ascii="仿宋_GB2312" w:hAnsi="仿宋_GB2312" w:eastAsia="仿宋_GB2312"/>
                <w:b w:val="0"/>
                <w:color w:val="000000"/>
                <w:sz w:val="32"/>
              </w:rPr>
              <w:t>泰森+30余家百强地产</w:t>
            </w:r>
          </w:p>
        </w:tc>
        <w:tc>
          <w:tcPr>
            <w:tcW w:type="dxa" w:w="2835"/>
          </w:tcPr>
          <w:p>
            <w:pPr>
              <w:spacing w:lineRule="exact" w:line="600"/>
              <w:jc w:val="center"/>
            </w:pPr>
            <w:r/>
            <w:r>
              <w:rPr>
                <w:rFonts w:ascii="仿宋_GB2312" w:hAnsi="仿宋_GB2312" w:eastAsia="仿宋_GB2312"/>
                <w:b w:val="0"/>
                <w:color w:val="000000"/>
                <w:sz w:val="32"/>
              </w:rPr>
              <w:t>远销50多国</w:t>
            </w:r>
          </w:p>
        </w:tc>
      </w:tr>
      <w:tr>
        <w:tc>
          <w:tcPr>
            <w:tcW w:type="dxa" w:w="2268"/>
          </w:tcPr>
          <w:p>
            <w:pPr>
              <w:spacing w:lineRule="exact" w:line="600"/>
              <w:jc w:val="center"/>
            </w:pPr>
            <w:r/>
            <w:r>
              <w:rPr>
                <w:rFonts w:ascii="仿宋_GB2312" w:hAnsi="仿宋_GB2312" w:eastAsia="仿宋_GB2312"/>
                <w:b w:val="0"/>
                <w:color w:val="000000"/>
                <w:sz w:val="32"/>
              </w:rPr>
              <w:t>下游零售</w:t>
            </w:r>
          </w:p>
        </w:tc>
        <w:tc>
          <w:tcPr>
            <w:tcW w:type="dxa" w:w="3402"/>
          </w:tcPr>
          <w:p>
            <w:pPr>
              <w:spacing w:lineRule="exact" w:line="600"/>
              <w:jc w:val="center"/>
            </w:pPr>
            <w:r/>
            <w:r>
              <w:rPr>
                <w:rFonts w:ascii="仿宋_GB2312" w:hAnsi="仿宋_GB2312" w:eastAsia="仿宋_GB2312"/>
                <w:b w:val="0"/>
                <w:color w:val="000000"/>
                <w:sz w:val="32"/>
              </w:rPr>
              <w:t>安信名伦木造</w:t>
            </w:r>
          </w:p>
        </w:tc>
        <w:tc>
          <w:tcPr>
            <w:tcW w:type="dxa" w:w="2835"/>
          </w:tcPr>
          <w:p>
            <w:pPr>
              <w:spacing w:lineRule="exact" w:line="600"/>
              <w:jc w:val="center"/>
            </w:pPr>
            <w:r/>
            <w:r>
              <w:rPr>
                <w:rFonts w:ascii="仿宋_GB2312" w:hAnsi="仿宋_GB2312" w:eastAsia="仿宋_GB2312"/>
                <w:b w:val="0"/>
                <w:color w:val="000000"/>
                <w:sz w:val="32"/>
              </w:rPr>
              <w:t>门店超230家、海外+40%</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（一）供给：费县定制产能快速扩张</w:t>
      </w:r>
    </w:p>
    <w:p>
      <w:pPr>
        <w:spacing w:lineRule="exact" w:line="600" w:before="0" w:after="0"/>
        <w:ind w:firstLine="420"/>
        <w:jc w:val="both"/>
      </w:pPr>
      <w:r>
        <w:rPr>
          <w:rFonts w:ascii="仿宋_GB2312" w:hAnsi="仿宋_GB2312" w:eastAsia="仿宋_GB2312"/>
          <w:b w:val="0"/>
          <w:color w:val="000000"/>
          <w:sz w:val="32"/>
        </w:rPr>
        <w:t>供给端，费县终端定制产能快速扩张，2024年全屋定制、家具橱柜企业达93家（来源：wood168.net）。泰森日盛工业4.0项目投产后年销售10亿元，安信美家年产10万套橱柜，云擎家居7条线自动化率95%、交付周期从30天压缩至15天（来源：央广网/网易、琅琊新闻网）。探沂镇培育高新技术企业33家、省级专精特新22家，定制制造智能化水平领先（来源：琅琊新闻网）。</w:t>
      </w:r>
    </w:p>
    <w:p>
      <w:pPr>
        <w:spacing w:lineRule="exact" w:line="600" w:before="120" w:after="120"/>
        <w:ind w:firstLine="420"/>
        <w:jc w:val="left"/>
      </w:pPr>
      <w:r>
        <w:rPr>
          <w:rFonts w:ascii="楷体_GB2312" w:hAnsi="楷体_GB2312" w:eastAsia="楷体_GB2312"/>
          <w:b w:val="0"/>
          <w:color w:val="000000"/>
          <w:sz w:val="32"/>
        </w:rPr>
        <w:t>（二）需求：工程与零售双市场</w:t>
      </w:r>
    </w:p>
    <w:p>
      <w:pPr>
        <w:spacing w:lineRule="exact" w:line="600" w:before="0" w:after="0"/>
        <w:ind w:firstLine="420"/>
        <w:jc w:val="both"/>
      </w:pPr>
      <w:r>
        <w:rPr>
          <w:rFonts w:ascii="仿宋_GB2312" w:hAnsi="仿宋_GB2312" w:eastAsia="仿宋_GB2312"/>
          <w:b w:val="0"/>
          <w:color w:val="000000"/>
          <w:sz w:val="32"/>
        </w:rPr>
        <w:t>需求端由地产精装集采与零售全屋定制双轮驱动。工程端，泰森日盛服务30余家百强地产，2022年营收14.25亿元（来源：央广网/网易）；零售端，安信名伦木造门店超230家、海外订单+40%（来源：琅琊新闻网）。存量翻新、旧改与装配式装修提供增量，部分对冲地产新建下行（行业共性研判）。临沂全市定制产品70万套/年的规模显示区域需求基本盘稳固（来源：临沂市木业产业链研究）。</w:t>
      </w:r>
    </w:p>
    <w:p>
      <w:pPr>
        <w:spacing w:lineRule="exact" w:line="600" w:before="120" w:after="120"/>
        <w:ind w:firstLine="420"/>
        <w:jc w:val="left"/>
      </w:pPr>
      <w:r>
        <w:rPr>
          <w:rFonts w:ascii="楷体_GB2312" w:hAnsi="楷体_GB2312" w:eastAsia="楷体_GB2312"/>
          <w:b w:val="0"/>
          <w:color w:val="000000"/>
          <w:sz w:val="32"/>
        </w:rPr>
        <w:t>（三）竞争格局：头部集中与差异化</w:t>
      </w:r>
    </w:p>
    <w:p>
      <w:pPr>
        <w:spacing w:lineRule="exact" w:line="600" w:before="0" w:after="0"/>
        <w:ind w:firstLine="420"/>
        <w:jc w:val="both"/>
      </w:pPr>
      <w:r>
        <w:rPr>
          <w:rFonts w:ascii="仿宋_GB2312" w:hAnsi="仿宋_GB2312" w:eastAsia="仿宋_GB2312"/>
          <w:b w:val="0"/>
          <w:color w:val="000000"/>
          <w:sz w:val="32"/>
        </w:rPr>
        <w:t>竞争格局呈头部集中：泰森日盛（国资+央企背景、工程集采龙头）、安信美家（水性漆定制先行者、零售+出口）领跑，朝泰实业等集聚园区企业为中坚，长尾中小定制厂以价格竞争（来源：大众日报、泰森/安信资料）。探沂镇建立30家重点企业品牌培育库、推动19家企业从代工转自主品牌，提升整体溢价（来源：琅琊新闻网）。差异化在于绿色水性漆、工业4.0交付与整装能力（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现状</w:t>
            </w:r>
          </w:p>
        </w:tc>
        <w:tc>
          <w:tcPr>
            <w:tcW w:type="dxa" w:w="2835"/>
          </w:tcPr>
          <w:p>
            <w:pPr>
              <w:spacing w:lineRule="exact" w:line="600"/>
              <w:jc w:val="center"/>
            </w:pPr>
            <w:r/>
            <w:r>
              <w:rPr>
                <w:rFonts w:ascii="黑体" w:hAnsi="黑体" w:eastAsia="黑体"/>
                <w:b/>
                <w:color w:val="000000"/>
                <w:sz w:val="32"/>
              </w:rPr>
              <w:t>趋势</w:t>
            </w:r>
          </w:p>
        </w:tc>
      </w:tr>
      <w:tr>
        <w:tc>
          <w:tcPr>
            <w:tcW w:type="dxa" w:w="2268"/>
          </w:tcPr>
          <w:p>
            <w:pPr>
              <w:spacing w:lineRule="exact" w:line="600"/>
              <w:jc w:val="center"/>
            </w:pPr>
            <w:r/>
            <w:r>
              <w:rPr>
                <w:rFonts w:ascii="仿宋_GB2312" w:hAnsi="仿宋_GB2312" w:eastAsia="仿宋_GB2312"/>
                <w:b w:val="0"/>
                <w:color w:val="000000"/>
                <w:sz w:val="32"/>
              </w:rPr>
              <w:t>定制产能</w:t>
            </w:r>
          </w:p>
        </w:tc>
        <w:tc>
          <w:tcPr>
            <w:tcW w:type="dxa" w:w="3402"/>
          </w:tcPr>
          <w:p>
            <w:pPr>
              <w:spacing w:lineRule="exact" w:line="600"/>
              <w:jc w:val="center"/>
            </w:pPr>
            <w:r/>
            <w:r>
              <w:rPr>
                <w:rFonts w:ascii="仿宋_GB2312" w:hAnsi="仿宋_GB2312" w:eastAsia="仿宋_GB2312"/>
                <w:b w:val="0"/>
                <w:color w:val="000000"/>
                <w:sz w:val="32"/>
              </w:rPr>
              <w:t>费县终端企业93家</w:t>
            </w:r>
          </w:p>
        </w:tc>
        <w:tc>
          <w:tcPr>
            <w:tcW w:type="dxa" w:w="2835"/>
          </w:tcPr>
          <w:p>
            <w:pPr>
              <w:spacing w:lineRule="exact" w:line="600"/>
              <w:jc w:val="center"/>
            </w:pPr>
            <w:r/>
            <w:r>
              <w:rPr>
                <w:rFonts w:ascii="仿宋_GB2312" w:hAnsi="仿宋_GB2312" w:eastAsia="仿宋_GB2312"/>
                <w:b w:val="0"/>
                <w:color w:val="000000"/>
                <w:sz w:val="32"/>
              </w:rPr>
              <w:t>产能快速扩张</w:t>
            </w:r>
          </w:p>
        </w:tc>
      </w:tr>
      <w:tr>
        <w:tc>
          <w:tcPr>
            <w:tcW w:type="dxa" w:w="2268"/>
          </w:tcPr>
          <w:p>
            <w:pPr>
              <w:spacing w:lineRule="exact" w:line="600"/>
              <w:jc w:val="center"/>
            </w:pPr>
            <w:r/>
            <w:r>
              <w:rPr>
                <w:rFonts w:ascii="仿宋_GB2312" w:hAnsi="仿宋_GB2312" w:eastAsia="仿宋_GB2312"/>
                <w:b w:val="0"/>
                <w:color w:val="000000"/>
                <w:sz w:val="32"/>
              </w:rPr>
              <w:t>工程龙头</w:t>
            </w:r>
          </w:p>
        </w:tc>
        <w:tc>
          <w:tcPr>
            <w:tcW w:type="dxa" w:w="3402"/>
          </w:tcPr>
          <w:p>
            <w:pPr>
              <w:spacing w:lineRule="exact" w:line="600"/>
              <w:jc w:val="center"/>
            </w:pPr>
            <w:r/>
            <w:r>
              <w:rPr>
                <w:rFonts w:ascii="仿宋_GB2312" w:hAnsi="仿宋_GB2312" w:eastAsia="仿宋_GB2312"/>
                <w:b w:val="0"/>
                <w:color w:val="000000"/>
                <w:sz w:val="32"/>
              </w:rPr>
              <w:t>泰森2022营收14.25亿</w:t>
            </w:r>
          </w:p>
        </w:tc>
        <w:tc>
          <w:tcPr>
            <w:tcW w:type="dxa" w:w="2835"/>
          </w:tcPr>
          <w:p>
            <w:pPr>
              <w:spacing w:lineRule="exact" w:line="600"/>
              <w:jc w:val="center"/>
            </w:pPr>
            <w:r/>
            <w:r>
              <w:rPr>
                <w:rFonts w:ascii="仿宋_GB2312" w:hAnsi="仿宋_GB2312" w:eastAsia="仿宋_GB2312"/>
                <w:b w:val="0"/>
                <w:color w:val="000000"/>
                <w:sz w:val="32"/>
              </w:rPr>
              <w:t>服务30余家百强地产</w:t>
            </w:r>
          </w:p>
        </w:tc>
      </w:tr>
      <w:tr>
        <w:tc>
          <w:tcPr>
            <w:tcW w:type="dxa" w:w="2268"/>
          </w:tcPr>
          <w:p>
            <w:pPr>
              <w:spacing w:lineRule="exact" w:line="600"/>
              <w:jc w:val="center"/>
            </w:pPr>
            <w:r/>
            <w:r>
              <w:rPr>
                <w:rFonts w:ascii="仿宋_GB2312" w:hAnsi="仿宋_GB2312" w:eastAsia="仿宋_GB2312"/>
                <w:b w:val="0"/>
                <w:color w:val="000000"/>
                <w:sz w:val="32"/>
              </w:rPr>
              <w:t>零售出口</w:t>
            </w:r>
          </w:p>
        </w:tc>
        <w:tc>
          <w:tcPr>
            <w:tcW w:type="dxa" w:w="3402"/>
          </w:tcPr>
          <w:p>
            <w:pPr>
              <w:spacing w:lineRule="exact" w:line="600"/>
              <w:jc w:val="center"/>
            </w:pPr>
            <w:r/>
            <w:r>
              <w:rPr>
                <w:rFonts w:ascii="仿宋_GB2312" w:hAnsi="仿宋_GB2312" w:eastAsia="仿宋_GB2312"/>
                <w:b w:val="0"/>
                <w:color w:val="000000"/>
                <w:sz w:val="32"/>
              </w:rPr>
              <w:t>安信门店230+、海外+40%</w:t>
            </w:r>
          </w:p>
        </w:tc>
        <w:tc>
          <w:tcPr>
            <w:tcW w:type="dxa" w:w="2835"/>
          </w:tcPr>
          <w:p>
            <w:pPr>
              <w:spacing w:lineRule="exact" w:line="600"/>
              <w:jc w:val="center"/>
            </w:pPr>
            <w:r/>
            <w:r>
              <w:rPr>
                <w:rFonts w:ascii="仿宋_GB2312" w:hAnsi="仿宋_GB2312" w:eastAsia="仿宋_GB2312"/>
                <w:b w:val="0"/>
                <w:color w:val="000000"/>
                <w:sz w:val="32"/>
              </w:rPr>
              <w:t>名伦木造放量</w:t>
            </w:r>
          </w:p>
        </w:tc>
      </w:tr>
      <w:tr>
        <w:tc>
          <w:tcPr>
            <w:tcW w:type="dxa" w:w="2268"/>
          </w:tcPr>
          <w:p>
            <w:pPr>
              <w:spacing w:lineRule="exact" w:line="600"/>
              <w:jc w:val="center"/>
            </w:pPr>
            <w:r/>
            <w:r>
              <w:rPr>
                <w:rFonts w:ascii="仿宋_GB2312" w:hAnsi="仿宋_GB2312" w:eastAsia="仿宋_GB2312"/>
                <w:b w:val="0"/>
                <w:color w:val="000000"/>
                <w:sz w:val="32"/>
              </w:rPr>
              <w:t>智能水平</w:t>
            </w:r>
          </w:p>
        </w:tc>
        <w:tc>
          <w:tcPr>
            <w:tcW w:type="dxa" w:w="3402"/>
          </w:tcPr>
          <w:p>
            <w:pPr>
              <w:spacing w:lineRule="exact" w:line="600"/>
              <w:jc w:val="center"/>
            </w:pPr>
            <w:r/>
            <w:r>
              <w:rPr>
                <w:rFonts w:ascii="仿宋_GB2312" w:hAnsi="仿宋_GB2312" w:eastAsia="仿宋_GB2312"/>
                <w:b w:val="0"/>
                <w:color w:val="000000"/>
                <w:sz w:val="32"/>
              </w:rPr>
              <w:t>高企33家、专精特新22家</w:t>
            </w:r>
          </w:p>
        </w:tc>
        <w:tc>
          <w:tcPr>
            <w:tcW w:type="dxa" w:w="2835"/>
          </w:tcPr>
          <w:p>
            <w:pPr>
              <w:spacing w:lineRule="exact" w:line="600"/>
              <w:jc w:val="center"/>
            </w:pPr>
            <w:r/>
            <w:r>
              <w:rPr>
                <w:rFonts w:ascii="仿宋_GB2312" w:hAnsi="仿宋_GB2312" w:eastAsia="仿宋_GB2312"/>
                <w:b w:val="0"/>
                <w:color w:val="000000"/>
                <w:sz w:val="32"/>
              </w:rPr>
              <w:t>工业4.0领先</w:t>
            </w:r>
          </w:p>
        </w:tc>
      </w:tr>
      <w:tr>
        <w:tc>
          <w:tcPr>
            <w:tcW w:type="dxa" w:w="2268"/>
          </w:tcPr>
          <w:p>
            <w:pPr>
              <w:spacing w:lineRule="exact" w:line="600"/>
              <w:jc w:val="center"/>
            </w:pPr>
            <w:r/>
            <w:r>
              <w:rPr>
                <w:rFonts w:ascii="仿宋_GB2312" w:hAnsi="仿宋_GB2312" w:eastAsia="仿宋_GB2312"/>
                <w:b w:val="0"/>
                <w:color w:val="000000"/>
                <w:sz w:val="32"/>
              </w:rPr>
              <w:t>竞争</w:t>
            </w:r>
          </w:p>
        </w:tc>
        <w:tc>
          <w:tcPr>
            <w:tcW w:type="dxa" w:w="3402"/>
          </w:tcPr>
          <w:p>
            <w:pPr>
              <w:spacing w:lineRule="exact" w:line="600"/>
              <w:jc w:val="center"/>
            </w:pPr>
            <w:r/>
            <w:r>
              <w:rPr>
                <w:rFonts w:ascii="仿宋_GB2312" w:hAnsi="仿宋_GB2312" w:eastAsia="仿宋_GB2312"/>
                <w:b w:val="0"/>
                <w:color w:val="000000"/>
                <w:sz w:val="32"/>
              </w:rPr>
              <w:t>头部集中+长尾价格战</w:t>
            </w:r>
          </w:p>
        </w:tc>
        <w:tc>
          <w:tcPr>
            <w:tcW w:type="dxa" w:w="2835"/>
          </w:tcPr>
          <w:p>
            <w:pPr>
              <w:spacing w:lineRule="exact" w:line="600"/>
              <w:jc w:val="center"/>
            </w:pPr>
            <w:r/>
            <w:r>
              <w:rPr>
                <w:rFonts w:ascii="仿宋_GB2312" w:hAnsi="仿宋_GB2312" w:eastAsia="仿宋_GB2312"/>
                <w:b w:val="0"/>
                <w:color w:val="000000"/>
                <w:sz w:val="32"/>
              </w:rPr>
              <w:t>品牌差异化突围</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（一）探沂镇定制家居集聚</w:t>
      </w:r>
    </w:p>
    <w:p>
      <w:pPr>
        <w:spacing w:lineRule="exact" w:line="600" w:before="0" w:after="0"/>
        <w:ind w:firstLine="420"/>
        <w:jc w:val="both"/>
      </w:pPr>
      <w:r>
        <w:rPr>
          <w:rFonts w:ascii="仿宋_GB2312" w:hAnsi="仿宋_GB2312" w:eastAsia="仿宋_GB2312"/>
          <w:b w:val="0"/>
          <w:color w:val="000000"/>
          <w:sz w:val="32"/>
        </w:rPr>
        <w:t>探沂镇是费县板式定制核心区，木业相关企业4600余家，规上木业企业250—318家（来源：琅琊新闻网、新华财经、大众日报）。镇内建成定制家居、地产品加工、黏合剂化工、木业机械、智慧物流五大园区，定制家居与地产品加工园集中承载泰森日盛、安信美家、朝泰实业、诚品木业等（来源：大众日报、中木商网）。</w:t>
      </w:r>
    </w:p>
    <w:p>
      <w:pPr>
        <w:spacing w:lineRule="exact" w:line="600" w:before="120" w:after="120"/>
        <w:ind w:firstLine="420"/>
        <w:jc w:val="left"/>
      </w:pPr>
      <w:r>
        <w:rPr>
          <w:rFonts w:ascii="楷体_GB2312" w:hAnsi="楷体_GB2312" w:eastAsia="楷体_GB2312"/>
          <w:b w:val="0"/>
          <w:color w:val="000000"/>
          <w:sz w:val="32"/>
        </w:rPr>
        <w:t>（二）链主企业与抱团发展</w:t>
      </w:r>
    </w:p>
    <w:p>
      <w:pPr>
        <w:spacing w:lineRule="exact" w:line="600" w:before="0" w:after="0"/>
        <w:ind w:firstLine="420"/>
        <w:jc w:val="both"/>
      </w:pPr>
      <w:r>
        <w:rPr>
          <w:rFonts w:ascii="仿宋_GB2312" w:hAnsi="仿宋_GB2312" w:eastAsia="仿宋_GB2312"/>
          <w:b w:val="0"/>
          <w:color w:val="000000"/>
          <w:sz w:val="32"/>
        </w:rPr>
        <w:t>集群以莫干山、泰森日盛为链主带动，地产品加工产业园吸引朝泰实业、诚品木业等进驻，形成产销一体、三产融合体系（来源：大众日报）。泰森日盛「国企+民企+央企」合作模式（2019年与保利子公司股权合作）开创临沂木业先河，发挥链主辐射（来源：泰森日盛官网）。安信美家工业旅游+智能云仓成为示范（来源：新闻langya）。</w:t>
      </w:r>
    </w:p>
    <w:p>
      <w:pPr>
        <w:spacing w:lineRule="exact" w:line="600" w:before="120" w:after="120"/>
        <w:ind w:firstLine="420"/>
        <w:jc w:val="left"/>
      </w:pPr>
      <w:r>
        <w:rPr>
          <w:rFonts w:ascii="楷体_GB2312" w:hAnsi="楷体_GB2312" w:eastAsia="楷体_GB2312"/>
          <w:b w:val="0"/>
          <w:color w:val="000000"/>
          <w:sz w:val="32"/>
        </w:rPr>
        <w:t>（三）市场主体与人才</w:t>
      </w:r>
    </w:p>
    <w:p>
      <w:pPr>
        <w:spacing w:lineRule="exact" w:line="600" w:before="0" w:after="0"/>
        <w:ind w:firstLine="420"/>
        <w:jc w:val="both"/>
      </w:pPr>
      <w:r>
        <w:rPr>
          <w:rFonts w:ascii="仿宋_GB2312" w:hAnsi="仿宋_GB2312" w:eastAsia="仿宋_GB2312"/>
          <w:b w:val="0"/>
          <w:color w:val="000000"/>
          <w:sz w:val="32"/>
        </w:rPr>
        <w:t>市场主体数量庞大，探沂镇外来务工人员12余万人支撑制造（来源：新华财经）。人才端，鲁南技师学院费县校区围绕木业产业链设专业，2024年以来培训近300人次；探沂镇「木二代」达1200余人、管理人员35岁以下占比超60%，注入年轻力量（来源：大众日报、琅琊新闻网）。产业大脑试点提供数字化协同（来源：新华财经）。</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集群指标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探沂镇木业相关企业</w:t>
            </w:r>
          </w:p>
        </w:tc>
        <w:tc>
          <w:tcPr>
            <w:tcW w:type="dxa" w:w="3118"/>
          </w:tcPr>
          <w:p>
            <w:pPr>
              <w:spacing w:lineRule="exact" w:line="600"/>
              <w:jc w:val="center"/>
            </w:pPr>
            <w:r/>
            <w:r>
              <w:rPr>
                <w:rFonts w:ascii="仿宋_GB2312" w:hAnsi="仿宋_GB2312" w:eastAsia="仿宋_GB2312"/>
                <w:b w:val="0"/>
                <w:color w:val="000000"/>
                <w:sz w:val="32"/>
              </w:rPr>
              <w:t>4600余家</w:t>
            </w:r>
          </w:p>
        </w:tc>
        <w:tc>
          <w:tcPr>
            <w:tcW w:type="dxa" w:w="2551"/>
          </w:tcPr>
          <w:p>
            <w:pPr>
              <w:spacing w:lineRule="exact" w:line="600"/>
              <w:jc w:val="center"/>
            </w:pPr>
            <w:r/>
            <w:r>
              <w:rPr>
                <w:rFonts w:ascii="仿宋_GB2312" w:hAnsi="仿宋_GB2312" w:eastAsia="仿宋_GB2312"/>
                <w:b w:val="0"/>
                <w:color w:val="000000"/>
                <w:sz w:val="32"/>
              </w:rPr>
              <w:t>琅琊新闻网</w:t>
            </w:r>
          </w:p>
        </w:tc>
      </w:tr>
      <w:tr>
        <w:tc>
          <w:tcPr>
            <w:tcW w:type="dxa" w:w="2835"/>
          </w:tcPr>
          <w:p>
            <w:pPr>
              <w:spacing w:lineRule="exact" w:line="600"/>
              <w:jc w:val="center"/>
            </w:pPr>
            <w:r/>
            <w:r>
              <w:rPr>
                <w:rFonts w:ascii="仿宋_GB2312" w:hAnsi="仿宋_GB2312" w:eastAsia="仿宋_GB2312"/>
                <w:b w:val="0"/>
                <w:color w:val="000000"/>
                <w:sz w:val="32"/>
              </w:rPr>
              <w:t>规上木业企业</w:t>
            </w:r>
          </w:p>
        </w:tc>
        <w:tc>
          <w:tcPr>
            <w:tcW w:type="dxa" w:w="3118"/>
          </w:tcPr>
          <w:p>
            <w:pPr>
              <w:spacing w:lineRule="exact" w:line="600"/>
              <w:jc w:val="center"/>
            </w:pPr>
            <w:r/>
            <w:r>
              <w:rPr>
                <w:rFonts w:ascii="仿宋_GB2312" w:hAnsi="仿宋_GB2312" w:eastAsia="仿宋_GB2312"/>
                <w:b w:val="0"/>
                <w:color w:val="000000"/>
                <w:sz w:val="32"/>
              </w:rPr>
              <w:t>250家（2023.10）/318家（2024）</w:t>
            </w:r>
          </w:p>
        </w:tc>
        <w:tc>
          <w:tcPr>
            <w:tcW w:type="dxa" w:w="2551"/>
          </w:tcPr>
          <w:p>
            <w:pPr>
              <w:spacing w:lineRule="exact" w:line="600"/>
              <w:jc w:val="center"/>
            </w:pPr>
            <w:r/>
            <w:r>
              <w:rPr>
                <w:rFonts w:ascii="仿宋_GB2312" w:hAnsi="仿宋_GB2312" w:eastAsia="仿宋_GB2312"/>
                <w:b w:val="0"/>
                <w:color w:val="000000"/>
                <w:sz w:val="32"/>
              </w:rPr>
              <w:t>新华财经/大众日报</w:t>
            </w:r>
          </w:p>
        </w:tc>
      </w:tr>
      <w:tr>
        <w:tc>
          <w:tcPr>
            <w:tcW w:type="dxa" w:w="2835"/>
          </w:tcPr>
          <w:p>
            <w:pPr>
              <w:spacing w:lineRule="exact" w:line="600"/>
              <w:jc w:val="center"/>
            </w:pPr>
            <w:r/>
            <w:r>
              <w:rPr>
                <w:rFonts w:ascii="仿宋_GB2312" w:hAnsi="仿宋_GB2312" w:eastAsia="仿宋_GB2312"/>
                <w:b w:val="0"/>
                <w:color w:val="000000"/>
                <w:sz w:val="32"/>
              </w:rPr>
              <w:t>五大园区</w:t>
            </w:r>
          </w:p>
        </w:tc>
        <w:tc>
          <w:tcPr>
            <w:tcW w:type="dxa" w:w="3118"/>
          </w:tcPr>
          <w:p>
            <w:pPr>
              <w:spacing w:lineRule="exact" w:line="600"/>
              <w:jc w:val="center"/>
            </w:pPr>
            <w:r/>
            <w:r>
              <w:rPr>
                <w:rFonts w:ascii="仿宋_GB2312" w:hAnsi="仿宋_GB2312" w:eastAsia="仿宋_GB2312"/>
                <w:b w:val="0"/>
                <w:color w:val="000000"/>
                <w:sz w:val="32"/>
              </w:rPr>
              <w:t>定制家居/地产品/黏合剂/机械/物流</w:t>
            </w:r>
          </w:p>
        </w:tc>
        <w:tc>
          <w:tcPr>
            <w:tcW w:type="dxa" w:w="2551"/>
          </w:tcPr>
          <w:p>
            <w:pPr>
              <w:spacing w:lineRule="exact" w:line="600"/>
              <w:jc w:val="center"/>
            </w:pPr>
            <w:r/>
            <w:r>
              <w:rPr>
                <w:rFonts w:ascii="仿宋_GB2312" w:hAnsi="仿宋_GB2312" w:eastAsia="仿宋_GB2312"/>
                <w:b w:val="0"/>
                <w:color w:val="000000"/>
                <w:sz w:val="32"/>
              </w:rPr>
              <w:t>大众日报</w:t>
            </w:r>
          </w:p>
        </w:tc>
      </w:tr>
      <w:tr>
        <w:tc>
          <w:tcPr>
            <w:tcW w:type="dxa" w:w="2835"/>
          </w:tcPr>
          <w:p>
            <w:pPr>
              <w:spacing w:lineRule="exact" w:line="600"/>
              <w:jc w:val="center"/>
            </w:pPr>
            <w:r/>
            <w:r>
              <w:rPr>
                <w:rFonts w:ascii="仿宋_GB2312" w:hAnsi="仿宋_GB2312" w:eastAsia="仿宋_GB2312"/>
                <w:b w:val="0"/>
                <w:color w:val="000000"/>
                <w:sz w:val="32"/>
              </w:rPr>
              <w:t>木二代</w:t>
            </w:r>
          </w:p>
        </w:tc>
        <w:tc>
          <w:tcPr>
            <w:tcW w:type="dxa" w:w="3118"/>
          </w:tcPr>
          <w:p>
            <w:pPr>
              <w:spacing w:lineRule="exact" w:line="600"/>
              <w:jc w:val="center"/>
            </w:pPr>
            <w:r/>
            <w:r>
              <w:rPr>
                <w:rFonts w:ascii="仿宋_GB2312" w:hAnsi="仿宋_GB2312" w:eastAsia="仿宋_GB2312"/>
                <w:b w:val="0"/>
                <w:color w:val="000000"/>
                <w:sz w:val="32"/>
              </w:rPr>
              <w:t>1200余人、35岁以下&gt;60%</w:t>
            </w:r>
          </w:p>
        </w:tc>
        <w:tc>
          <w:tcPr>
            <w:tcW w:type="dxa" w:w="2551"/>
          </w:tcPr>
          <w:p>
            <w:pPr>
              <w:spacing w:lineRule="exact" w:line="600"/>
              <w:jc w:val="center"/>
            </w:pPr>
            <w:r/>
            <w:r>
              <w:rPr>
                <w:rFonts w:ascii="仿宋_GB2312" w:hAnsi="仿宋_GB2312" w:eastAsia="仿宋_GB2312"/>
                <w:b w:val="0"/>
                <w:color w:val="000000"/>
                <w:sz w:val="32"/>
              </w:rPr>
              <w:t>琅琊新闻网</w:t>
            </w:r>
          </w:p>
        </w:tc>
      </w:tr>
      <w:tr>
        <w:tc>
          <w:tcPr>
            <w:tcW w:type="dxa" w:w="2835"/>
          </w:tcPr>
          <w:p>
            <w:pPr>
              <w:spacing w:lineRule="exact" w:line="600"/>
              <w:jc w:val="center"/>
            </w:pPr>
            <w:r/>
            <w:r>
              <w:rPr>
                <w:rFonts w:ascii="仿宋_GB2312" w:hAnsi="仿宋_GB2312" w:eastAsia="仿宋_GB2312"/>
                <w:b w:val="0"/>
                <w:color w:val="000000"/>
                <w:sz w:val="32"/>
              </w:rPr>
              <w:t>人才培养</w:t>
            </w:r>
          </w:p>
        </w:tc>
        <w:tc>
          <w:tcPr>
            <w:tcW w:type="dxa" w:w="3118"/>
          </w:tcPr>
          <w:p>
            <w:pPr>
              <w:spacing w:lineRule="exact" w:line="600"/>
              <w:jc w:val="center"/>
            </w:pPr>
            <w:r/>
            <w:r>
              <w:rPr>
                <w:rFonts w:ascii="仿宋_GB2312" w:hAnsi="仿宋_GB2312" w:eastAsia="仿宋_GB2312"/>
                <w:b w:val="0"/>
                <w:color w:val="000000"/>
                <w:sz w:val="32"/>
              </w:rPr>
              <w:t>鲁南技师学院培训近300人次</w:t>
            </w:r>
          </w:p>
        </w:tc>
        <w:tc>
          <w:tcPr>
            <w:tcW w:type="dxa" w:w="2551"/>
          </w:tcPr>
          <w:p>
            <w:pPr>
              <w:spacing w:lineRule="exact" w:line="600"/>
              <w:jc w:val="center"/>
            </w:pPr>
            <w:r/>
            <w:r>
              <w:rPr>
                <w:rFonts w:ascii="仿宋_GB2312" w:hAnsi="仿宋_GB2312" w:eastAsia="仿宋_GB2312"/>
                <w:b w:val="0"/>
                <w:color w:val="000000"/>
                <w:sz w:val="32"/>
              </w:rPr>
              <w:t>大众日报</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（一）工业4.0与柔性制造</w:t>
      </w:r>
    </w:p>
    <w:p>
      <w:pPr>
        <w:spacing w:lineRule="exact" w:line="600" w:before="0" w:after="0"/>
        <w:ind w:firstLine="420"/>
        <w:jc w:val="both"/>
      </w:pPr>
      <w:r>
        <w:rPr>
          <w:rFonts w:ascii="仿宋_GB2312" w:hAnsi="仿宋_GB2312" w:eastAsia="仿宋_GB2312"/>
          <w:b w:val="0"/>
          <w:color w:val="000000"/>
          <w:sz w:val="32"/>
        </w:rPr>
        <w:t>板式定制核心技术为工业4.0柔性制造。泰森日盛美好家居车间按工业4.0标准，运用IMES系统实现智能拆单、仓储、生产一体化，效率提升25%、运营成本降22%、单位产值能耗降10%；斥资3亿余元引进600余台智能设备，搭建1000万元以上设备连线12条，实现64项核心智能制造装备创新应用（来源：央广网/网易、网易税惠稿、齐鲁网）。安信美家工业4.0工厂实现设计、开料、裁切、表面处理、装配、运输、安装无缝对接（来源：焦点家居）。</w:t>
      </w:r>
    </w:p>
    <w:p>
      <w:pPr>
        <w:spacing w:lineRule="exact" w:line="600" w:before="120" w:after="120"/>
        <w:ind w:firstLine="420"/>
        <w:jc w:val="left"/>
      </w:pPr>
      <w:r>
        <w:rPr>
          <w:rFonts w:ascii="楷体_GB2312" w:hAnsi="楷体_GB2312" w:eastAsia="楷体_GB2312"/>
          <w:b w:val="0"/>
          <w:color w:val="000000"/>
          <w:sz w:val="32"/>
        </w:rPr>
        <w:t>（二）水性漆与绿色涂装</w:t>
      </w:r>
    </w:p>
    <w:p>
      <w:pPr>
        <w:spacing w:lineRule="exact" w:line="600" w:before="0" w:after="0"/>
        <w:ind w:firstLine="420"/>
        <w:jc w:val="both"/>
      </w:pPr>
      <w:r>
        <w:rPr>
          <w:rFonts w:ascii="仿宋_GB2312" w:hAnsi="仿宋_GB2312" w:eastAsia="仿宋_GB2312"/>
          <w:b w:val="0"/>
          <w:color w:val="000000"/>
          <w:sz w:val="32"/>
        </w:rPr>
        <w:t>绿色涂装是费县定制家具的技术标签。安信美家在国内率先「油改水」，引进意大利CEFLA水性涂装线，车间无异味、环保无污染，产品全部采用水性漆（来源：wood365.cn、焦点家居）。泰森日盛采用无醛板材与实木开放漆工艺，门板可达「当天安装当天入住」（来源：泰森日盛官网、央广网）。集中涂装基地使VOCs降90%（来源：中木商网）。</w:t>
      </w:r>
    </w:p>
    <w:p>
      <w:pPr>
        <w:spacing w:lineRule="exact" w:line="600" w:before="120" w:after="120"/>
        <w:ind w:firstLine="420"/>
        <w:jc w:val="left"/>
      </w:pPr>
      <w:r>
        <w:rPr>
          <w:rFonts w:ascii="楷体_GB2312" w:hAnsi="楷体_GB2312" w:eastAsia="楷体_GB2312"/>
          <w:b w:val="0"/>
          <w:color w:val="000000"/>
          <w:sz w:val="32"/>
        </w:rPr>
        <w:t>（三）研发与标准制定</w:t>
      </w:r>
    </w:p>
    <w:p>
      <w:pPr>
        <w:spacing w:lineRule="exact" w:line="600" w:before="0" w:after="0"/>
        <w:ind w:firstLine="420"/>
        <w:jc w:val="both"/>
      </w:pPr>
      <w:r>
        <w:rPr>
          <w:rFonts w:ascii="仿宋_GB2312" w:hAnsi="仿宋_GB2312" w:eastAsia="仿宋_GB2312"/>
          <w:b w:val="0"/>
          <w:color w:val="000000"/>
          <w:sz w:val="32"/>
        </w:rPr>
        <w:t>研发端，泰森日盛设独立研发中心与国家CNAS认证检测实验室（1600㎡），申请专利134项，获山东省技术创新奖6项、科技进步奖1项，参与制定国标1项、行标2项、团标1项（来源：央广网/网易）。千森木业与北京林业大学共建研发中心、40余项专利（来源：山东千森资料）。集群通过产学研（山大、中国林科院等）持续提升定制家具绿色与智能水平（来源：齐鲁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技术方向</w:t>
            </w:r>
          </w:p>
        </w:tc>
        <w:tc>
          <w:tcPr>
            <w:tcW w:type="dxa" w:w="3402"/>
          </w:tcPr>
          <w:p>
            <w:pPr>
              <w:spacing w:lineRule="exact" w:line="600"/>
              <w:jc w:val="center"/>
            </w:pPr>
            <w:r/>
            <w:r>
              <w:rPr>
                <w:rFonts w:ascii="黑体" w:hAnsi="黑体" w:eastAsia="黑体"/>
                <w:b/>
                <w:color w:val="000000"/>
                <w:sz w:val="32"/>
              </w:rPr>
              <w:t>代表企业/技术</w:t>
            </w:r>
          </w:p>
        </w:tc>
        <w:tc>
          <w:tcPr>
            <w:tcW w:type="dxa" w:w="2835"/>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工业4.0柔性</w:t>
            </w:r>
          </w:p>
        </w:tc>
        <w:tc>
          <w:tcPr>
            <w:tcW w:type="dxa" w:w="3402"/>
          </w:tcPr>
          <w:p>
            <w:pPr>
              <w:spacing w:lineRule="exact" w:line="600"/>
              <w:jc w:val="center"/>
            </w:pPr>
            <w:r/>
            <w:r>
              <w:rPr>
                <w:rFonts w:ascii="仿宋_GB2312" w:hAnsi="仿宋_GB2312" w:eastAsia="仿宋_GB2312"/>
                <w:b w:val="0"/>
                <w:color w:val="000000"/>
                <w:sz w:val="32"/>
              </w:rPr>
              <w:t>泰森IMES、安信AHC</w:t>
            </w:r>
          </w:p>
        </w:tc>
        <w:tc>
          <w:tcPr>
            <w:tcW w:type="dxa" w:w="2835"/>
          </w:tcPr>
          <w:p>
            <w:pPr>
              <w:spacing w:lineRule="exact" w:line="600"/>
              <w:jc w:val="center"/>
            </w:pPr>
            <w:r/>
            <w:r>
              <w:rPr>
                <w:rFonts w:ascii="仿宋_GB2312" w:hAnsi="仿宋_GB2312" w:eastAsia="仿宋_GB2312"/>
                <w:b w:val="0"/>
                <w:color w:val="000000"/>
                <w:sz w:val="32"/>
              </w:rPr>
              <w:t>效率+25%、成本-22%</w:t>
            </w:r>
          </w:p>
        </w:tc>
      </w:tr>
      <w:tr>
        <w:tc>
          <w:tcPr>
            <w:tcW w:type="dxa" w:w="2268"/>
          </w:tcPr>
          <w:p>
            <w:pPr>
              <w:spacing w:lineRule="exact" w:line="600"/>
              <w:jc w:val="center"/>
            </w:pPr>
            <w:r/>
            <w:r>
              <w:rPr>
                <w:rFonts w:ascii="仿宋_GB2312" w:hAnsi="仿宋_GB2312" w:eastAsia="仿宋_GB2312"/>
                <w:b w:val="0"/>
                <w:color w:val="000000"/>
                <w:sz w:val="32"/>
              </w:rPr>
              <w:t>智能装备</w:t>
            </w:r>
          </w:p>
        </w:tc>
        <w:tc>
          <w:tcPr>
            <w:tcW w:type="dxa" w:w="3402"/>
          </w:tcPr>
          <w:p>
            <w:pPr>
              <w:spacing w:lineRule="exact" w:line="600"/>
              <w:jc w:val="center"/>
            </w:pPr>
            <w:r/>
            <w:r>
              <w:rPr>
                <w:rFonts w:ascii="仿宋_GB2312" w:hAnsi="仿宋_GB2312" w:eastAsia="仿宋_GB2312"/>
                <w:b w:val="0"/>
                <w:color w:val="000000"/>
                <w:sz w:val="32"/>
              </w:rPr>
              <w:t>泰森600余台、12条连线</w:t>
            </w:r>
          </w:p>
        </w:tc>
        <w:tc>
          <w:tcPr>
            <w:tcW w:type="dxa" w:w="2835"/>
          </w:tcPr>
          <w:p>
            <w:pPr>
              <w:spacing w:lineRule="exact" w:line="600"/>
              <w:jc w:val="center"/>
            </w:pPr>
            <w:r/>
            <w:r>
              <w:rPr>
                <w:rFonts w:ascii="仿宋_GB2312" w:hAnsi="仿宋_GB2312" w:eastAsia="仿宋_GB2312"/>
                <w:b w:val="0"/>
                <w:color w:val="000000"/>
                <w:sz w:val="32"/>
              </w:rPr>
              <w:t>64项核心装备创新</w:t>
            </w:r>
          </w:p>
        </w:tc>
      </w:tr>
      <w:tr>
        <w:tc>
          <w:tcPr>
            <w:tcW w:type="dxa" w:w="2268"/>
          </w:tcPr>
          <w:p>
            <w:pPr>
              <w:spacing w:lineRule="exact" w:line="600"/>
              <w:jc w:val="center"/>
            </w:pPr>
            <w:r/>
            <w:r>
              <w:rPr>
                <w:rFonts w:ascii="仿宋_GB2312" w:hAnsi="仿宋_GB2312" w:eastAsia="仿宋_GB2312"/>
                <w:b w:val="0"/>
                <w:color w:val="000000"/>
                <w:sz w:val="32"/>
              </w:rPr>
              <w:t>水性涂装</w:t>
            </w:r>
          </w:p>
        </w:tc>
        <w:tc>
          <w:tcPr>
            <w:tcW w:type="dxa" w:w="3402"/>
          </w:tcPr>
          <w:p>
            <w:pPr>
              <w:spacing w:lineRule="exact" w:line="600"/>
              <w:jc w:val="center"/>
            </w:pPr>
            <w:r/>
            <w:r>
              <w:rPr>
                <w:rFonts w:ascii="仿宋_GB2312" w:hAnsi="仿宋_GB2312" w:eastAsia="仿宋_GB2312"/>
                <w:b w:val="0"/>
                <w:color w:val="000000"/>
                <w:sz w:val="32"/>
              </w:rPr>
              <w:t>安信CEFLA水性线</w:t>
            </w:r>
          </w:p>
        </w:tc>
        <w:tc>
          <w:tcPr>
            <w:tcW w:type="dxa" w:w="2835"/>
          </w:tcPr>
          <w:p>
            <w:pPr>
              <w:spacing w:lineRule="exact" w:line="600"/>
              <w:jc w:val="center"/>
            </w:pPr>
            <w:r/>
            <w:r>
              <w:rPr>
                <w:rFonts w:ascii="仿宋_GB2312" w:hAnsi="仿宋_GB2312" w:eastAsia="仿宋_GB2312"/>
                <w:b w:val="0"/>
                <w:color w:val="000000"/>
                <w:sz w:val="32"/>
              </w:rPr>
              <w:t>油改水、VOCs降90%</w:t>
            </w:r>
          </w:p>
        </w:tc>
      </w:tr>
      <w:tr>
        <w:tc>
          <w:tcPr>
            <w:tcW w:type="dxa" w:w="2268"/>
          </w:tcPr>
          <w:p>
            <w:pPr>
              <w:spacing w:lineRule="exact" w:line="600"/>
              <w:jc w:val="center"/>
            </w:pPr>
            <w:r/>
            <w:r>
              <w:rPr>
                <w:rFonts w:ascii="仿宋_GB2312" w:hAnsi="仿宋_GB2312" w:eastAsia="仿宋_GB2312"/>
                <w:b w:val="0"/>
                <w:color w:val="000000"/>
                <w:sz w:val="32"/>
              </w:rPr>
              <w:t>研发标准</w:t>
            </w:r>
          </w:p>
        </w:tc>
        <w:tc>
          <w:tcPr>
            <w:tcW w:type="dxa" w:w="3402"/>
          </w:tcPr>
          <w:p>
            <w:pPr>
              <w:spacing w:lineRule="exact" w:line="600"/>
              <w:jc w:val="center"/>
            </w:pPr>
            <w:r/>
            <w:r>
              <w:rPr>
                <w:rFonts w:ascii="仿宋_GB2312" w:hAnsi="仿宋_GB2312" w:eastAsia="仿宋_GB2312"/>
                <w:b w:val="0"/>
                <w:color w:val="000000"/>
                <w:sz w:val="32"/>
              </w:rPr>
              <w:t>泰森CNAS实验室、134项专利</w:t>
            </w:r>
          </w:p>
        </w:tc>
        <w:tc>
          <w:tcPr>
            <w:tcW w:type="dxa" w:w="2835"/>
          </w:tcPr>
          <w:p>
            <w:pPr>
              <w:spacing w:lineRule="exact" w:line="600"/>
              <w:jc w:val="center"/>
            </w:pPr>
            <w:r/>
            <w:r>
              <w:rPr>
                <w:rFonts w:ascii="仿宋_GB2312" w:hAnsi="仿宋_GB2312" w:eastAsia="仿宋_GB2312"/>
                <w:b w:val="0"/>
                <w:color w:val="000000"/>
                <w:sz w:val="32"/>
              </w:rPr>
              <w:t>参与国标1/行标2/团标1</w:t>
            </w:r>
          </w:p>
        </w:tc>
      </w:tr>
      <w:tr>
        <w:tc>
          <w:tcPr>
            <w:tcW w:type="dxa" w:w="2268"/>
          </w:tcPr>
          <w:p>
            <w:pPr>
              <w:spacing w:lineRule="exact" w:line="600"/>
              <w:jc w:val="center"/>
            </w:pPr>
            <w:r/>
            <w:r>
              <w:rPr>
                <w:rFonts w:ascii="仿宋_GB2312" w:hAnsi="仿宋_GB2312" w:eastAsia="仿宋_GB2312"/>
                <w:b w:val="0"/>
                <w:color w:val="000000"/>
                <w:sz w:val="32"/>
              </w:rPr>
              <w:t>产学研</w:t>
            </w:r>
          </w:p>
        </w:tc>
        <w:tc>
          <w:tcPr>
            <w:tcW w:type="dxa" w:w="3402"/>
          </w:tcPr>
          <w:p>
            <w:pPr>
              <w:spacing w:lineRule="exact" w:line="600"/>
              <w:jc w:val="center"/>
            </w:pPr>
            <w:r/>
            <w:r>
              <w:rPr>
                <w:rFonts w:ascii="仿宋_GB2312" w:hAnsi="仿宋_GB2312" w:eastAsia="仿宋_GB2312"/>
                <w:b w:val="0"/>
                <w:color w:val="000000"/>
                <w:sz w:val="32"/>
              </w:rPr>
              <w:t>山大、中国林科院合作</w:t>
            </w:r>
          </w:p>
        </w:tc>
        <w:tc>
          <w:tcPr>
            <w:tcW w:type="dxa" w:w="2835"/>
          </w:tcPr>
          <w:p>
            <w:pPr>
              <w:spacing w:lineRule="exact" w:line="600"/>
              <w:jc w:val="center"/>
            </w:pPr>
            <w:r/>
            <w:r>
              <w:rPr>
                <w:rFonts w:ascii="仿宋_GB2312" w:hAnsi="仿宋_GB2312" w:eastAsia="仿宋_GB2312"/>
                <w:b w:val="0"/>
                <w:color w:val="000000"/>
                <w:sz w:val="32"/>
              </w:rPr>
              <w:t>绿色智能升级</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（一）原材料与采购成本</w:t>
      </w:r>
    </w:p>
    <w:p>
      <w:pPr>
        <w:spacing w:lineRule="exact" w:line="600" w:before="0" w:after="0"/>
        <w:ind w:firstLine="420"/>
        <w:jc w:val="both"/>
      </w:pPr>
      <w:r>
        <w:rPr>
          <w:rFonts w:ascii="仿宋_GB2312" w:hAnsi="仿宋_GB2312" w:eastAsia="仿宋_GB2312"/>
          <w:b w:val="0"/>
          <w:color w:val="000000"/>
          <w:sz w:val="32"/>
        </w:rPr>
        <w:t>板式定制成本以基材（生态板、OSB、MDF）与五金为主。费县本地基材供给充足、采购半径短，利于控本（来源：临沂市木业产业链研究）。泰森日盛采用海蒂诗等国际五金，保障品质但抬高单耗（来源：泰森日盛官网）。无醛板、水性漆较传统材料单价高，但支撑溢价与品牌（行业共性研判）。</w:t>
      </w:r>
    </w:p>
    <w:p>
      <w:pPr>
        <w:spacing w:lineRule="exact" w:line="600" w:before="120" w:after="120"/>
        <w:ind w:firstLine="420"/>
        <w:jc w:val="left"/>
      </w:pPr>
      <w:r>
        <w:rPr>
          <w:rFonts w:ascii="楷体_GB2312" w:hAnsi="楷体_GB2312" w:eastAsia="楷体_GB2312"/>
          <w:b w:val="0"/>
          <w:color w:val="000000"/>
          <w:sz w:val="32"/>
        </w:rPr>
        <w:t>（二）人工、用地与能源</w:t>
      </w:r>
    </w:p>
    <w:p>
      <w:pPr>
        <w:spacing w:lineRule="exact" w:line="600" w:before="0" w:after="0"/>
        <w:ind w:firstLine="420"/>
        <w:jc w:val="both"/>
      </w:pPr>
      <w:r>
        <w:rPr>
          <w:rFonts w:ascii="仿宋_GB2312" w:hAnsi="仿宋_GB2312" w:eastAsia="仿宋_GB2312"/>
          <w:b w:val="0"/>
          <w:color w:val="000000"/>
          <w:sz w:val="32"/>
        </w:rPr>
        <w:t>人工方面，「机器换人」显著降低用工：安信美家7000㎡自动化车间仅30名员工、5400㎡仓储区仅3人+5机器人（来源：琅琊新闻网）；泰森日盛工业4.0车间高度自动化。用地方面，退城入园腾出土地5000余亩、建五大园区保障扩产（来源：wood365.cn）。能源方面，工业4.0使单位产值能耗降10%、集中涂装与闭环回收使能耗降30%（来源：央广网/网易、琅琊新闻网）。</w:t>
      </w:r>
    </w:p>
    <w:p>
      <w:pPr>
        <w:spacing w:lineRule="exact" w:line="600" w:before="120" w:after="120"/>
        <w:ind w:firstLine="420"/>
        <w:jc w:val="left"/>
      </w:pPr>
      <w:r>
        <w:rPr>
          <w:rFonts w:ascii="楷体_GB2312" w:hAnsi="楷体_GB2312" w:eastAsia="楷体_GB2312"/>
          <w:b w:val="0"/>
          <w:color w:val="000000"/>
          <w:sz w:val="32"/>
        </w:rPr>
        <w:t>（三）盈利与现金流</w:t>
      </w:r>
    </w:p>
    <w:p>
      <w:pPr>
        <w:spacing w:lineRule="exact" w:line="600" w:before="0" w:after="0"/>
        <w:ind w:firstLine="420"/>
        <w:jc w:val="both"/>
      </w:pPr>
      <w:r>
        <w:rPr>
          <w:rFonts w:ascii="仿宋_GB2312" w:hAnsi="仿宋_GB2312" w:eastAsia="仿宋_GB2312"/>
          <w:b w:val="0"/>
          <w:color w:val="000000"/>
          <w:sz w:val="32"/>
        </w:rPr>
        <w:t>盈利端，泰森日盛2022年营业收入14.25亿元、综合赋税1.2亿元，工业4.0项目年销售10亿元（来源：央广网/网易）；安信美家年产10万套橱柜、名伦木造零售放量（来源：wood365.cn、琅琊新闻网）。工程集采占比高的企业应收账款占用较大，地产下行使回款周期拉长（行业共性研判）。整体看，工业4.0与品牌化企业盈利能力优于长尾代工厂（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成本/要素</w:t>
            </w:r>
          </w:p>
        </w:tc>
        <w:tc>
          <w:tcPr>
            <w:tcW w:type="dxa" w:w="3402"/>
          </w:tcPr>
          <w:p>
            <w:pPr>
              <w:spacing w:lineRule="exact" w:line="600"/>
              <w:jc w:val="center"/>
            </w:pPr>
            <w:r/>
            <w:r>
              <w:rPr>
                <w:rFonts w:ascii="黑体" w:hAnsi="黑体" w:eastAsia="黑体"/>
                <w:b/>
                <w:color w:val="000000"/>
                <w:sz w:val="32"/>
              </w:rPr>
              <w:t>现状</w:t>
            </w:r>
          </w:p>
        </w:tc>
        <w:tc>
          <w:tcPr>
            <w:tcW w:type="dxa" w:w="2835"/>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基材五金</w:t>
            </w:r>
          </w:p>
        </w:tc>
        <w:tc>
          <w:tcPr>
            <w:tcW w:type="dxa" w:w="3402"/>
          </w:tcPr>
          <w:p>
            <w:pPr>
              <w:spacing w:lineRule="exact" w:line="600"/>
              <w:jc w:val="center"/>
            </w:pPr>
            <w:r/>
            <w:r>
              <w:rPr>
                <w:rFonts w:ascii="仿宋_GB2312" w:hAnsi="仿宋_GB2312" w:eastAsia="仿宋_GB2312"/>
                <w:b w:val="0"/>
                <w:color w:val="000000"/>
                <w:sz w:val="32"/>
              </w:rPr>
              <w:t>本地基材充足、国际五金</w:t>
            </w:r>
          </w:p>
        </w:tc>
        <w:tc>
          <w:tcPr>
            <w:tcW w:type="dxa" w:w="2835"/>
          </w:tcPr>
          <w:p>
            <w:pPr>
              <w:spacing w:lineRule="exact" w:line="600"/>
              <w:jc w:val="center"/>
            </w:pPr>
            <w:r/>
            <w:r>
              <w:rPr>
                <w:rFonts w:ascii="仿宋_GB2312" w:hAnsi="仿宋_GB2312" w:eastAsia="仿宋_GB2312"/>
                <w:b w:val="0"/>
                <w:color w:val="000000"/>
                <w:sz w:val="32"/>
              </w:rPr>
              <w:t>控本但单耗较高</w:t>
            </w:r>
          </w:p>
        </w:tc>
      </w:tr>
      <w:tr>
        <w:tc>
          <w:tcPr>
            <w:tcW w:type="dxa" w:w="2268"/>
          </w:tcPr>
          <w:p>
            <w:pPr>
              <w:spacing w:lineRule="exact" w:line="600"/>
              <w:jc w:val="center"/>
            </w:pPr>
            <w:r/>
            <w:r>
              <w:rPr>
                <w:rFonts w:ascii="仿宋_GB2312" w:hAnsi="仿宋_GB2312" w:eastAsia="仿宋_GB2312"/>
                <w:b w:val="0"/>
                <w:color w:val="000000"/>
                <w:sz w:val="32"/>
              </w:rPr>
              <w:t>人工</w:t>
            </w:r>
          </w:p>
        </w:tc>
        <w:tc>
          <w:tcPr>
            <w:tcW w:type="dxa" w:w="3402"/>
          </w:tcPr>
          <w:p>
            <w:pPr>
              <w:spacing w:lineRule="exact" w:line="600"/>
              <w:jc w:val="center"/>
            </w:pPr>
            <w:r/>
            <w:r>
              <w:rPr>
                <w:rFonts w:ascii="仿宋_GB2312" w:hAnsi="仿宋_GB2312" w:eastAsia="仿宋_GB2312"/>
                <w:b w:val="0"/>
                <w:color w:val="000000"/>
                <w:sz w:val="32"/>
              </w:rPr>
              <w:t>机器换人</w:t>
            </w:r>
          </w:p>
        </w:tc>
        <w:tc>
          <w:tcPr>
            <w:tcW w:type="dxa" w:w="2835"/>
          </w:tcPr>
          <w:p>
            <w:pPr>
              <w:spacing w:lineRule="exact" w:line="600"/>
              <w:jc w:val="center"/>
            </w:pPr>
            <w:r/>
            <w:r>
              <w:rPr>
                <w:rFonts w:ascii="仿宋_GB2312" w:hAnsi="仿宋_GB2312" w:eastAsia="仿宋_GB2312"/>
                <w:b w:val="0"/>
                <w:color w:val="000000"/>
                <w:sz w:val="32"/>
              </w:rPr>
              <w:t>安信30人/7000㎡</w:t>
            </w:r>
          </w:p>
        </w:tc>
      </w:tr>
      <w:tr>
        <w:tc>
          <w:tcPr>
            <w:tcW w:type="dxa" w:w="2268"/>
          </w:tcPr>
          <w:p>
            <w:pPr>
              <w:spacing w:lineRule="exact" w:line="600"/>
              <w:jc w:val="center"/>
            </w:pPr>
            <w:r/>
            <w:r>
              <w:rPr>
                <w:rFonts w:ascii="仿宋_GB2312" w:hAnsi="仿宋_GB2312" w:eastAsia="仿宋_GB2312"/>
                <w:b w:val="0"/>
                <w:color w:val="000000"/>
                <w:sz w:val="32"/>
              </w:rPr>
              <w:t>用地</w:t>
            </w:r>
          </w:p>
        </w:tc>
        <w:tc>
          <w:tcPr>
            <w:tcW w:type="dxa" w:w="3402"/>
          </w:tcPr>
          <w:p>
            <w:pPr>
              <w:spacing w:lineRule="exact" w:line="600"/>
              <w:jc w:val="center"/>
            </w:pPr>
            <w:r/>
            <w:r>
              <w:rPr>
                <w:rFonts w:ascii="仿宋_GB2312" w:hAnsi="仿宋_GB2312" w:eastAsia="仿宋_GB2312"/>
                <w:b w:val="0"/>
                <w:color w:val="000000"/>
                <w:sz w:val="32"/>
              </w:rPr>
              <w:t>退城入园腾地5000余亩</w:t>
            </w:r>
          </w:p>
        </w:tc>
        <w:tc>
          <w:tcPr>
            <w:tcW w:type="dxa" w:w="2835"/>
          </w:tcPr>
          <w:p>
            <w:pPr>
              <w:spacing w:lineRule="exact" w:line="600"/>
              <w:jc w:val="center"/>
            </w:pPr>
            <w:r/>
            <w:r>
              <w:rPr>
                <w:rFonts w:ascii="仿宋_GB2312" w:hAnsi="仿宋_GB2312" w:eastAsia="仿宋_GB2312"/>
                <w:b w:val="0"/>
                <w:color w:val="000000"/>
                <w:sz w:val="32"/>
              </w:rPr>
              <w:t>保障扩产</w:t>
            </w:r>
          </w:p>
        </w:tc>
      </w:tr>
      <w:tr>
        <w:tc>
          <w:tcPr>
            <w:tcW w:type="dxa" w:w="2268"/>
          </w:tcPr>
          <w:p>
            <w:pPr>
              <w:spacing w:lineRule="exact" w:line="600"/>
              <w:jc w:val="center"/>
            </w:pPr>
            <w:r/>
            <w:r>
              <w:rPr>
                <w:rFonts w:ascii="仿宋_GB2312" w:hAnsi="仿宋_GB2312" w:eastAsia="仿宋_GB2312"/>
                <w:b w:val="0"/>
                <w:color w:val="000000"/>
                <w:sz w:val="32"/>
              </w:rPr>
              <w:t>能源</w:t>
            </w:r>
          </w:p>
        </w:tc>
        <w:tc>
          <w:tcPr>
            <w:tcW w:type="dxa" w:w="3402"/>
          </w:tcPr>
          <w:p>
            <w:pPr>
              <w:spacing w:lineRule="exact" w:line="600"/>
              <w:jc w:val="center"/>
            </w:pPr>
            <w:r/>
            <w:r>
              <w:rPr>
                <w:rFonts w:ascii="仿宋_GB2312" w:hAnsi="仿宋_GB2312" w:eastAsia="仿宋_GB2312"/>
                <w:b w:val="0"/>
                <w:color w:val="000000"/>
                <w:sz w:val="32"/>
              </w:rPr>
              <w:t>工业4.0+集中涂装</w:t>
            </w:r>
          </w:p>
        </w:tc>
        <w:tc>
          <w:tcPr>
            <w:tcW w:type="dxa" w:w="2835"/>
          </w:tcPr>
          <w:p>
            <w:pPr>
              <w:spacing w:lineRule="exact" w:line="600"/>
              <w:jc w:val="center"/>
            </w:pPr>
            <w:r/>
            <w:r>
              <w:rPr>
                <w:rFonts w:ascii="仿宋_GB2312" w:hAnsi="仿宋_GB2312" w:eastAsia="仿宋_GB2312"/>
                <w:b w:val="0"/>
                <w:color w:val="000000"/>
                <w:sz w:val="32"/>
              </w:rPr>
              <w:t>能耗降10%—30%</w:t>
            </w:r>
          </w:p>
        </w:tc>
      </w:tr>
      <w:tr>
        <w:tc>
          <w:tcPr>
            <w:tcW w:type="dxa" w:w="2268"/>
          </w:tcPr>
          <w:p>
            <w:pPr>
              <w:spacing w:lineRule="exact" w:line="600"/>
              <w:jc w:val="center"/>
            </w:pPr>
            <w:r/>
            <w:r>
              <w:rPr>
                <w:rFonts w:ascii="仿宋_GB2312" w:hAnsi="仿宋_GB2312" w:eastAsia="仿宋_GB2312"/>
                <w:b w:val="0"/>
                <w:color w:val="000000"/>
                <w:sz w:val="32"/>
              </w:rPr>
              <w:t>盈利现金流</w:t>
            </w:r>
          </w:p>
        </w:tc>
        <w:tc>
          <w:tcPr>
            <w:tcW w:type="dxa" w:w="3402"/>
          </w:tcPr>
          <w:p>
            <w:pPr>
              <w:spacing w:lineRule="exact" w:line="600"/>
              <w:jc w:val="center"/>
            </w:pPr>
            <w:r/>
            <w:r>
              <w:rPr>
                <w:rFonts w:ascii="仿宋_GB2312" w:hAnsi="仿宋_GB2312" w:eastAsia="仿宋_GB2312"/>
                <w:b w:val="0"/>
                <w:color w:val="000000"/>
                <w:sz w:val="32"/>
              </w:rPr>
              <w:t>泰森2022营收14.25亿</w:t>
            </w:r>
          </w:p>
        </w:tc>
        <w:tc>
          <w:tcPr>
            <w:tcW w:type="dxa" w:w="2835"/>
          </w:tcPr>
          <w:p>
            <w:pPr>
              <w:spacing w:lineRule="exact" w:line="600"/>
              <w:jc w:val="center"/>
            </w:pPr>
            <w:r/>
            <w:r>
              <w:rPr>
                <w:rFonts w:ascii="仿宋_GB2312" w:hAnsi="仿宋_GB2312" w:eastAsia="仿宋_GB2312"/>
                <w:b w:val="0"/>
                <w:color w:val="000000"/>
                <w:sz w:val="32"/>
              </w:rPr>
              <w:t>工程回款周期拉长</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机遇一：存量翻新与旧改。房地产新建放缓下，旧房翻新、保障房、装配式装修打开板式定制增量（行业共性研判）。机遇二：绿色消费。无醛板、水性漆定制受青睐，安信名伦木造海外订单+40%（来源：琅琊新闻网）。机遇三：政策赋能。国家级特色产业集群、木业产业大脑省级试点、2024技改投资35.7亿元（+21.3%）提供支撑（来源：wood168.net、新华财经、费县工业成绩单）。机遇四：整装趋势提升客单价（行业共性研判）。</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挑战一：地产下行拖累工程集采，泰森等以百强地产集采为主的企业订单波动（来源：泰森日盛资料）。挑战二：同质化与价格战，长尾定制厂以低价竞争（来源：中木商网、琅琊新闻网）。挑战三：水性漆与无醛材料成本高于传统，短期压制毛利（行业共性研判）。挑战四：定制交付对数字化与供应链要求高，中小企业能力短板（来源：新华财经）。</w:t>
      </w:r>
    </w:p>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风险一：应收账款与现金流风险，工程集采回款周期受地产链影响（行业共性研判）。风险二：原材料与五金价格波动（行业共性研判）。风险三：贸易壁垒，出口型企业受CARB、FSC等认证与关税影响（来源：安信资料、山东千森资料）。风险四：产能扩张过快导致局部过剩与价格内卷（来源：中木商网）。</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类别</w:t>
            </w:r>
          </w:p>
        </w:tc>
        <w:tc>
          <w:tcPr>
            <w:tcW w:type="dxa" w:w="3969"/>
          </w:tcPr>
          <w:p>
            <w:pPr>
              <w:spacing w:lineRule="exact" w:line="600"/>
              <w:jc w:val="center"/>
            </w:pPr>
            <w:r/>
            <w:r>
              <w:rPr>
                <w:rFonts w:ascii="黑体" w:hAnsi="黑体" w:eastAsia="黑体"/>
                <w:b/>
                <w:color w:val="000000"/>
                <w:sz w:val="32"/>
              </w:rPr>
              <w:t>要点</w:t>
            </w:r>
          </w:p>
        </w:tc>
        <w:tc>
          <w:tcPr>
            <w:tcW w:type="dxa" w:w="2551"/>
          </w:tcPr>
          <w:p>
            <w:pPr>
              <w:spacing w:lineRule="exact" w:line="600"/>
              <w:jc w:val="center"/>
            </w:pPr>
            <w:r/>
            <w:r>
              <w:rPr>
                <w:rFonts w:ascii="黑体" w:hAnsi="黑体" w:eastAsia="黑体"/>
                <w:b/>
                <w:color w:val="000000"/>
                <w:sz w:val="32"/>
              </w:rPr>
              <w:t>依据</w:t>
            </w:r>
          </w:p>
        </w:tc>
      </w:tr>
      <w:tr>
        <w:tc>
          <w:tcPr>
            <w:tcW w:type="dxa" w:w="1984"/>
          </w:tcPr>
          <w:p>
            <w:pPr>
              <w:spacing w:lineRule="exact" w:line="600"/>
              <w:jc w:val="center"/>
            </w:pPr>
            <w:r/>
            <w:r>
              <w:rPr>
                <w:rFonts w:ascii="仿宋_GB2312" w:hAnsi="仿宋_GB2312" w:eastAsia="仿宋_GB2312"/>
                <w:b w:val="0"/>
                <w:color w:val="000000"/>
                <w:sz w:val="32"/>
              </w:rPr>
              <w:t>机遇</w:t>
            </w:r>
          </w:p>
        </w:tc>
        <w:tc>
          <w:tcPr>
            <w:tcW w:type="dxa" w:w="3969"/>
          </w:tcPr>
          <w:p>
            <w:pPr>
              <w:spacing w:lineRule="exact" w:line="600"/>
              <w:jc w:val="center"/>
            </w:pPr>
            <w:r/>
            <w:r>
              <w:rPr>
                <w:rFonts w:ascii="仿宋_GB2312" w:hAnsi="仿宋_GB2312" w:eastAsia="仿宋_GB2312"/>
                <w:b w:val="0"/>
                <w:color w:val="000000"/>
                <w:sz w:val="32"/>
              </w:rPr>
              <w:t>存量翻新、绿色消费、政策赋能</w:t>
            </w:r>
          </w:p>
        </w:tc>
        <w:tc>
          <w:tcPr>
            <w:tcW w:type="dxa" w:w="2551"/>
          </w:tcPr>
          <w:p>
            <w:pPr>
              <w:spacing w:lineRule="exact" w:line="600"/>
              <w:jc w:val="center"/>
            </w:pPr>
            <w:r/>
            <w:r>
              <w:rPr>
                <w:rFonts w:ascii="仿宋_GB2312" w:hAnsi="仿宋_GB2312" w:eastAsia="仿宋_GB2312"/>
                <w:b w:val="0"/>
                <w:color w:val="000000"/>
                <w:sz w:val="32"/>
              </w:rPr>
              <w:t>琅琊新闻网、wood168</w:t>
            </w:r>
          </w:p>
        </w:tc>
      </w:tr>
      <w:tr>
        <w:tc>
          <w:tcPr>
            <w:tcW w:type="dxa" w:w="1984"/>
          </w:tcPr>
          <w:p>
            <w:pPr>
              <w:spacing w:lineRule="exact" w:line="600"/>
              <w:jc w:val="center"/>
            </w:pPr>
            <w:r/>
            <w:r>
              <w:rPr>
                <w:rFonts w:ascii="仿宋_GB2312" w:hAnsi="仿宋_GB2312" w:eastAsia="仿宋_GB2312"/>
                <w:b w:val="0"/>
                <w:color w:val="000000"/>
                <w:sz w:val="32"/>
              </w:rPr>
              <w:t>挑战</w:t>
            </w:r>
          </w:p>
        </w:tc>
        <w:tc>
          <w:tcPr>
            <w:tcW w:type="dxa" w:w="3969"/>
          </w:tcPr>
          <w:p>
            <w:pPr>
              <w:spacing w:lineRule="exact" w:line="600"/>
              <w:jc w:val="center"/>
            </w:pPr>
            <w:r/>
            <w:r>
              <w:rPr>
                <w:rFonts w:ascii="仿宋_GB2312" w:hAnsi="仿宋_GB2312" w:eastAsia="仿宋_GB2312"/>
                <w:b w:val="0"/>
                <w:color w:val="000000"/>
                <w:sz w:val="32"/>
              </w:rPr>
              <w:t>地产下行、价格战、成本</w:t>
            </w:r>
          </w:p>
        </w:tc>
        <w:tc>
          <w:tcPr>
            <w:tcW w:type="dxa" w:w="2551"/>
          </w:tcPr>
          <w:p>
            <w:pPr>
              <w:spacing w:lineRule="exact" w:line="600"/>
              <w:jc w:val="center"/>
            </w:pPr>
            <w:r/>
            <w:r>
              <w:rPr>
                <w:rFonts w:ascii="仿宋_GB2312" w:hAnsi="仿宋_GB2312" w:eastAsia="仿宋_GB2312"/>
                <w:b w:val="0"/>
                <w:color w:val="000000"/>
                <w:sz w:val="32"/>
              </w:rPr>
              <w:t>泰森/中木商网</w:t>
            </w:r>
          </w:p>
        </w:tc>
      </w:tr>
      <w:tr>
        <w:tc>
          <w:tcPr>
            <w:tcW w:type="dxa" w:w="1984"/>
          </w:tcPr>
          <w:p>
            <w:pPr>
              <w:spacing w:lineRule="exact" w:line="600"/>
              <w:jc w:val="center"/>
            </w:pPr>
            <w:r/>
            <w:r>
              <w:rPr>
                <w:rFonts w:ascii="仿宋_GB2312" w:hAnsi="仿宋_GB2312" w:eastAsia="仿宋_GB2312"/>
                <w:b w:val="0"/>
                <w:color w:val="000000"/>
                <w:sz w:val="32"/>
              </w:rPr>
              <w:t>风险</w:t>
            </w:r>
          </w:p>
        </w:tc>
        <w:tc>
          <w:tcPr>
            <w:tcW w:type="dxa" w:w="3969"/>
          </w:tcPr>
          <w:p>
            <w:pPr>
              <w:spacing w:lineRule="exact" w:line="600"/>
              <w:jc w:val="center"/>
            </w:pPr>
            <w:r/>
            <w:r>
              <w:rPr>
                <w:rFonts w:ascii="仿宋_GB2312" w:hAnsi="仿宋_GB2312" w:eastAsia="仿宋_GB2312"/>
                <w:b w:val="0"/>
                <w:color w:val="000000"/>
                <w:sz w:val="32"/>
              </w:rPr>
              <w:t>回款、原料波动、贸易壁垒</w:t>
            </w:r>
          </w:p>
        </w:tc>
        <w:tc>
          <w:tcPr>
            <w:tcW w:type="dxa" w:w="2551"/>
          </w:tcPr>
          <w:p>
            <w:pPr>
              <w:spacing w:lineRule="exact" w:line="600"/>
              <w:jc w:val="center"/>
            </w:pPr>
            <w:r/>
            <w:r>
              <w:rPr>
                <w:rFonts w:ascii="仿宋_GB2312" w:hAnsi="仿宋_GB2312" w:eastAsia="仿宋_GB2312"/>
                <w:b w:val="0"/>
                <w:color w:val="000000"/>
                <w:sz w:val="32"/>
              </w:rPr>
              <w:t>行业研判/企业资料</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（一）工业4.0与柔性定制深化</w:t>
      </w:r>
    </w:p>
    <w:p>
      <w:pPr>
        <w:spacing w:lineRule="exact" w:line="600" w:before="0" w:after="0"/>
        <w:ind w:firstLine="420"/>
        <w:jc w:val="both"/>
      </w:pPr>
      <w:r>
        <w:rPr>
          <w:rFonts w:ascii="仿宋_GB2312" w:hAnsi="仿宋_GB2312" w:eastAsia="仿宋_GB2312"/>
          <w:b w:val="0"/>
          <w:color w:val="000000"/>
          <w:sz w:val="32"/>
        </w:rPr>
        <w:t>以泰森日盛、安信美家工业4.0为样板，推广IMES/AHC系统与柔性产线，实现拆单、排产、仓储、交付一体化。目标是将交付周期从30天压缩至15天（云擎家居案例，来源：琅琊新闻网），效率提升25%、成本降22%（来源：央广网/网易）。推动中小企业「智转数改」，接入木业产业大脑（来源：新华财经）。</w:t>
      </w:r>
    </w:p>
    <w:p>
      <w:pPr>
        <w:spacing w:lineRule="exact" w:line="600" w:before="120" w:after="120"/>
        <w:ind w:firstLine="420"/>
        <w:jc w:val="left"/>
      </w:pPr>
      <w:r>
        <w:rPr>
          <w:rFonts w:ascii="楷体_GB2312" w:hAnsi="楷体_GB2312" w:eastAsia="楷体_GB2312"/>
          <w:b w:val="0"/>
          <w:color w:val="000000"/>
          <w:sz w:val="32"/>
        </w:rPr>
        <w:t>（二）绿色水性漆与整装交付</w:t>
      </w:r>
    </w:p>
    <w:p>
      <w:pPr>
        <w:spacing w:lineRule="exact" w:line="600" w:before="0" w:after="0"/>
        <w:ind w:firstLine="420"/>
        <w:jc w:val="both"/>
      </w:pPr>
      <w:r>
        <w:rPr>
          <w:rFonts w:ascii="仿宋_GB2312" w:hAnsi="仿宋_GB2312" w:eastAsia="仿宋_GB2312"/>
          <w:b w:val="0"/>
          <w:color w:val="000000"/>
          <w:sz w:val="32"/>
        </w:rPr>
        <w:t>推广安信美家「油改水」与泰森无醛板材经验，建设集中涂装共享基地使VOCs降90%（来源：中木商网、wood365.cn）。发展装配式装修与整装交付，泰森日盛装配式样板房已落地智能模块（来源：央广网/网易）。以「生产绿色板、智造健康家」区域品牌统领，提升整装客单价与复购（来源：wood168.net）。</w:t>
      </w:r>
    </w:p>
    <w:p>
      <w:pPr>
        <w:spacing w:lineRule="exact" w:line="600" w:before="120" w:after="120"/>
        <w:ind w:firstLine="420"/>
        <w:jc w:val="left"/>
      </w:pPr>
      <w:r>
        <w:rPr>
          <w:rFonts w:ascii="楷体_GB2312" w:hAnsi="楷体_GB2312" w:eastAsia="楷体_GB2312"/>
          <w:b w:val="0"/>
          <w:color w:val="000000"/>
          <w:sz w:val="32"/>
        </w:rPr>
        <w:t>（三）品牌化与渠道拓展</w:t>
      </w:r>
    </w:p>
    <w:p>
      <w:pPr>
        <w:spacing w:lineRule="exact" w:line="600" w:before="0" w:after="0"/>
        <w:ind w:firstLine="420"/>
        <w:jc w:val="both"/>
      </w:pPr>
      <w:r>
        <w:rPr>
          <w:rFonts w:ascii="仿宋_GB2312" w:hAnsi="仿宋_GB2312" w:eastAsia="仿宋_GB2312"/>
          <w:b w:val="0"/>
          <w:color w:val="000000"/>
          <w:sz w:val="32"/>
        </w:rPr>
        <w:t>探沂镇建30家重点企业品牌培育库、新注册商标218个，推动19家企业从代工转自主品牌（来源：琅琊新闻网）。鼓励企业布局零售门店（如名伦木造230+店）、电商与海外渠道（安信海外+40%）。支持朝泰实业等园区企业抱团发展、产销一体（来源：大众日报）。目标是打造「中国北方全屋整装智造中心」、木业产值破500亿（来源：央广网/网易）。</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升级路径</w:t>
            </w:r>
          </w:p>
        </w:tc>
        <w:tc>
          <w:tcPr>
            <w:tcW w:type="dxa" w:w="3402"/>
          </w:tcPr>
          <w:p>
            <w:pPr>
              <w:spacing w:lineRule="exact" w:line="600"/>
              <w:jc w:val="center"/>
            </w:pPr>
            <w:r/>
            <w:r>
              <w:rPr>
                <w:rFonts w:ascii="黑体" w:hAnsi="黑体" w:eastAsia="黑体"/>
                <w:b/>
                <w:color w:val="000000"/>
                <w:sz w:val="32"/>
              </w:rPr>
              <w:t>举措</w:t>
            </w:r>
          </w:p>
        </w:tc>
        <w:tc>
          <w:tcPr>
            <w:tcW w:type="dxa" w:w="2835"/>
          </w:tcPr>
          <w:p>
            <w:pPr>
              <w:spacing w:lineRule="exact" w:line="600"/>
              <w:jc w:val="center"/>
            </w:pPr>
            <w:r/>
            <w:r>
              <w:rPr>
                <w:rFonts w:ascii="黑体" w:hAnsi="黑体" w:eastAsia="黑体"/>
                <w:b/>
                <w:color w:val="000000"/>
                <w:sz w:val="32"/>
              </w:rPr>
              <w:t>目标/成效</w:t>
            </w:r>
          </w:p>
        </w:tc>
      </w:tr>
      <w:tr>
        <w:tc>
          <w:tcPr>
            <w:tcW w:type="dxa" w:w="2268"/>
          </w:tcPr>
          <w:p>
            <w:pPr>
              <w:spacing w:lineRule="exact" w:line="600"/>
              <w:jc w:val="center"/>
            </w:pPr>
            <w:r/>
            <w:r>
              <w:rPr>
                <w:rFonts w:ascii="仿宋_GB2312" w:hAnsi="仿宋_GB2312" w:eastAsia="仿宋_GB2312"/>
                <w:b w:val="0"/>
                <w:color w:val="000000"/>
                <w:sz w:val="32"/>
              </w:rPr>
              <w:t>工业4.0</w:t>
            </w:r>
          </w:p>
        </w:tc>
        <w:tc>
          <w:tcPr>
            <w:tcW w:type="dxa" w:w="3402"/>
          </w:tcPr>
          <w:p>
            <w:pPr>
              <w:spacing w:lineRule="exact" w:line="600"/>
              <w:jc w:val="center"/>
            </w:pPr>
            <w:r/>
            <w:r>
              <w:rPr>
                <w:rFonts w:ascii="仿宋_GB2312" w:hAnsi="仿宋_GB2312" w:eastAsia="仿宋_GB2312"/>
                <w:b w:val="0"/>
                <w:color w:val="000000"/>
                <w:sz w:val="32"/>
              </w:rPr>
              <w:t>IMES/AHC、柔性产线</w:t>
            </w:r>
          </w:p>
        </w:tc>
        <w:tc>
          <w:tcPr>
            <w:tcW w:type="dxa" w:w="2835"/>
          </w:tcPr>
          <w:p>
            <w:pPr>
              <w:spacing w:lineRule="exact" w:line="600"/>
              <w:jc w:val="center"/>
            </w:pPr>
            <w:r/>
            <w:r>
              <w:rPr>
                <w:rFonts w:ascii="仿宋_GB2312" w:hAnsi="仿宋_GB2312" w:eastAsia="仿宋_GB2312"/>
                <w:b w:val="0"/>
                <w:color w:val="000000"/>
                <w:sz w:val="32"/>
              </w:rPr>
              <w:t>效率+25%、交付15天</w:t>
            </w:r>
          </w:p>
        </w:tc>
      </w:tr>
      <w:tr>
        <w:tc>
          <w:tcPr>
            <w:tcW w:type="dxa" w:w="2268"/>
          </w:tcPr>
          <w:p>
            <w:pPr>
              <w:spacing w:lineRule="exact" w:line="600"/>
              <w:jc w:val="center"/>
            </w:pPr>
            <w:r/>
            <w:r>
              <w:rPr>
                <w:rFonts w:ascii="仿宋_GB2312" w:hAnsi="仿宋_GB2312" w:eastAsia="仿宋_GB2312"/>
                <w:b w:val="0"/>
                <w:color w:val="000000"/>
                <w:sz w:val="32"/>
              </w:rPr>
              <w:t>绿色整装</w:t>
            </w:r>
          </w:p>
        </w:tc>
        <w:tc>
          <w:tcPr>
            <w:tcW w:type="dxa" w:w="3402"/>
          </w:tcPr>
          <w:p>
            <w:pPr>
              <w:spacing w:lineRule="exact" w:line="600"/>
              <w:jc w:val="center"/>
            </w:pPr>
            <w:r/>
            <w:r>
              <w:rPr>
                <w:rFonts w:ascii="仿宋_GB2312" w:hAnsi="仿宋_GB2312" w:eastAsia="仿宋_GB2312"/>
                <w:b w:val="0"/>
                <w:color w:val="000000"/>
                <w:sz w:val="32"/>
              </w:rPr>
              <w:t>油改水、装配式装修</w:t>
            </w:r>
          </w:p>
        </w:tc>
        <w:tc>
          <w:tcPr>
            <w:tcW w:type="dxa" w:w="2835"/>
          </w:tcPr>
          <w:p>
            <w:pPr>
              <w:spacing w:lineRule="exact" w:line="600"/>
              <w:jc w:val="center"/>
            </w:pPr>
            <w:r/>
            <w:r>
              <w:rPr>
                <w:rFonts w:ascii="仿宋_GB2312" w:hAnsi="仿宋_GB2312" w:eastAsia="仿宋_GB2312"/>
                <w:b w:val="0"/>
                <w:color w:val="000000"/>
                <w:sz w:val="32"/>
              </w:rPr>
              <w:t>VOCs降90%</w:t>
            </w:r>
          </w:p>
        </w:tc>
      </w:tr>
      <w:tr>
        <w:tc>
          <w:tcPr>
            <w:tcW w:type="dxa" w:w="2268"/>
          </w:tcPr>
          <w:p>
            <w:pPr>
              <w:spacing w:lineRule="exact" w:line="600"/>
              <w:jc w:val="center"/>
            </w:pPr>
            <w:r/>
            <w:r>
              <w:rPr>
                <w:rFonts w:ascii="仿宋_GB2312" w:hAnsi="仿宋_GB2312" w:eastAsia="仿宋_GB2312"/>
                <w:b w:val="0"/>
                <w:color w:val="000000"/>
                <w:sz w:val="32"/>
              </w:rPr>
              <w:t>品牌渠道</w:t>
            </w:r>
          </w:p>
        </w:tc>
        <w:tc>
          <w:tcPr>
            <w:tcW w:type="dxa" w:w="3402"/>
          </w:tcPr>
          <w:p>
            <w:pPr>
              <w:spacing w:lineRule="exact" w:line="600"/>
              <w:jc w:val="center"/>
            </w:pPr>
            <w:r/>
            <w:r>
              <w:rPr>
                <w:rFonts w:ascii="仿宋_GB2312" w:hAnsi="仿宋_GB2312" w:eastAsia="仿宋_GB2312"/>
                <w:b w:val="0"/>
                <w:color w:val="000000"/>
                <w:sz w:val="32"/>
              </w:rPr>
              <w:t>30家培育库、218商标</w:t>
            </w:r>
          </w:p>
        </w:tc>
        <w:tc>
          <w:tcPr>
            <w:tcW w:type="dxa" w:w="2835"/>
          </w:tcPr>
          <w:p>
            <w:pPr>
              <w:spacing w:lineRule="exact" w:line="600"/>
              <w:jc w:val="center"/>
            </w:pPr>
            <w:r/>
            <w:r>
              <w:rPr>
                <w:rFonts w:ascii="仿宋_GB2312" w:hAnsi="仿宋_GB2312" w:eastAsia="仿宋_GB2312"/>
                <w:b w:val="0"/>
                <w:color w:val="000000"/>
                <w:sz w:val="32"/>
              </w:rPr>
              <w:t>19家转自主品牌</w:t>
            </w:r>
          </w:p>
        </w:tc>
      </w:tr>
      <w:tr>
        <w:tc>
          <w:tcPr>
            <w:tcW w:type="dxa" w:w="2268"/>
          </w:tcPr>
          <w:p>
            <w:pPr>
              <w:spacing w:lineRule="exact" w:line="600"/>
              <w:jc w:val="center"/>
            </w:pPr>
            <w:r/>
            <w:r>
              <w:rPr>
                <w:rFonts w:ascii="仿宋_GB2312" w:hAnsi="仿宋_GB2312" w:eastAsia="仿宋_GB2312"/>
                <w:b w:val="0"/>
                <w:color w:val="000000"/>
                <w:sz w:val="32"/>
              </w:rPr>
              <w:t>集群目标</w:t>
            </w:r>
          </w:p>
        </w:tc>
        <w:tc>
          <w:tcPr>
            <w:tcW w:type="dxa" w:w="3402"/>
          </w:tcPr>
          <w:p>
            <w:pPr>
              <w:spacing w:lineRule="exact" w:line="600"/>
              <w:jc w:val="center"/>
            </w:pPr>
            <w:r/>
            <w:r>
              <w:rPr>
                <w:rFonts w:ascii="仿宋_GB2312" w:hAnsi="仿宋_GB2312" w:eastAsia="仿宋_GB2312"/>
                <w:b w:val="0"/>
                <w:color w:val="000000"/>
                <w:sz w:val="32"/>
              </w:rPr>
              <w:t>北方整装智造中心</w:t>
            </w:r>
          </w:p>
        </w:tc>
        <w:tc>
          <w:tcPr>
            <w:tcW w:type="dxa" w:w="2835"/>
          </w:tcPr>
          <w:p>
            <w:pPr>
              <w:spacing w:lineRule="exact" w:line="600"/>
              <w:jc w:val="center"/>
            </w:pPr>
            <w:r/>
            <w:r>
              <w:rPr>
                <w:rFonts w:ascii="仿宋_GB2312" w:hAnsi="仿宋_GB2312" w:eastAsia="仿宋_GB2312"/>
                <w:b w:val="0"/>
                <w:color w:val="000000"/>
                <w:sz w:val="32"/>
              </w:rPr>
              <w:t>木业产值破500亿</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（一）智能工厂与设备升级融资</w:t>
      </w:r>
    </w:p>
    <w:p>
      <w:pPr>
        <w:spacing w:lineRule="exact" w:line="600" w:before="0" w:after="0"/>
        <w:ind w:firstLine="420"/>
        <w:jc w:val="both"/>
      </w:pPr>
      <w:r>
        <w:rPr>
          <w:rFonts w:ascii="仿宋_GB2312" w:hAnsi="仿宋_GB2312" w:eastAsia="仿宋_GB2312"/>
          <w:b w:val="0"/>
          <w:color w:val="000000"/>
          <w:sz w:val="32"/>
        </w:rPr>
        <w:t>板式定制企业智能工厂投资规模大。泰森日盛美好家居项目总投资8.6亿元、斥资3亿余元引进600余台设备；安信美家投资3.6亿元新上智能化与水性涂装设备（来源：央广网/网易、焦点家居）。费县2024年技改投资35.7亿元、增长21.3%，支持「百项技改、百企转型」（来源：费县工业成绩单）。企业存在项目贷、设备融资租赁、技改贴息需求（行业共性研判）。</w:t>
      </w:r>
    </w:p>
    <w:p>
      <w:pPr>
        <w:spacing w:lineRule="exact" w:line="600" w:before="120" w:after="120"/>
        <w:ind w:firstLine="420"/>
        <w:jc w:val="left"/>
      </w:pPr>
      <w:r>
        <w:rPr>
          <w:rFonts w:ascii="楷体_GB2312" w:hAnsi="楷体_GB2312" w:eastAsia="楷体_GB2312"/>
          <w:b w:val="0"/>
          <w:color w:val="000000"/>
          <w:sz w:val="32"/>
        </w:rPr>
        <w:t>（二）产能扩张与园区建设融资</w:t>
      </w:r>
    </w:p>
    <w:p>
      <w:pPr>
        <w:spacing w:lineRule="exact" w:line="600" w:before="0" w:after="0"/>
        <w:ind w:firstLine="420"/>
        <w:jc w:val="both"/>
      </w:pPr>
      <w:r>
        <w:rPr>
          <w:rFonts w:ascii="仿宋_GB2312" w:hAnsi="仿宋_GB2312" w:eastAsia="仿宋_GB2312"/>
          <w:b w:val="0"/>
          <w:color w:val="000000"/>
          <w:sz w:val="32"/>
        </w:rPr>
        <w:t>退城入园与五大园区建设需资本。探沂镇腾地5000余亩、高起点建定制家居等地产品加工园，吸引朝泰实业等抱团进驻（来源：wood365.cn、大众日报）。中小企业扩产存在标准厂房、智能产线、环保设施（集中涂装、污水处理）的专项债与产业基金需求（行业共性研判）。链主扩产亦有股权融资需求。</w:t>
      </w:r>
    </w:p>
    <w:p>
      <w:pPr>
        <w:spacing w:lineRule="exact" w:line="600" w:before="120" w:after="120"/>
        <w:ind w:firstLine="420"/>
        <w:jc w:val="left"/>
      </w:pPr>
      <w:r>
        <w:rPr>
          <w:rFonts w:ascii="楷体_GB2312" w:hAnsi="楷体_GB2312" w:eastAsia="楷体_GB2312"/>
          <w:b w:val="0"/>
          <w:color w:val="000000"/>
          <w:sz w:val="32"/>
        </w:rPr>
        <w:t>（三）研发、品牌与供应链金融</w:t>
      </w:r>
    </w:p>
    <w:p>
      <w:pPr>
        <w:spacing w:lineRule="exact" w:line="600" w:before="0" w:after="0"/>
        <w:ind w:firstLine="420"/>
        <w:jc w:val="both"/>
      </w:pPr>
      <w:r>
        <w:rPr>
          <w:rFonts w:ascii="仿宋_GB2312" w:hAnsi="仿宋_GB2312" w:eastAsia="仿宋_GB2312"/>
          <w:b w:val="0"/>
          <w:color w:val="000000"/>
          <w:sz w:val="32"/>
        </w:rPr>
        <w:t>研发（泰森CNAS实验室、134项专利）、品牌（名伦木造230+店）与渠道拓展需流动资金（来源：央广网/网易、琅琊新闻网）。基于木业产业大脑的订单/存货/应收保理可缓解周转压力（来源：新华财经）。出口型企业需信用证与汇率避险（行业共性研判）。建议组合运用科技贷、专精特新扶持、绿色信贷与供应链金融（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需求内容</w:t>
            </w:r>
          </w:p>
        </w:tc>
        <w:tc>
          <w:tcPr>
            <w:tcW w:type="dxa" w:w="2835"/>
          </w:tcPr>
          <w:p>
            <w:pPr>
              <w:spacing w:lineRule="exact" w:line="600"/>
              <w:jc w:val="center"/>
            </w:pPr>
            <w:r/>
            <w:r>
              <w:rPr>
                <w:rFonts w:ascii="黑体" w:hAnsi="黑体" w:eastAsia="黑体"/>
                <w:b/>
                <w:color w:val="000000"/>
                <w:sz w:val="32"/>
              </w:rPr>
              <w:t>可能工具</w:t>
            </w:r>
          </w:p>
        </w:tc>
      </w:tr>
      <w:tr>
        <w:tc>
          <w:tcPr>
            <w:tcW w:type="dxa" w:w="2268"/>
          </w:tcPr>
          <w:p>
            <w:pPr>
              <w:spacing w:lineRule="exact" w:line="600"/>
              <w:jc w:val="center"/>
            </w:pPr>
            <w:r/>
            <w:r>
              <w:rPr>
                <w:rFonts w:ascii="仿宋_GB2312" w:hAnsi="仿宋_GB2312" w:eastAsia="仿宋_GB2312"/>
                <w:b w:val="0"/>
                <w:color w:val="000000"/>
                <w:sz w:val="32"/>
              </w:rPr>
              <w:t>智能工厂</w:t>
            </w:r>
          </w:p>
        </w:tc>
        <w:tc>
          <w:tcPr>
            <w:tcW w:type="dxa" w:w="3402"/>
          </w:tcPr>
          <w:p>
            <w:pPr>
              <w:spacing w:lineRule="exact" w:line="600"/>
              <w:jc w:val="center"/>
            </w:pPr>
            <w:r/>
            <w:r>
              <w:rPr>
                <w:rFonts w:ascii="仿宋_GB2312" w:hAnsi="仿宋_GB2312" w:eastAsia="仿宋_GB2312"/>
                <w:b w:val="0"/>
                <w:color w:val="000000"/>
                <w:sz w:val="32"/>
              </w:rPr>
              <w:t>工业4.0线、水性涂装</w:t>
            </w:r>
          </w:p>
        </w:tc>
        <w:tc>
          <w:tcPr>
            <w:tcW w:type="dxa" w:w="2835"/>
          </w:tcPr>
          <w:p>
            <w:pPr>
              <w:spacing w:lineRule="exact" w:line="600"/>
              <w:jc w:val="center"/>
            </w:pPr>
            <w:r/>
            <w:r>
              <w:rPr>
                <w:rFonts w:ascii="仿宋_GB2312" w:hAnsi="仿宋_GB2312" w:eastAsia="仿宋_GB2312"/>
                <w:b w:val="0"/>
                <w:color w:val="000000"/>
                <w:sz w:val="32"/>
              </w:rPr>
              <w:t>项目贷、设备租赁、技改贴息</w:t>
            </w:r>
          </w:p>
        </w:tc>
      </w:tr>
      <w:tr>
        <w:tc>
          <w:tcPr>
            <w:tcW w:type="dxa" w:w="2268"/>
          </w:tcPr>
          <w:p>
            <w:pPr>
              <w:spacing w:lineRule="exact" w:line="600"/>
              <w:jc w:val="center"/>
            </w:pPr>
            <w:r/>
            <w:r>
              <w:rPr>
                <w:rFonts w:ascii="仿宋_GB2312" w:hAnsi="仿宋_GB2312" w:eastAsia="仿宋_GB2312"/>
                <w:b w:val="0"/>
                <w:color w:val="000000"/>
                <w:sz w:val="32"/>
              </w:rPr>
              <w:t>园区产能</w:t>
            </w:r>
          </w:p>
        </w:tc>
        <w:tc>
          <w:tcPr>
            <w:tcW w:type="dxa" w:w="3402"/>
          </w:tcPr>
          <w:p>
            <w:pPr>
              <w:spacing w:lineRule="exact" w:line="600"/>
              <w:jc w:val="center"/>
            </w:pPr>
            <w:r/>
            <w:r>
              <w:rPr>
                <w:rFonts w:ascii="仿宋_GB2312" w:hAnsi="仿宋_GB2312" w:eastAsia="仿宋_GB2312"/>
                <w:b w:val="0"/>
                <w:color w:val="000000"/>
                <w:sz w:val="32"/>
              </w:rPr>
              <w:t>五大园区、标准厂房</w:t>
            </w:r>
          </w:p>
        </w:tc>
        <w:tc>
          <w:tcPr>
            <w:tcW w:type="dxa" w:w="2835"/>
          </w:tcPr>
          <w:p>
            <w:pPr>
              <w:spacing w:lineRule="exact" w:line="600"/>
              <w:jc w:val="center"/>
            </w:pPr>
            <w:r/>
            <w:r>
              <w:rPr>
                <w:rFonts w:ascii="仿宋_GB2312" w:hAnsi="仿宋_GB2312" w:eastAsia="仿宋_GB2312"/>
                <w:b w:val="0"/>
                <w:color w:val="000000"/>
                <w:sz w:val="32"/>
              </w:rPr>
              <w:t>专项债、产业基金</w:t>
            </w:r>
          </w:p>
        </w:tc>
      </w:tr>
      <w:tr>
        <w:tc>
          <w:tcPr>
            <w:tcW w:type="dxa" w:w="2268"/>
          </w:tcPr>
          <w:p>
            <w:pPr>
              <w:spacing w:lineRule="exact" w:line="600"/>
              <w:jc w:val="center"/>
            </w:pPr>
            <w:r/>
            <w:r>
              <w:rPr>
                <w:rFonts w:ascii="仿宋_GB2312" w:hAnsi="仿宋_GB2312" w:eastAsia="仿宋_GB2312"/>
                <w:b w:val="0"/>
                <w:color w:val="000000"/>
                <w:sz w:val="32"/>
              </w:rPr>
              <w:t>研发品牌</w:t>
            </w:r>
          </w:p>
        </w:tc>
        <w:tc>
          <w:tcPr>
            <w:tcW w:type="dxa" w:w="3402"/>
          </w:tcPr>
          <w:p>
            <w:pPr>
              <w:spacing w:lineRule="exact" w:line="600"/>
              <w:jc w:val="center"/>
            </w:pPr>
            <w:r/>
            <w:r>
              <w:rPr>
                <w:rFonts w:ascii="仿宋_GB2312" w:hAnsi="仿宋_GB2312" w:eastAsia="仿宋_GB2312"/>
                <w:b w:val="0"/>
                <w:color w:val="000000"/>
                <w:sz w:val="32"/>
              </w:rPr>
              <w:t>实验室、门店、渠道</w:t>
            </w:r>
          </w:p>
        </w:tc>
        <w:tc>
          <w:tcPr>
            <w:tcW w:type="dxa" w:w="2835"/>
          </w:tcPr>
          <w:p>
            <w:pPr>
              <w:spacing w:lineRule="exact" w:line="600"/>
              <w:jc w:val="center"/>
            </w:pPr>
            <w:r/>
            <w:r>
              <w:rPr>
                <w:rFonts w:ascii="仿宋_GB2312" w:hAnsi="仿宋_GB2312" w:eastAsia="仿宋_GB2312"/>
                <w:b w:val="0"/>
                <w:color w:val="000000"/>
                <w:sz w:val="32"/>
              </w:rPr>
              <w:t>科技贷、流动资金贷</w:t>
            </w:r>
          </w:p>
        </w:tc>
      </w:tr>
      <w:tr>
        <w:tc>
          <w:tcPr>
            <w:tcW w:type="dxa" w:w="2268"/>
          </w:tcPr>
          <w:p>
            <w:pPr>
              <w:spacing w:lineRule="exact" w:line="600"/>
              <w:jc w:val="center"/>
            </w:pPr>
            <w:r/>
            <w:r>
              <w:rPr>
                <w:rFonts w:ascii="仿宋_GB2312" w:hAnsi="仿宋_GB2312" w:eastAsia="仿宋_GB2312"/>
                <w:b w:val="0"/>
                <w:color w:val="000000"/>
                <w:sz w:val="32"/>
              </w:rPr>
              <w:t>供应链</w:t>
            </w:r>
          </w:p>
        </w:tc>
        <w:tc>
          <w:tcPr>
            <w:tcW w:type="dxa" w:w="3402"/>
          </w:tcPr>
          <w:p>
            <w:pPr>
              <w:spacing w:lineRule="exact" w:line="600"/>
              <w:jc w:val="center"/>
            </w:pPr>
            <w:r/>
            <w:r>
              <w:rPr>
                <w:rFonts w:ascii="仿宋_GB2312" w:hAnsi="仿宋_GB2312" w:eastAsia="仿宋_GB2312"/>
                <w:b w:val="0"/>
                <w:color w:val="000000"/>
                <w:sz w:val="32"/>
              </w:rPr>
              <w:t>订单/应收融资</w:t>
            </w:r>
          </w:p>
        </w:tc>
        <w:tc>
          <w:tcPr>
            <w:tcW w:type="dxa" w:w="2835"/>
          </w:tcPr>
          <w:p>
            <w:pPr>
              <w:spacing w:lineRule="exact" w:line="600"/>
              <w:jc w:val="center"/>
            </w:pPr>
            <w:r/>
            <w:r>
              <w:rPr>
                <w:rFonts w:ascii="仿宋_GB2312" w:hAnsi="仿宋_GB2312" w:eastAsia="仿宋_GB2312"/>
                <w:b w:val="0"/>
                <w:color w:val="000000"/>
                <w:sz w:val="32"/>
              </w:rPr>
              <w:t>产业大脑赋能金融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森日盛集团有限公司：绿色家居制造龙头（来源：费县政府官网）。始创1984年、2017年国资成立集团，2019年与保利集团子公司达成股权合作，形成「国企+民企+央企」模式；2022年营业收入14.25亿元、综合赋税1.2亿元；华东、华北、华南、西南四大生产基地，厂房占地超100万㎡；美好家居智能制造项目按工业4.0标准，占地220亩、投资8.6亿元、建筑面积9.6万㎡，投产后年销售收入10亿元，效率较传统提升25%、运营成本降22%、单位产值能耗降10%；设国家CNAS检测实验室（1600㎡），申请专利134项，参与制定国标1项、行标2项、团标1项；是保利、万科等30余家百强地产战略集采中心，产品远销美、英、法等50多国（来源：泰森日盛官网、央广网/网易、齐鲁网）。为费县板式家具与家居定制制造的链主企业。</w:t>
      </w:r>
    </w:p>
    <w:p>
      <w:pPr>
        <w:spacing w:lineRule="exact" w:line="600" w:before="0" w:after="0"/>
        <w:ind w:firstLine="420"/>
        <w:jc w:val="both"/>
      </w:pPr>
      <w:r>
        <w:rPr>
          <w:rFonts w:ascii="仿宋_GB2312" w:hAnsi="仿宋_GB2312" w:eastAsia="仿宋_GB2312"/>
          <w:b w:val="0"/>
          <w:color w:val="000000"/>
          <w:sz w:val="32"/>
        </w:rPr>
        <w:t>山东安信美家家居有限公司：绿色家居定制与制造（来源：企业官网）。始创2003年，由传统板材企业转型工业4.0智能家居制造企业；建成年产10万套橱柜的柔性生产线，引进意大利CEFLA水性涂装线实现「油改水」，自建24米高、1.5万仓位智能云仓使发货能力提升5倍，自主研发AHC系统打通门店到生产端；系美国Home Depot供应商、国内首批获美国CARB认证企业，投资3.6亿元新上智能化设备；旗下高端定制品牌「名伦木造」全国门店超230家、海外订单增长40%（来源：wood365.cn、琅琊新闻网、焦点家居、品牌网）。是国内水性漆定制家居先行者，费县定制制造绿色转型标杆。</w:t>
      </w:r>
    </w:p>
    <w:p>
      <w:pPr>
        <w:spacing w:lineRule="exact" w:line="600" w:before="0" w:after="0"/>
        <w:ind w:firstLine="420"/>
        <w:jc w:val="both"/>
      </w:pPr>
      <w:r>
        <w:rPr>
          <w:rFonts w:ascii="仿宋_GB2312" w:hAnsi="仿宋_GB2312" w:eastAsia="仿宋_GB2312"/>
          <w:b w:val="0"/>
          <w:color w:val="000000"/>
          <w:sz w:val="32"/>
        </w:rPr>
        <w:t>山东朝泰实业有限公司：家居基材与制造（来源：费县工信局）。企业入驻探沂镇地产品加工产业园，与诚品木业等多家企业抱团发展，形成产销一体、三产融合的产业体系（来源：大众日报）。作为费县木业转型升级中集聚提升的代表性定制与基材制造企业，承担基板生产、饰面加工与板式家具制造的衔接功能，受益于园区「集聚提升、抱团发展」政策与木业产业大脑数字化赋能，是中小定制企业抱团升级的典型（公开详细财务数据有限）。</w:t>
      </w:r>
    </w:p>
    <w:p>
      <w:pPr>
        <w:spacing w:lineRule="exact" w:line="600" w:before="0" w:after="0"/>
        <w:jc w:val="left"/>
      </w:pPr>
      <w:r>
        <w:rPr>
          <w:rFonts w:ascii="仿宋_GB2312" w:hAnsi="仿宋_GB2312" w:eastAsia="仿宋_GB2312"/>
          <w:b w:val="0"/>
          <w:color w:val="000000"/>
          <w:sz w:val="28"/>
        </w:rPr>
        <w:t>主要数据来源：wood168.net：《费县2024年完成规上木业产值441亿元》；新华网/新华财经：《山东费县:镇域经济乘上高质量发展列车》（2023-10-26）；大众日报：《费县链动木业全局聚力园区发展》（2024）；琅琊新闻网：《费县探沂镇:"三维发力"助推木业产业年轻态发展》；中木商网：《探沂镇:木业特色小镇的崛起与高质量发展之路》；wood365.cn：《临沂探沂:产业转型升级引领"木业小镇"绿色发展》；央广网/网易：《年营收超十亿!泰森日盛坚持以创新推动企业高质量发展》；网易：《税惠催化"新质生产力"跃迁升级》（泰森日盛案例）；齐鲁网：《用科技赋能打造全产业链现代木作企业》；焦点家居：《安信美家新旧动能转换观摩》；新闻langya：《从加工制造到环保智造 探沂木业企业迈入4.0时代》；泰森日盛集团官网（taisenrisheng.com）、安信美家公开报道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