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山东德州乐陵（高端体育装备）特色产业集群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体育场馆设施建设与运营服务行业深度分析报告</w:t>
      </w:r>
    </w:p>
    <w:p>
      <w:pPr>
        <w:spacing w:lineRule="exact" w:line="600" w:before="0" w:after="0"/>
        <w:jc w:val="left"/>
      </w:pPr>
      <w:r>
        <w:rPr>
          <w:rFonts w:ascii="仿宋_GB2312" w:hAnsi="仿宋_GB2312" w:eastAsia="仿宋_GB2312"/>
          <w:b w:val="0"/>
          <w:color w:val="000000"/>
          <w:sz w:val="28"/>
        </w:rPr>
        <w:t>本报告数据来源于乐陵市政府、泰山体育官网、中国报告大厅、中研普华及人造草坪行业研究，数据截至2023—2024年；乐陵以泰山体育工程（人造草坪、塑胶跑道、场馆座椅、体育公园）与赛事运营服务为核心，已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体育场馆设施建设与运营服务是乐陵高端体育装备集群的高附加值延伸环节。泰山体育工程板块覆盖人造草坪、塑胶跑道、场馆座椅及体育公园，其中人造草坪年产规划2000万平方米、出口欧美；泰山智慧体育公园与超级工厂店拓展运营服务。中国人造草坪市场规模超100亿元、全球2028年预计达518亿元，运动草需求上行。乐陵短板在大型场馆总包资质与运营IP，机遇在全民健身设施补短板、校园体育与城市体育公园建设。</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中国人造草坪市场规模</w:t>
            </w:r>
          </w:p>
        </w:tc>
        <w:tc>
          <w:tcPr>
            <w:tcW w:type="dxa" w:w="2835"/>
          </w:tcPr>
          <w:p>
            <w:pPr>
              <w:spacing w:lineRule="exact" w:line="600"/>
              <w:jc w:val="center"/>
            </w:pPr>
            <w:r/>
            <w:r>
              <w:rPr>
                <w:rFonts w:ascii="仿宋_GB2312" w:hAnsi="仿宋_GB2312" w:eastAsia="仿宋_GB2312"/>
                <w:b w:val="0"/>
                <w:color w:val="000000"/>
                <w:sz w:val="32"/>
              </w:rPr>
              <w:t>超100亿元（2023）</w:t>
            </w:r>
          </w:p>
        </w:tc>
        <w:tc>
          <w:tcPr>
            <w:tcW w:type="dxa" w:w="3118"/>
          </w:tcPr>
          <w:p>
            <w:pPr>
              <w:spacing w:lineRule="exact" w:line="600"/>
              <w:jc w:val="center"/>
            </w:pPr>
            <w:r/>
            <w:r>
              <w:rPr>
                <w:rFonts w:ascii="仿宋_GB2312" w:hAnsi="仿宋_GB2312" w:eastAsia="仿宋_GB2312"/>
                <w:b w:val="0"/>
                <w:color w:val="000000"/>
                <w:sz w:val="32"/>
              </w:rPr>
              <w:t>中国报告大厅</w:t>
            </w:r>
          </w:p>
        </w:tc>
      </w:tr>
      <w:tr>
        <w:tc>
          <w:tcPr>
            <w:tcW w:type="dxa" w:w="2835"/>
          </w:tcPr>
          <w:p>
            <w:pPr>
              <w:spacing w:lineRule="exact" w:line="600"/>
              <w:jc w:val="center"/>
            </w:pPr>
            <w:r/>
            <w:r>
              <w:rPr>
                <w:rFonts w:ascii="仿宋_GB2312" w:hAnsi="仿宋_GB2312" w:eastAsia="仿宋_GB2312"/>
                <w:b w:val="0"/>
                <w:color w:val="000000"/>
                <w:sz w:val="32"/>
              </w:rPr>
              <w:t>全球人造草坪市场(2028预测)</w:t>
            </w:r>
          </w:p>
        </w:tc>
        <w:tc>
          <w:tcPr>
            <w:tcW w:type="dxa" w:w="2835"/>
          </w:tcPr>
          <w:p>
            <w:pPr>
              <w:spacing w:lineRule="exact" w:line="600"/>
              <w:jc w:val="center"/>
            </w:pPr>
            <w:r/>
            <w:r>
              <w:rPr>
                <w:rFonts w:ascii="仿宋_GB2312" w:hAnsi="仿宋_GB2312" w:eastAsia="仿宋_GB2312"/>
                <w:b w:val="0"/>
                <w:color w:val="000000"/>
                <w:sz w:val="32"/>
              </w:rPr>
              <w:t>518.31亿元</w:t>
            </w:r>
          </w:p>
        </w:tc>
        <w:tc>
          <w:tcPr>
            <w:tcW w:type="dxa" w:w="3118"/>
          </w:tcPr>
          <w:p>
            <w:pPr>
              <w:spacing w:lineRule="exact" w:line="600"/>
              <w:jc w:val="center"/>
            </w:pPr>
            <w:r/>
            <w:r>
              <w:rPr>
                <w:rFonts w:ascii="仿宋_GB2312" w:hAnsi="仿宋_GB2312" w:eastAsia="仿宋_GB2312"/>
                <w:b w:val="0"/>
                <w:color w:val="000000"/>
                <w:sz w:val="32"/>
              </w:rPr>
              <w:t>中研普华</w:t>
            </w:r>
          </w:p>
        </w:tc>
      </w:tr>
      <w:tr>
        <w:tc>
          <w:tcPr>
            <w:tcW w:type="dxa" w:w="2835"/>
          </w:tcPr>
          <w:p>
            <w:pPr>
              <w:spacing w:lineRule="exact" w:line="600"/>
              <w:jc w:val="center"/>
            </w:pPr>
            <w:r/>
            <w:r>
              <w:rPr>
                <w:rFonts w:ascii="仿宋_GB2312" w:hAnsi="仿宋_GB2312" w:eastAsia="仿宋_GB2312"/>
                <w:b w:val="0"/>
                <w:color w:val="000000"/>
                <w:sz w:val="32"/>
              </w:rPr>
              <w:t>运动草销量(2023预测)</w:t>
            </w:r>
          </w:p>
        </w:tc>
        <w:tc>
          <w:tcPr>
            <w:tcW w:type="dxa" w:w="2835"/>
          </w:tcPr>
          <w:p>
            <w:pPr>
              <w:spacing w:lineRule="exact" w:line="600"/>
              <w:jc w:val="center"/>
            </w:pPr>
            <w:r/>
            <w:r>
              <w:rPr>
                <w:rFonts w:ascii="仿宋_GB2312" w:hAnsi="仿宋_GB2312" w:eastAsia="仿宋_GB2312"/>
                <w:b w:val="0"/>
                <w:color w:val="000000"/>
                <w:sz w:val="32"/>
              </w:rPr>
              <w:t>2.19亿平方米</w:t>
            </w:r>
          </w:p>
        </w:tc>
        <w:tc>
          <w:tcPr>
            <w:tcW w:type="dxa" w:w="3118"/>
          </w:tcPr>
          <w:p>
            <w:pPr>
              <w:spacing w:lineRule="exact" w:line="600"/>
              <w:jc w:val="center"/>
            </w:pPr>
            <w:r/>
            <w:r>
              <w:rPr>
                <w:rFonts w:ascii="仿宋_GB2312" w:hAnsi="仿宋_GB2312" w:eastAsia="仿宋_GB2312"/>
                <w:b w:val="0"/>
                <w:color w:val="000000"/>
                <w:sz w:val="32"/>
              </w:rPr>
              <w:t>中国报告大厅</w:t>
            </w:r>
          </w:p>
        </w:tc>
      </w:tr>
      <w:tr>
        <w:tc>
          <w:tcPr>
            <w:tcW w:type="dxa" w:w="2835"/>
          </w:tcPr>
          <w:p>
            <w:pPr>
              <w:spacing w:lineRule="exact" w:line="600"/>
              <w:jc w:val="center"/>
            </w:pPr>
            <w:r/>
            <w:r>
              <w:rPr>
                <w:rFonts w:ascii="仿宋_GB2312" w:hAnsi="仿宋_GB2312" w:eastAsia="仿宋_GB2312"/>
                <w:b w:val="0"/>
                <w:color w:val="000000"/>
                <w:sz w:val="32"/>
              </w:rPr>
              <w:t>2023新建改造场地</w:t>
            </w:r>
          </w:p>
        </w:tc>
        <w:tc>
          <w:tcPr>
            <w:tcW w:type="dxa" w:w="2835"/>
          </w:tcPr>
          <w:p>
            <w:pPr>
              <w:spacing w:lineRule="exact" w:line="600"/>
              <w:jc w:val="center"/>
            </w:pPr>
            <w:r/>
            <w:r>
              <w:rPr>
                <w:rFonts w:ascii="仿宋_GB2312" w:hAnsi="仿宋_GB2312" w:eastAsia="仿宋_GB2312"/>
                <w:b w:val="0"/>
                <w:color w:val="000000"/>
                <w:sz w:val="32"/>
              </w:rPr>
              <w:t>10万个</w:t>
            </w:r>
          </w:p>
        </w:tc>
        <w:tc>
          <w:tcPr>
            <w:tcW w:type="dxa" w:w="3118"/>
          </w:tcPr>
          <w:p>
            <w:pPr>
              <w:spacing w:lineRule="exact" w:line="600"/>
              <w:jc w:val="center"/>
            </w:pPr>
            <w:r/>
            <w:r>
              <w:rPr>
                <w:rFonts w:ascii="仿宋_GB2312" w:hAnsi="仿宋_GB2312" w:eastAsia="仿宋_GB2312"/>
                <w:b w:val="0"/>
                <w:color w:val="000000"/>
                <w:sz w:val="32"/>
              </w:rPr>
              <w:t>博研咨询</w:t>
            </w:r>
          </w:p>
        </w:tc>
      </w:tr>
      <w:tr>
        <w:tc>
          <w:tcPr>
            <w:tcW w:type="dxa" w:w="2835"/>
          </w:tcPr>
          <w:p>
            <w:pPr>
              <w:spacing w:lineRule="exact" w:line="600"/>
              <w:jc w:val="center"/>
            </w:pPr>
            <w:r/>
            <w:r>
              <w:rPr>
                <w:rFonts w:ascii="仿宋_GB2312" w:hAnsi="仿宋_GB2312" w:eastAsia="仿宋_GB2312"/>
                <w:b w:val="0"/>
                <w:color w:val="000000"/>
                <w:sz w:val="32"/>
              </w:rPr>
              <w:t>泰山草坪产能</w:t>
            </w:r>
          </w:p>
        </w:tc>
        <w:tc>
          <w:tcPr>
            <w:tcW w:type="dxa" w:w="2835"/>
          </w:tcPr>
          <w:p>
            <w:pPr>
              <w:spacing w:lineRule="exact" w:line="600"/>
              <w:jc w:val="center"/>
            </w:pPr>
            <w:r/>
            <w:r>
              <w:rPr>
                <w:rFonts w:ascii="仿宋_GB2312" w:hAnsi="仿宋_GB2312" w:eastAsia="仿宋_GB2312"/>
                <w:b w:val="0"/>
                <w:color w:val="000000"/>
                <w:sz w:val="32"/>
              </w:rPr>
              <w:t>2000万平/年</w:t>
            </w:r>
          </w:p>
        </w:tc>
        <w:tc>
          <w:tcPr>
            <w:tcW w:type="dxa" w:w="3118"/>
          </w:tcPr>
          <w:p>
            <w:pPr>
              <w:spacing w:lineRule="exact" w:line="600"/>
              <w:jc w:val="center"/>
            </w:pPr>
            <w:r/>
            <w:r>
              <w:rPr>
                <w:rFonts w:ascii="仿宋_GB2312" w:hAnsi="仿宋_GB2312" w:eastAsia="仿宋_GB2312"/>
                <w:b w:val="0"/>
                <w:color w:val="000000"/>
                <w:sz w:val="32"/>
              </w:rPr>
              <w:t>乐陵市政府</w:t>
            </w:r>
          </w:p>
        </w:tc>
      </w:tr>
      <w:tr>
        <w:tc>
          <w:tcPr>
            <w:tcW w:type="dxa" w:w="2835"/>
          </w:tcPr>
          <w:p>
            <w:pPr>
              <w:spacing w:lineRule="exact" w:line="600"/>
              <w:jc w:val="center"/>
            </w:pPr>
            <w:r/>
            <w:r>
              <w:rPr>
                <w:rFonts w:ascii="仿宋_GB2312" w:hAnsi="仿宋_GB2312" w:eastAsia="仿宋_GB2312"/>
                <w:b w:val="0"/>
                <w:color w:val="000000"/>
                <w:sz w:val="32"/>
              </w:rPr>
              <w:t>赛事拉动产值</w:t>
            </w:r>
          </w:p>
        </w:tc>
        <w:tc>
          <w:tcPr>
            <w:tcW w:type="dxa" w:w="2835"/>
          </w:tcPr>
          <w:p>
            <w:pPr>
              <w:spacing w:lineRule="exact" w:line="600"/>
              <w:jc w:val="center"/>
            </w:pPr>
            <w:r/>
            <w:r>
              <w:rPr>
                <w:rFonts w:ascii="仿宋_GB2312" w:hAnsi="仿宋_GB2312" w:eastAsia="仿宋_GB2312"/>
                <w:b w:val="0"/>
                <w:color w:val="000000"/>
                <w:sz w:val="32"/>
              </w:rPr>
              <w:t>90亿元（德州）</w:t>
            </w:r>
          </w:p>
        </w:tc>
        <w:tc>
          <w:tcPr>
            <w:tcW w:type="dxa" w:w="3118"/>
          </w:tcPr>
          <w:p>
            <w:pPr>
              <w:spacing w:lineRule="exact" w:line="600"/>
              <w:jc w:val="center"/>
            </w:pPr>
            <w:r/>
            <w:r>
              <w:rPr>
                <w:rFonts w:ascii="仿宋_GB2312" w:hAnsi="仿宋_GB2312" w:eastAsia="仿宋_GB2312"/>
                <w:b w:val="0"/>
                <w:color w:val="000000"/>
                <w:sz w:val="32"/>
              </w:rPr>
              <w:t>新华社瞭望2024</w:t>
            </w:r>
          </w:p>
        </w:tc>
      </w:tr>
      <w:tr>
        <w:tc>
          <w:tcPr>
            <w:tcW w:type="dxa" w:w="2835"/>
          </w:tcPr>
          <w:p>
            <w:pPr>
              <w:spacing w:lineRule="exact" w:line="600"/>
              <w:jc w:val="center"/>
            </w:pPr>
            <w:r/>
            <w:r>
              <w:rPr>
                <w:rFonts w:ascii="仿宋_GB2312" w:hAnsi="仿宋_GB2312" w:eastAsia="仿宋_GB2312"/>
                <w:b w:val="0"/>
                <w:color w:val="000000"/>
                <w:sz w:val="32"/>
              </w:rPr>
              <w:t>乐陵H1利润</w:t>
            </w:r>
          </w:p>
        </w:tc>
        <w:tc>
          <w:tcPr>
            <w:tcW w:type="dxa" w:w="2835"/>
          </w:tcPr>
          <w:p>
            <w:pPr>
              <w:spacing w:lineRule="exact" w:line="600"/>
              <w:jc w:val="center"/>
            </w:pPr>
            <w:r/>
            <w:r>
              <w:rPr>
                <w:rFonts w:ascii="仿宋_GB2312" w:hAnsi="仿宋_GB2312" w:eastAsia="仿宋_GB2312"/>
                <w:b w:val="0"/>
                <w:color w:val="000000"/>
                <w:sz w:val="32"/>
              </w:rPr>
              <w:t>7.46亿元</w:t>
            </w:r>
          </w:p>
        </w:tc>
        <w:tc>
          <w:tcPr>
            <w:tcW w:type="dxa" w:w="3118"/>
          </w:tcPr>
          <w:p>
            <w:pPr>
              <w:spacing w:lineRule="exact" w:line="600"/>
              <w:jc w:val="center"/>
            </w:pPr>
            <w:r/>
            <w:r>
              <w:rPr>
                <w:rFonts w:ascii="仿宋_GB2312" w:hAnsi="仿宋_GB2312" w:eastAsia="仿宋_GB2312"/>
                <w:b w:val="0"/>
                <w:color w:val="000000"/>
                <w:sz w:val="32"/>
              </w:rPr>
              <w:t>中国发展网2024</w:t>
            </w:r>
          </w:p>
        </w:tc>
      </w:tr>
      <w:tr>
        <w:tc>
          <w:tcPr>
            <w:tcW w:type="dxa" w:w="2835"/>
          </w:tcPr>
          <w:p>
            <w:pPr>
              <w:spacing w:lineRule="exact" w:line="600"/>
              <w:jc w:val="center"/>
            </w:pPr>
            <w:r/>
            <w:r>
              <w:rPr>
                <w:rFonts w:ascii="仿宋_GB2312" w:hAnsi="仿宋_GB2312" w:eastAsia="仿宋_GB2312"/>
                <w:b w:val="0"/>
                <w:color w:val="000000"/>
                <w:sz w:val="32"/>
              </w:rPr>
              <w:t>园区智能化总投</w:t>
            </w:r>
          </w:p>
        </w:tc>
        <w:tc>
          <w:tcPr>
            <w:tcW w:type="dxa" w:w="2835"/>
          </w:tcPr>
          <w:p>
            <w:pPr>
              <w:spacing w:lineRule="exact" w:line="600"/>
              <w:jc w:val="center"/>
            </w:pPr>
            <w:r/>
            <w:r>
              <w:rPr>
                <w:rFonts w:ascii="仿宋_GB2312" w:hAnsi="仿宋_GB2312" w:eastAsia="仿宋_GB2312"/>
                <w:b w:val="0"/>
                <w:color w:val="000000"/>
                <w:sz w:val="32"/>
              </w:rPr>
              <w:t>26.6亿元</w:t>
            </w:r>
          </w:p>
        </w:tc>
        <w:tc>
          <w:tcPr>
            <w:tcW w:type="dxa" w:w="3118"/>
          </w:tcPr>
          <w:p>
            <w:pPr>
              <w:spacing w:lineRule="exact" w:line="600"/>
              <w:jc w:val="center"/>
            </w:pPr>
            <w:r/>
            <w:r>
              <w:rPr>
                <w:rFonts w:ascii="仿宋_GB2312" w:hAnsi="仿宋_GB2312" w:eastAsia="仿宋_GB2312"/>
                <w:b w:val="0"/>
                <w:color w:val="000000"/>
                <w:sz w:val="32"/>
              </w:rPr>
              <w:t>齐鲁网2022</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（一）全民健身设施补短板政策</w:t>
      </w:r>
    </w:p>
    <w:p>
      <w:pPr>
        <w:spacing w:lineRule="exact" w:line="600" w:before="0" w:after="0"/>
        <w:ind w:firstLine="420"/>
        <w:jc w:val="both"/>
      </w:pPr>
      <w:r>
        <w:rPr>
          <w:rFonts w:ascii="仿宋_GB2312" w:hAnsi="仿宋_GB2312" w:eastAsia="仿宋_GB2312"/>
          <w:b w:val="0"/>
          <w:color w:val="000000"/>
          <w:sz w:val="32"/>
        </w:rPr>
        <w:t>国家持续推进足球场、健身步道及各类体育设施建设，全民健身被纳入健康中国战略。2023年全国新建和改造体育场地达10万个，约30%采用人造草坪，需求量约3亿平方米；中小学和高校新增改造体育场地约1.5亿平方米，约40%采用人造草坪（来源：博研咨询/人造草坪行业报告）。政策直接拉动场馆设施材料需求。</w:t>
      </w:r>
    </w:p>
    <w:p>
      <w:pPr>
        <w:spacing w:lineRule="exact" w:line="600" w:before="120" w:after="120"/>
        <w:ind w:firstLine="420"/>
        <w:jc w:val="left"/>
      </w:pPr>
      <w:r>
        <w:rPr>
          <w:rFonts w:ascii="楷体_GB2312" w:hAnsi="楷体_GB2312" w:eastAsia="楷体_GB2312"/>
          <w:b w:val="0"/>
          <w:color w:val="000000"/>
          <w:sz w:val="32"/>
        </w:rPr>
        <w:t>（二）区域体育名城建设</w:t>
      </w:r>
    </w:p>
    <w:p>
      <w:pPr>
        <w:spacing w:lineRule="exact" w:line="600" w:before="0" w:after="0"/>
        <w:ind w:firstLine="420"/>
        <w:jc w:val="both"/>
      </w:pPr>
      <w:r>
        <w:rPr>
          <w:rFonts w:ascii="仿宋_GB2312" w:hAnsi="仿宋_GB2312" w:eastAsia="仿宋_GB2312"/>
          <w:b w:val="0"/>
          <w:color w:val="000000"/>
          <w:sz w:val="32"/>
        </w:rPr>
        <w:t>德州市打造特色体育名城，近两年举办国家级省级赛事200多场，拉动相关产业产值90亿元（来源：新华社瞭望2024）。乐陵承办公路自行车锦标赛等，以「以产引赛、以赛促建、以建带消」放大场馆设施需求，本地企业直接受益。</w:t>
      </w:r>
    </w:p>
    <w:p>
      <w:pPr>
        <w:spacing w:lineRule="exact" w:line="600" w:before="120" w:after="120"/>
        <w:ind w:firstLine="420"/>
        <w:jc w:val="left"/>
      </w:pPr>
      <w:r>
        <w:rPr>
          <w:rFonts w:ascii="楷体_GB2312" w:hAnsi="楷体_GB2312" w:eastAsia="楷体_GB2312"/>
          <w:b w:val="0"/>
          <w:color w:val="000000"/>
          <w:sz w:val="32"/>
        </w:rPr>
        <w:t>（三）城市化与绿地需求</w:t>
      </w:r>
    </w:p>
    <w:p>
      <w:pPr>
        <w:spacing w:lineRule="exact" w:line="600" w:before="0" w:after="0"/>
        <w:ind w:firstLine="420"/>
        <w:jc w:val="both"/>
      </w:pPr>
      <w:r>
        <w:rPr>
          <w:rFonts w:ascii="仿宋_GB2312" w:hAnsi="仿宋_GB2312" w:eastAsia="仿宋_GB2312"/>
          <w:b w:val="0"/>
          <w:color w:val="000000"/>
          <w:sz w:val="32"/>
        </w:rPr>
        <w:t>城市化推动公园、社区绿地与人造草坪应用扩展。2023年城市公园新增面积约5000万平方米、约40%采用人造草坪；高端住宅小区约60%项目选用人造草坪（来源：博研咨询）。景观与运动双场景扩容，利好乐陵场馆设施与草坪制造。</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2023新建改造场地</w:t>
            </w:r>
          </w:p>
        </w:tc>
        <w:tc>
          <w:tcPr>
            <w:tcW w:type="dxa" w:w="3118"/>
          </w:tcPr>
          <w:p>
            <w:pPr>
              <w:spacing w:lineRule="exact" w:line="600"/>
              <w:jc w:val="center"/>
            </w:pPr>
            <w:r/>
            <w:r>
              <w:rPr>
                <w:rFonts w:ascii="仿宋_GB2312" w:hAnsi="仿宋_GB2312" w:eastAsia="仿宋_GB2312"/>
                <w:b w:val="0"/>
                <w:color w:val="000000"/>
                <w:sz w:val="32"/>
              </w:rPr>
              <w:t>10万个</w:t>
            </w:r>
          </w:p>
        </w:tc>
        <w:tc>
          <w:tcPr>
            <w:tcW w:type="dxa" w:w="3118"/>
          </w:tcPr>
          <w:p>
            <w:pPr>
              <w:spacing w:lineRule="exact" w:line="600"/>
              <w:jc w:val="center"/>
            </w:pPr>
            <w:r/>
            <w:r>
              <w:rPr>
                <w:rFonts w:ascii="仿宋_GB2312" w:hAnsi="仿宋_GB2312" w:eastAsia="仿宋_GB2312"/>
                <w:b w:val="0"/>
                <w:color w:val="000000"/>
                <w:sz w:val="32"/>
              </w:rPr>
              <w:t>博研咨询</w:t>
            </w:r>
          </w:p>
        </w:tc>
      </w:tr>
      <w:tr>
        <w:tc>
          <w:tcPr>
            <w:tcW w:type="dxa" w:w="2835"/>
          </w:tcPr>
          <w:p>
            <w:pPr>
              <w:spacing w:lineRule="exact" w:line="600"/>
              <w:jc w:val="center"/>
            </w:pPr>
            <w:r/>
            <w:r>
              <w:rPr>
                <w:rFonts w:ascii="仿宋_GB2312" w:hAnsi="仿宋_GB2312" w:eastAsia="仿宋_GB2312"/>
                <w:b w:val="0"/>
                <w:color w:val="000000"/>
                <w:sz w:val="32"/>
              </w:rPr>
              <w:t>运动草需求</w:t>
            </w:r>
          </w:p>
        </w:tc>
        <w:tc>
          <w:tcPr>
            <w:tcW w:type="dxa" w:w="3118"/>
          </w:tcPr>
          <w:p>
            <w:pPr>
              <w:spacing w:lineRule="exact" w:line="600"/>
              <w:jc w:val="center"/>
            </w:pPr>
            <w:r/>
            <w:r>
              <w:rPr>
                <w:rFonts w:ascii="仿宋_GB2312" w:hAnsi="仿宋_GB2312" w:eastAsia="仿宋_GB2312"/>
                <w:b w:val="0"/>
                <w:color w:val="000000"/>
                <w:sz w:val="32"/>
              </w:rPr>
              <w:t>约3亿平方米</w:t>
            </w:r>
          </w:p>
        </w:tc>
        <w:tc>
          <w:tcPr>
            <w:tcW w:type="dxa" w:w="3118"/>
          </w:tcPr>
          <w:p>
            <w:pPr>
              <w:spacing w:lineRule="exact" w:line="600"/>
              <w:jc w:val="center"/>
            </w:pPr>
            <w:r/>
            <w:r>
              <w:rPr>
                <w:rFonts w:ascii="仿宋_GB2312" w:hAnsi="仿宋_GB2312" w:eastAsia="仿宋_GB2312"/>
                <w:b w:val="0"/>
                <w:color w:val="000000"/>
                <w:sz w:val="32"/>
              </w:rPr>
              <w:t>博研咨询</w:t>
            </w:r>
          </w:p>
        </w:tc>
      </w:tr>
      <w:tr>
        <w:tc>
          <w:tcPr>
            <w:tcW w:type="dxa" w:w="2835"/>
          </w:tcPr>
          <w:p>
            <w:pPr>
              <w:spacing w:lineRule="exact" w:line="600"/>
              <w:jc w:val="center"/>
            </w:pPr>
            <w:r/>
            <w:r>
              <w:rPr>
                <w:rFonts w:ascii="仿宋_GB2312" w:hAnsi="仿宋_GB2312" w:eastAsia="仿宋_GB2312"/>
                <w:b w:val="0"/>
                <w:color w:val="000000"/>
                <w:sz w:val="32"/>
              </w:rPr>
              <w:t>校园场地改造</w:t>
            </w:r>
          </w:p>
        </w:tc>
        <w:tc>
          <w:tcPr>
            <w:tcW w:type="dxa" w:w="3118"/>
          </w:tcPr>
          <w:p>
            <w:pPr>
              <w:spacing w:lineRule="exact" w:line="600"/>
              <w:jc w:val="center"/>
            </w:pPr>
            <w:r/>
            <w:r>
              <w:rPr>
                <w:rFonts w:ascii="仿宋_GB2312" w:hAnsi="仿宋_GB2312" w:eastAsia="仿宋_GB2312"/>
                <w:b w:val="0"/>
                <w:color w:val="000000"/>
                <w:sz w:val="32"/>
              </w:rPr>
              <w:t>1.5亿平方米</w:t>
            </w:r>
          </w:p>
        </w:tc>
        <w:tc>
          <w:tcPr>
            <w:tcW w:type="dxa" w:w="3118"/>
          </w:tcPr>
          <w:p>
            <w:pPr>
              <w:spacing w:lineRule="exact" w:line="600"/>
              <w:jc w:val="center"/>
            </w:pPr>
            <w:r/>
            <w:r>
              <w:rPr>
                <w:rFonts w:ascii="仿宋_GB2312" w:hAnsi="仿宋_GB2312" w:eastAsia="仿宋_GB2312"/>
                <w:b w:val="0"/>
                <w:color w:val="000000"/>
                <w:sz w:val="32"/>
              </w:rPr>
              <w:t>博研咨询</w:t>
            </w:r>
          </w:p>
        </w:tc>
      </w:tr>
      <w:tr>
        <w:tc>
          <w:tcPr>
            <w:tcW w:type="dxa" w:w="2835"/>
          </w:tcPr>
          <w:p>
            <w:pPr>
              <w:spacing w:lineRule="exact" w:line="600"/>
              <w:jc w:val="center"/>
            </w:pPr>
            <w:r/>
            <w:r>
              <w:rPr>
                <w:rFonts w:ascii="仿宋_GB2312" w:hAnsi="仿宋_GB2312" w:eastAsia="仿宋_GB2312"/>
                <w:b w:val="0"/>
                <w:color w:val="000000"/>
                <w:sz w:val="32"/>
              </w:rPr>
              <w:t>公园草坪应用</w:t>
            </w:r>
          </w:p>
        </w:tc>
        <w:tc>
          <w:tcPr>
            <w:tcW w:type="dxa" w:w="3118"/>
          </w:tcPr>
          <w:p>
            <w:pPr>
              <w:spacing w:lineRule="exact" w:line="600"/>
              <w:jc w:val="center"/>
            </w:pPr>
            <w:r/>
            <w:r>
              <w:rPr>
                <w:rFonts w:ascii="仿宋_GB2312" w:hAnsi="仿宋_GB2312" w:eastAsia="仿宋_GB2312"/>
                <w:b w:val="0"/>
                <w:color w:val="000000"/>
                <w:sz w:val="32"/>
              </w:rPr>
              <w:t>40%（约2000万平）</w:t>
            </w:r>
          </w:p>
        </w:tc>
        <w:tc>
          <w:tcPr>
            <w:tcW w:type="dxa" w:w="3118"/>
          </w:tcPr>
          <w:p>
            <w:pPr>
              <w:spacing w:lineRule="exact" w:line="600"/>
              <w:jc w:val="center"/>
            </w:pPr>
            <w:r/>
            <w:r>
              <w:rPr>
                <w:rFonts w:ascii="仿宋_GB2312" w:hAnsi="仿宋_GB2312" w:eastAsia="仿宋_GB2312"/>
                <w:b w:val="0"/>
                <w:color w:val="000000"/>
                <w:sz w:val="32"/>
              </w:rPr>
              <w:t>博研咨询</w:t>
            </w:r>
          </w:p>
        </w:tc>
      </w:tr>
      <w:tr>
        <w:tc>
          <w:tcPr>
            <w:tcW w:type="dxa" w:w="2835"/>
          </w:tcPr>
          <w:p>
            <w:pPr>
              <w:spacing w:lineRule="exact" w:line="600"/>
              <w:jc w:val="center"/>
            </w:pPr>
            <w:r/>
            <w:r>
              <w:rPr>
                <w:rFonts w:ascii="仿宋_GB2312" w:hAnsi="仿宋_GB2312" w:eastAsia="仿宋_GB2312"/>
                <w:b w:val="0"/>
                <w:color w:val="000000"/>
                <w:sz w:val="32"/>
              </w:rPr>
              <w:t>赛事拉动产值</w:t>
            </w:r>
          </w:p>
        </w:tc>
        <w:tc>
          <w:tcPr>
            <w:tcW w:type="dxa" w:w="3118"/>
          </w:tcPr>
          <w:p>
            <w:pPr>
              <w:spacing w:lineRule="exact" w:line="600"/>
              <w:jc w:val="center"/>
            </w:pPr>
            <w:r/>
            <w:r>
              <w:rPr>
                <w:rFonts w:ascii="仿宋_GB2312" w:hAnsi="仿宋_GB2312" w:eastAsia="仿宋_GB2312"/>
                <w:b w:val="0"/>
                <w:color w:val="000000"/>
                <w:sz w:val="32"/>
              </w:rPr>
              <w:t>90亿元（德州）</w:t>
            </w:r>
          </w:p>
        </w:tc>
        <w:tc>
          <w:tcPr>
            <w:tcW w:type="dxa" w:w="3118"/>
          </w:tcPr>
          <w:p>
            <w:pPr>
              <w:spacing w:lineRule="exact" w:line="600"/>
              <w:jc w:val="center"/>
            </w:pPr>
            <w:r/>
            <w:r>
              <w:rPr>
                <w:rFonts w:ascii="仿宋_GB2312" w:hAnsi="仿宋_GB2312" w:eastAsia="仿宋_GB2312"/>
                <w:b w:val="0"/>
                <w:color w:val="000000"/>
                <w:sz w:val="32"/>
              </w:rPr>
              <w:t>新华社瞭望2024</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（一）上游材料</w:t>
      </w:r>
    </w:p>
    <w:p>
      <w:pPr>
        <w:spacing w:lineRule="exact" w:line="600" w:before="0" w:after="0"/>
        <w:ind w:firstLine="420"/>
        <w:jc w:val="both"/>
      </w:pPr>
      <w:r>
        <w:rPr>
          <w:rFonts w:ascii="仿宋_GB2312" w:hAnsi="仿宋_GB2312" w:eastAsia="仿宋_GB2312"/>
          <w:b w:val="0"/>
          <w:color w:val="000000"/>
          <w:sz w:val="32"/>
        </w:rPr>
        <w:t>场馆设施上游为合成纤维（PE/PP）、背胶、橡胶颗粒、塑胶跑道原料（PU/EPDM）及钢材座椅框架。乐陵本地以泰山体育人造草坪生产为主，部分高端草丝与背胶依赖外部，但泰山体育已具备从草丝到成品的一体化能力。</w:t>
      </w:r>
    </w:p>
    <w:p>
      <w:pPr>
        <w:spacing w:lineRule="exact" w:line="600" w:before="120" w:after="120"/>
        <w:ind w:firstLine="420"/>
        <w:jc w:val="left"/>
      </w:pPr>
      <w:r>
        <w:rPr>
          <w:rFonts w:ascii="楷体_GB2312" w:hAnsi="楷体_GB2312" w:eastAsia="楷体_GB2312"/>
          <w:b w:val="0"/>
          <w:color w:val="000000"/>
          <w:sz w:val="32"/>
        </w:rPr>
        <w:t>（二）中游制造与工程</w:t>
      </w:r>
    </w:p>
    <w:p>
      <w:pPr>
        <w:spacing w:lineRule="exact" w:line="600" w:before="0" w:after="0"/>
        <w:ind w:firstLine="420"/>
        <w:jc w:val="both"/>
      </w:pPr>
      <w:r>
        <w:rPr>
          <w:rFonts w:ascii="仿宋_GB2312" w:hAnsi="仿宋_GB2312" w:eastAsia="仿宋_GB2312"/>
          <w:b w:val="0"/>
          <w:color w:val="000000"/>
          <w:sz w:val="32"/>
        </w:rPr>
        <w:t>中游为人造草坪、塑胶跑道、场馆座椅、运动垫及场地施工。泰山体育工程板块年产2000万平方米新材料人造草坪，产品供应国内场馆并出口欧洲、美洲（来源：乐陵市政府、泰山体育官网）。塑胶跑道与场馆座椅配合赛事服务形成总包能力。</w:t>
      </w:r>
    </w:p>
    <w:p>
      <w:pPr>
        <w:spacing w:lineRule="exact" w:line="600" w:before="120" w:after="120"/>
        <w:ind w:firstLine="420"/>
        <w:jc w:val="left"/>
      </w:pPr>
      <w:r>
        <w:rPr>
          <w:rFonts w:ascii="楷体_GB2312" w:hAnsi="楷体_GB2312" w:eastAsia="楷体_GB2312"/>
          <w:b w:val="0"/>
          <w:color w:val="000000"/>
          <w:sz w:val="32"/>
        </w:rPr>
        <w:t>（三）下游运营服务</w:t>
      </w:r>
    </w:p>
    <w:p>
      <w:pPr>
        <w:spacing w:lineRule="exact" w:line="600" w:before="0" w:after="0"/>
        <w:ind w:firstLine="420"/>
        <w:jc w:val="both"/>
      </w:pPr>
      <w:r>
        <w:rPr>
          <w:rFonts w:ascii="仿宋_GB2312" w:hAnsi="仿宋_GB2312" w:eastAsia="仿宋_GB2312"/>
          <w:b w:val="0"/>
          <w:color w:val="000000"/>
          <w:sz w:val="32"/>
        </w:rPr>
        <w:t>下游含体育公园运营、赛事服务、场馆维护与超级工厂店。泰山智慧体育公园为国内首创「设计—建造—运营—维护」一体化模式（来源：泰山体育官网）；2025年超级工厂店启幕，延伸至C端服务（来源：香港商报2026）。</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环节</w:t>
            </w:r>
          </w:p>
        </w:tc>
        <w:tc>
          <w:tcPr>
            <w:tcW w:type="dxa" w:w="425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代表</w:t>
            </w:r>
          </w:p>
        </w:tc>
      </w:tr>
      <w:tr>
        <w:tc>
          <w:tcPr>
            <w:tcW w:type="dxa" w:w="1984"/>
          </w:tcPr>
          <w:p>
            <w:pPr>
              <w:spacing w:lineRule="exact" w:line="600"/>
              <w:jc w:val="center"/>
            </w:pPr>
            <w:r/>
            <w:r>
              <w:rPr>
                <w:rFonts w:ascii="仿宋_GB2312" w:hAnsi="仿宋_GB2312" w:eastAsia="仿宋_GB2312"/>
                <w:b w:val="0"/>
                <w:color w:val="000000"/>
                <w:sz w:val="32"/>
              </w:rPr>
              <w:t>上游</w:t>
            </w:r>
          </w:p>
        </w:tc>
        <w:tc>
          <w:tcPr>
            <w:tcW w:type="dxa" w:w="4252"/>
          </w:tcPr>
          <w:p>
            <w:pPr>
              <w:spacing w:lineRule="exact" w:line="600"/>
              <w:jc w:val="center"/>
            </w:pPr>
            <w:r/>
            <w:r>
              <w:rPr>
                <w:rFonts w:ascii="仿宋_GB2312" w:hAnsi="仿宋_GB2312" w:eastAsia="仿宋_GB2312"/>
                <w:b w:val="0"/>
                <w:color w:val="000000"/>
                <w:sz w:val="32"/>
              </w:rPr>
              <w:t>草丝/背胶/橡胶颗粒/PU</w:t>
            </w:r>
          </w:p>
        </w:tc>
        <w:tc>
          <w:tcPr>
            <w:tcW w:type="dxa" w:w="2835"/>
          </w:tcPr>
          <w:p>
            <w:pPr>
              <w:spacing w:lineRule="exact" w:line="600"/>
              <w:jc w:val="center"/>
            </w:pPr>
            <w:r/>
            <w:r>
              <w:rPr>
                <w:rFonts w:ascii="仿宋_GB2312" w:hAnsi="仿宋_GB2312" w:eastAsia="仿宋_GB2312"/>
                <w:b w:val="0"/>
                <w:color w:val="000000"/>
                <w:sz w:val="32"/>
              </w:rPr>
              <w:t>外部+泰山一体化</w:t>
            </w:r>
          </w:p>
        </w:tc>
      </w:tr>
      <w:tr>
        <w:tc>
          <w:tcPr>
            <w:tcW w:type="dxa" w:w="1984"/>
          </w:tcPr>
          <w:p>
            <w:pPr>
              <w:spacing w:lineRule="exact" w:line="600"/>
              <w:jc w:val="center"/>
            </w:pPr>
            <w:r/>
            <w:r>
              <w:rPr>
                <w:rFonts w:ascii="仿宋_GB2312" w:hAnsi="仿宋_GB2312" w:eastAsia="仿宋_GB2312"/>
                <w:b w:val="0"/>
                <w:color w:val="000000"/>
                <w:sz w:val="32"/>
              </w:rPr>
              <w:t>中游</w:t>
            </w:r>
          </w:p>
        </w:tc>
        <w:tc>
          <w:tcPr>
            <w:tcW w:type="dxa" w:w="4252"/>
          </w:tcPr>
          <w:p>
            <w:pPr>
              <w:spacing w:lineRule="exact" w:line="600"/>
              <w:jc w:val="center"/>
            </w:pPr>
            <w:r/>
            <w:r>
              <w:rPr>
                <w:rFonts w:ascii="仿宋_GB2312" w:hAnsi="仿宋_GB2312" w:eastAsia="仿宋_GB2312"/>
                <w:b w:val="0"/>
                <w:color w:val="000000"/>
                <w:sz w:val="32"/>
              </w:rPr>
              <w:t>人造草坪/跑道/座椅/施工</w:t>
            </w:r>
          </w:p>
        </w:tc>
        <w:tc>
          <w:tcPr>
            <w:tcW w:type="dxa" w:w="2835"/>
          </w:tcPr>
          <w:p>
            <w:pPr>
              <w:spacing w:lineRule="exact" w:line="600"/>
              <w:jc w:val="center"/>
            </w:pPr>
            <w:r/>
            <w:r>
              <w:rPr>
                <w:rFonts w:ascii="仿宋_GB2312" w:hAnsi="仿宋_GB2312" w:eastAsia="仿宋_GB2312"/>
                <w:b w:val="0"/>
                <w:color w:val="000000"/>
                <w:sz w:val="32"/>
              </w:rPr>
              <w:t>泰山体育工程</w:t>
            </w:r>
          </w:p>
        </w:tc>
      </w:tr>
      <w:tr>
        <w:tc>
          <w:tcPr>
            <w:tcW w:type="dxa" w:w="1984"/>
          </w:tcPr>
          <w:p>
            <w:pPr>
              <w:spacing w:lineRule="exact" w:line="600"/>
              <w:jc w:val="center"/>
            </w:pPr>
            <w:r/>
            <w:r>
              <w:rPr>
                <w:rFonts w:ascii="仿宋_GB2312" w:hAnsi="仿宋_GB2312" w:eastAsia="仿宋_GB2312"/>
                <w:b w:val="0"/>
                <w:color w:val="000000"/>
                <w:sz w:val="32"/>
              </w:rPr>
              <w:t>下游</w:t>
            </w:r>
          </w:p>
        </w:tc>
        <w:tc>
          <w:tcPr>
            <w:tcW w:type="dxa" w:w="4252"/>
          </w:tcPr>
          <w:p>
            <w:pPr>
              <w:spacing w:lineRule="exact" w:line="600"/>
              <w:jc w:val="center"/>
            </w:pPr>
            <w:r/>
            <w:r>
              <w:rPr>
                <w:rFonts w:ascii="仿宋_GB2312" w:hAnsi="仿宋_GB2312" w:eastAsia="仿宋_GB2312"/>
                <w:b w:val="0"/>
                <w:color w:val="000000"/>
                <w:sz w:val="32"/>
              </w:rPr>
              <w:t>体育公园/赛事/工厂店</w:t>
            </w:r>
          </w:p>
        </w:tc>
        <w:tc>
          <w:tcPr>
            <w:tcW w:type="dxa" w:w="2835"/>
          </w:tcPr>
          <w:p>
            <w:pPr>
              <w:spacing w:lineRule="exact" w:line="600"/>
              <w:jc w:val="center"/>
            </w:pPr>
            <w:r/>
            <w:r>
              <w:rPr>
                <w:rFonts w:ascii="仿宋_GB2312" w:hAnsi="仿宋_GB2312" w:eastAsia="仿宋_GB2312"/>
                <w:b w:val="0"/>
                <w:color w:val="000000"/>
                <w:sz w:val="32"/>
              </w:rPr>
              <w:t>泰山智慧体育</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（一）人造草坪市场规模</w:t>
      </w:r>
    </w:p>
    <w:p>
      <w:pPr>
        <w:spacing w:lineRule="exact" w:line="600" w:before="0" w:after="0"/>
        <w:ind w:firstLine="420"/>
        <w:jc w:val="both"/>
      </w:pPr>
      <w:r>
        <w:rPr>
          <w:rFonts w:ascii="仿宋_GB2312" w:hAnsi="仿宋_GB2312" w:eastAsia="仿宋_GB2312"/>
          <w:b w:val="0"/>
          <w:color w:val="000000"/>
          <w:sz w:val="32"/>
        </w:rPr>
        <w:t>2023年中国人造草坪市场规模达100亿元以上，全球市场2022年约195.12亿元、预计2028年达518.31亿元（CAGR约17.67%）（来源：中国报告大厅、中研普华）。运动草销量2019年1.6亿平方米、预测2023年2.19亿平方米；休闲草增速更快（来源：中国报告大厅）。需求持续扩张。</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中国人造草坪主要企业含联盛化学（份额约25%）、绿茵生态（约20%）、华美地毯（约15%）等（来源：博研咨询）。泰山体育以「会呼吸的人造草坪」定位高端运动草，获国际足联与曲联认证，差异化竞争；其年产2000万平方米产能居行业前列，出口欧美形成国际渠道。</w:t>
      </w:r>
    </w:p>
    <w:p>
      <w:pPr>
        <w:spacing w:lineRule="exact" w:line="600" w:before="120" w:after="120"/>
        <w:ind w:firstLine="420"/>
        <w:jc w:val="left"/>
      </w:pPr>
      <w:r>
        <w:rPr>
          <w:rFonts w:ascii="楷体_GB2312" w:hAnsi="楷体_GB2312" w:eastAsia="楷体_GB2312"/>
          <w:b w:val="0"/>
          <w:color w:val="000000"/>
          <w:sz w:val="32"/>
        </w:rPr>
        <w:t>（三）场馆运营服务需求</w:t>
      </w:r>
    </w:p>
    <w:p>
      <w:pPr>
        <w:spacing w:lineRule="exact" w:line="600" w:before="0" w:after="0"/>
        <w:ind w:firstLine="420"/>
        <w:jc w:val="both"/>
      </w:pPr>
      <w:r>
        <w:rPr>
          <w:rFonts w:ascii="仿宋_GB2312" w:hAnsi="仿宋_GB2312" w:eastAsia="仿宋_GB2312"/>
          <w:b w:val="0"/>
          <w:color w:val="000000"/>
          <w:sz w:val="32"/>
        </w:rPr>
        <w:t>体育公园、校园体育、社区健身中心建设拉动运营服务。德州体育公园2023年五一开放以来接待群众超100万人次（来源：新华社瞭望2024），证明运营服务有稳定客流与消费。乐陵可输出「体育公园+赛事」运营模式。</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维度</w:t>
            </w:r>
          </w:p>
        </w:tc>
        <w:tc>
          <w:tcPr>
            <w:tcW w:type="dxa" w:w="3118"/>
          </w:tcPr>
          <w:p>
            <w:pPr>
              <w:spacing w:lineRule="exact" w:line="600"/>
              <w:jc w:val="center"/>
            </w:pPr>
            <w:r/>
            <w:r>
              <w:rPr>
                <w:rFonts w:ascii="黑体" w:hAnsi="黑体" w:eastAsia="黑体"/>
                <w:b/>
                <w:color w:val="000000"/>
                <w:sz w:val="32"/>
              </w:rPr>
              <w:t>数值</w:t>
            </w:r>
          </w:p>
        </w:tc>
        <w:tc>
          <w:tcPr>
            <w:tcW w:type="dxa" w:w="3402"/>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国内人造草坪市场</w:t>
            </w:r>
          </w:p>
        </w:tc>
        <w:tc>
          <w:tcPr>
            <w:tcW w:type="dxa" w:w="3118"/>
          </w:tcPr>
          <w:p>
            <w:pPr>
              <w:spacing w:lineRule="exact" w:line="600"/>
              <w:jc w:val="center"/>
            </w:pPr>
            <w:r/>
            <w:r>
              <w:rPr>
                <w:rFonts w:ascii="仿宋_GB2312" w:hAnsi="仿宋_GB2312" w:eastAsia="仿宋_GB2312"/>
                <w:b w:val="0"/>
                <w:color w:val="000000"/>
                <w:sz w:val="32"/>
              </w:rPr>
              <w:t>超100亿元（2023）</w:t>
            </w:r>
          </w:p>
        </w:tc>
        <w:tc>
          <w:tcPr>
            <w:tcW w:type="dxa" w:w="3402"/>
          </w:tcPr>
          <w:p>
            <w:pPr>
              <w:spacing w:lineRule="exact" w:line="600"/>
              <w:jc w:val="center"/>
            </w:pPr>
            <w:r/>
            <w:r>
              <w:rPr>
                <w:rFonts w:ascii="仿宋_GB2312" w:hAnsi="仿宋_GB2312" w:eastAsia="仿宋_GB2312"/>
                <w:b w:val="0"/>
                <w:color w:val="000000"/>
                <w:sz w:val="32"/>
              </w:rPr>
              <w:t>中国报告大厅</w:t>
            </w:r>
          </w:p>
        </w:tc>
      </w:tr>
      <w:tr>
        <w:tc>
          <w:tcPr>
            <w:tcW w:type="dxa" w:w="2551"/>
          </w:tcPr>
          <w:p>
            <w:pPr>
              <w:spacing w:lineRule="exact" w:line="600"/>
              <w:jc w:val="center"/>
            </w:pPr>
            <w:r/>
            <w:r>
              <w:rPr>
                <w:rFonts w:ascii="仿宋_GB2312" w:hAnsi="仿宋_GB2312" w:eastAsia="仿宋_GB2312"/>
                <w:b w:val="0"/>
                <w:color w:val="000000"/>
                <w:sz w:val="32"/>
              </w:rPr>
              <w:t>全球市场(2028预测)</w:t>
            </w:r>
          </w:p>
        </w:tc>
        <w:tc>
          <w:tcPr>
            <w:tcW w:type="dxa" w:w="3118"/>
          </w:tcPr>
          <w:p>
            <w:pPr>
              <w:spacing w:lineRule="exact" w:line="600"/>
              <w:jc w:val="center"/>
            </w:pPr>
            <w:r/>
            <w:r>
              <w:rPr>
                <w:rFonts w:ascii="仿宋_GB2312" w:hAnsi="仿宋_GB2312" w:eastAsia="仿宋_GB2312"/>
                <w:b w:val="0"/>
                <w:color w:val="000000"/>
                <w:sz w:val="32"/>
              </w:rPr>
              <w:t>518.31亿元</w:t>
            </w:r>
          </w:p>
        </w:tc>
        <w:tc>
          <w:tcPr>
            <w:tcW w:type="dxa" w:w="3402"/>
          </w:tcPr>
          <w:p>
            <w:pPr>
              <w:spacing w:lineRule="exact" w:line="600"/>
              <w:jc w:val="center"/>
            </w:pPr>
            <w:r/>
            <w:r>
              <w:rPr>
                <w:rFonts w:ascii="仿宋_GB2312" w:hAnsi="仿宋_GB2312" w:eastAsia="仿宋_GB2312"/>
                <w:b w:val="0"/>
                <w:color w:val="000000"/>
                <w:sz w:val="32"/>
              </w:rPr>
              <w:t>中研普华</w:t>
            </w:r>
          </w:p>
        </w:tc>
      </w:tr>
      <w:tr>
        <w:tc>
          <w:tcPr>
            <w:tcW w:type="dxa" w:w="2551"/>
          </w:tcPr>
          <w:p>
            <w:pPr>
              <w:spacing w:lineRule="exact" w:line="600"/>
              <w:jc w:val="center"/>
            </w:pPr>
            <w:r/>
            <w:r>
              <w:rPr>
                <w:rFonts w:ascii="仿宋_GB2312" w:hAnsi="仿宋_GB2312" w:eastAsia="仿宋_GB2312"/>
                <w:b w:val="0"/>
                <w:color w:val="000000"/>
                <w:sz w:val="32"/>
              </w:rPr>
              <w:t>运动草销量(2023预测)</w:t>
            </w:r>
          </w:p>
        </w:tc>
        <w:tc>
          <w:tcPr>
            <w:tcW w:type="dxa" w:w="3118"/>
          </w:tcPr>
          <w:p>
            <w:pPr>
              <w:spacing w:lineRule="exact" w:line="600"/>
              <w:jc w:val="center"/>
            </w:pPr>
            <w:r/>
            <w:r>
              <w:rPr>
                <w:rFonts w:ascii="仿宋_GB2312" w:hAnsi="仿宋_GB2312" w:eastAsia="仿宋_GB2312"/>
                <w:b w:val="0"/>
                <w:color w:val="000000"/>
                <w:sz w:val="32"/>
              </w:rPr>
              <w:t>2.19亿平方米</w:t>
            </w:r>
          </w:p>
        </w:tc>
        <w:tc>
          <w:tcPr>
            <w:tcW w:type="dxa" w:w="3402"/>
          </w:tcPr>
          <w:p>
            <w:pPr>
              <w:spacing w:lineRule="exact" w:line="600"/>
              <w:jc w:val="center"/>
            </w:pPr>
            <w:r/>
            <w:r>
              <w:rPr>
                <w:rFonts w:ascii="仿宋_GB2312" w:hAnsi="仿宋_GB2312" w:eastAsia="仿宋_GB2312"/>
                <w:b w:val="0"/>
                <w:color w:val="000000"/>
                <w:sz w:val="32"/>
              </w:rPr>
              <w:t>中国报告大厅</w:t>
            </w:r>
          </w:p>
        </w:tc>
      </w:tr>
      <w:tr>
        <w:tc>
          <w:tcPr>
            <w:tcW w:type="dxa" w:w="2551"/>
          </w:tcPr>
          <w:p>
            <w:pPr>
              <w:spacing w:lineRule="exact" w:line="600"/>
              <w:jc w:val="center"/>
            </w:pPr>
            <w:r/>
            <w:r>
              <w:rPr>
                <w:rFonts w:ascii="仿宋_GB2312" w:hAnsi="仿宋_GB2312" w:eastAsia="仿宋_GB2312"/>
                <w:b w:val="0"/>
                <w:color w:val="000000"/>
                <w:sz w:val="32"/>
              </w:rPr>
              <w:t>头部企业份额</w:t>
            </w:r>
          </w:p>
        </w:tc>
        <w:tc>
          <w:tcPr>
            <w:tcW w:type="dxa" w:w="3118"/>
          </w:tcPr>
          <w:p>
            <w:pPr>
              <w:spacing w:lineRule="exact" w:line="600"/>
              <w:jc w:val="center"/>
            </w:pPr>
            <w:r/>
            <w:r>
              <w:rPr>
                <w:rFonts w:ascii="仿宋_GB2312" w:hAnsi="仿宋_GB2312" w:eastAsia="仿宋_GB2312"/>
                <w:b w:val="0"/>
                <w:color w:val="000000"/>
                <w:sz w:val="32"/>
              </w:rPr>
              <w:t>联盛25%/绿茵20%</w:t>
            </w:r>
          </w:p>
        </w:tc>
        <w:tc>
          <w:tcPr>
            <w:tcW w:type="dxa" w:w="3402"/>
          </w:tcPr>
          <w:p>
            <w:pPr>
              <w:spacing w:lineRule="exact" w:line="600"/>
              <w:jc w:val="center"/>
            </w:pPr>
            <w:r/>
            <w:r>
              <w:rPr>
                <w:rFonts w:ascii="仿宋_GB2312" w:hAnsi="仿宋_GB2312" w:eastAsia="仿宋_GB2312"/>
                <w:b w:val="0"/>
                <w:color w:val="000000"/>
                <w:sz w:val="32"/>
              </w:rPr>
              <w:t>博研咨询</w:t>
            </w:r>
          </w:p>
        </w:tc>
      </w:tr>
      <w:tr>
        <w:tc>
          <w:tcPr>
            <w:tcW w:type="dxa" w:w="2551"/>
          </w:tcPr>
          <w:p>
            <w:pPr>
              <w:spacing w:lineRule="exact" w:line="600"/>
              <w:jc w:val="center"/>
            </w:pPr>
            <w:r/>
            <w:r>
              <w:rPr>
                <w:rFonts w:ascii="仿宋_GB2312" w:hAnsi="仿宋_GB2312" w:eastAsia="仿宋_GB2312"/>
                <w:b w:val="0"/>
                <w:color w:val="000000"/>
                <w:sz w:val="32"/>
              </w:rPr>
              <w:t>泰山草坪产能</w:t>
            </w:r>
          </w:p>
        </w:tc>
        <w:tc>
          <w:tcPr>
            <w:tcW w:type="dxa" w:w="3118"/>
          </w:tcPr>
          <w:p>
            <w:pPr>
              <w:spacing w:lineRule="exact" w:line="600"/>
              <w:jc w:val="center"/>
            </w:pPr>
            <w:r/>
            <w:r>
              <w:rPr>
                <w:rFonts w:ascii="仿宋_GB2312" w:hAnsi="仿宋_GB2312" w:eastAsia="仿宋_GB2312"/>
                <w:b w:val="0"/>
                <w:color w:val="000000"/>
                <w:sz w:val="32"/>
              </w:rPr>
              <w:t>2000万平/年</w:t>
            </w:r>
          </w:p>
        </w:tc>
        <w:tc>
          <w:tcPr>
            <w:tcW w:type="dxa" w:w="3402"/>
          </w:tcPr>
          <w:p>
            <w:pPr>
              <w:spacing w:lineRule="exact" w:line="600"/>
              <w:jc w:val="center"/>
            </w:pPr>
            <w:r/>
            <w:r>
              <w:rPr>
                <w:rFonts w:ascii="仿宋_GB2312" w:hAnsi="仿宋_GB2312" w:eastAsia="仿宋_GB2312"/>
                <w:b w:val="0"/>
                <w:color w:val="000000"/>
                <w:sz w:val="32"/>
              </w:rPr>
              <w:t>乐陵市政府</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（一）乐陵场馆设施主体</w:t>
      </w:r>
    </w:p>
    <w:p>
      <w:pPr>
        <w:spacing w:lineRule="exact" w:line="600" w:before="0" w:after="0"/>
        <w:ind w:firstLine="420"/>
        <w:jc w:val="both"/>
      </w:pPr>
      <w:r>
        <w:rPr>
          <w:rFonts w:ascii="仿宋_GB2312" w:hAnsi="仿宋_GB2312" w:eastAsia="仿宋_GB2312"/>
          <w:b w:val="0"/>
          <w:color w:val="000000"/>
          <w:sz w:val="32"/>
        </w:rPr>
        <w:t>乐陵场馆设施建设以泰山体育工程为核心，配套16家体育健身工程类企业（乾亿健康、勇剑体育等）承接健身路径与场地工程（来源：乐陵市政府）。园区集聚30余家配套企业，支撑工程交付能力（来源：山东省发改委2026）。</w:t>
      </w:r>
    </w:p>
    <w:p>
      <w:pPr>
        <w:spacing w:lineRule="exact" w:line="600" w:before="120" w:after="120"/>
        <w:ind w:firstLine="420"/>
        <w:jc w:val="left"/>
      </w:pPr>
      <w:r>
        <w:rPr>
          <w:rFonts w:ascii="楷体_GB2312" w:hAnsi="楷体_GB2312" w:eastAsia="楷体_GB2312"/>
          <w:b w:val="0"/>
          <w:color w:val="000000"/>
          <w:sz w:val="32"/>
        </w:rPr>
        <w:t>（二）链主泰山体育工程</w:t>
      </w:r>
    </w:p>
    <w:p>
      <w:pPr>
        <w:spacing w:lineRule="exact" w:line="600" w:before="0" w:after="0"/>
        <w:ind w:firstLine="420"/>
        <w:jc w:val="both"/>
      </w:pPr>
      <w:r>
        <w:rPr>
          <w:rFonts w:ascii="仿宋_GB2312" w:hAnsi="仿宋_GB2312" w:eastAsia="仿宋_GB2312"/>
          <w:b w:val="0"/>
          <w:color w:val="000000"/>
          <w:sz w:val="32"/>
        </w:rPr>
        <w:t>泰山体育工程提供体育公园、场馆座椅、塑胶跑道、人造草坪整体方案，并运营泰山智慧体育公园。人造草坪年产2000万平方米，出口欧美；瑞豹碳纤维可用于场馆设施轻量化。2025年营业收入117.64亿元的整体规模支撑工程板块扩张（来源：泰山体育官网、百度百科）。</w:t>
      </w:r>
    </w:p>
    <w:p>
      <w:pPr>
        <w:spacing w:lineRule="exact" w:line="600" w:before="120" w:after="120"/>
        <w:ind w:firstLine="420"/>
        <w:jc w:val="left"/>
      </w:pPr>
      <w:r>
        <w:rPr>
          <w:rFonts w:ascii="楷体_GB2312" w:hAnsi="楷体_GB2312" w:eastAsia="楷体_GB2312"/>
          <w:b w:val="0"/>
          <w:color w:val="000000"/>
          <w:sz w:val="32"/>
        </w:rPr>
        <w:t>（三）赛事服务运营</w:t>
      </w:r>
    </w:p>
    <w:p>
      <w:pPr>
        <w:spacing w:lineRule="exact" w:line="600" w:before="0" w:after="0"/>
        <w:ind w:firstLine="420"/>
        <w:jc w:val="both"/>
      </w:pPr>
      <w:r>
        <w:rPr>
          <w:rFonts w:ascii="仿宋_GB2312" w:hAnsi="仿宋_GB2312" w:eastAsia="仿宋_GB2312"/>
          <w:b w:val="0"/>
          <w:color w:val="000000"/>
          <w:sz w:val="32"/>
        </w:rPr>
        <w:t>泰山体育以CD2S模式服务2000余场赛事，具备从器材到场地到运营的全链条能力，是全球体育健康一站式解决方案服务商（来源：泰山体育官网）。赛事服务与场馆运营形成协同，提升客户黏性。</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企业</w:t>
            </w:r>
          </w:p>
        </w:tc>
        <w:tc>
          <w:tcPr>
            <w:tcW w:type="dxa" w:w="3118"/>
          </w:tcPr>
          <w:p>
            <w:pPr>
              <w:spacing w:lineRule="exact" w:line="600"/>
              <w:jc w:val="center"/>
            </w:pPr>
            <w:r/>
            <w:r>
              <w:rPr>
                <w:rFonts w:ascii="黑体" w:hAnsi="黑体" w:eastAsia="黑体"/>
                <w:b/>
                <w:color w:val="000000"/>
                <w:sz w:val="32"/>
              </w:rPr>
              <w:t>主营</w:t>
            </w:r>
          </w:p>
        </w:tc>
        <w:tc>
          <w:tcPr>
            <w:tcW w:type="dxa" w:w="3685"/>
          </w:tcPr>
          <w:p>
            <w:pPr>
              <w:spacing w:lineRule="exact" w:line="600"/>
              <w:jc w:val="center"/>
            </w:pPr>
            <w:r/>
            <w:r>
              <w:rPr>
                <w:rFonts w:ascii="黑体" w:hAnsi="黑体" w:eastAsia="黑体"/>
                <w:b/>
                <w:color w:val="000000"/>
                <w:sz w:val="32"/>
              </w:rPr>
              <w:t>关键数据</w:t>
            </w:r>
          </w:p>
        </w:tc>
      </w:tr>
      <w:tr>
        <w:tc>
          <w:tcPr>
            <w:tcW w:type="dxa" w:w="2268"/>
          </w:tcPr>
          <w:p>
            <w:pPr>
              <w:spacing w:lineRule="exact" w:line="600"/>
              <w:jc w:val="center"/>
            </w:pPr>
            <w:r/>
            <w:r>
              <w:rPr>
                <w:rFonts w:ascii="仿宋_GB2312" w:hAnsi="仿宋_GB2312" w:eastAsia="仿宋_GB2312"/>
                <w:b w:val="0"/>
                <w:color w:val="000000"/>
                <w:sz w:val="32"/>
              </w:rPr>
              <w:t>泰山体育工程</w:t>
            </w:r>
          </w:p>
        </w:tc>
        <w:tc>
          <w:tcPr>
            <w:tcW w:type="dxa" w:w="3118"/>
          </w:tcPr>
          <w:p>
            <w:pPr>
              <w:spacing w:lineRule="exact" w:line="600"/>
              <w:jc w:val="center"/>
            </w:pPr>
            <w:r/>
            <w:r>
              <w:rPr>
                <w:rFonts w:ascii="仿宋_GB2312" w:hAnsi="仿宋_GB2312" w:eastAsia="仿宋_GB2312"/>
                <w:b w:val="0"/>
                <w:color w:val="000000"/>
                <w:sz w:val="32"/>
              </w:rPr>
              <w:t>草坪/跑道/座椅/公园</w:t>
            </w:r>
          </w:p>
        </w:tc>
        <w:tc>
          <w:tcPr>
            <w:tcW w:type="dxa" w:w="3685"/>
          </w:tcPr>
          <w:p>
            <w:pPr>
              <w:spacing w:lineRule="exact" w:line="600"/>
              <w:jc w:val="center"/>
            </w:pPr>
            <w:r/>
            <w:r>
              <w:rPr>
                <w:rFonts w:ascii="仿宋_GB2312" w:hAnsi="仿宋_GB2312" w:eastAsia="仿宋_GB2312"/>
                <w:b w:val="0"/>
                <w:color w:val="000000"/>
                <w:sz w:val="32"/>
              </w:rPr>
              <w:t>草坪2000万平/年</w:t>
            </w:r>
          </w:p>
        </w:tc>
      </w:tr>
      <w:tr>
        <w:tc>
          <w:tcPr>
            <w:tcW w:type="dxa" w:w="2268"/>
          </w:tcPr>
          <w:p>
            <w:pPr>
              <w:spacing w:lineRule="exact" w:line="600"/>
              <w:jc w:val="center"/>
            </w:pPr>
            <w:r/>
            <w:r>
              <w:rPr>
                <w:rFonts w:ascii="仿宋_GB2312" w:hAnsi="仿宋_GB2312" w:eastAsia="仿宋_GB2312"/>
                <w:b w:val="0"/>
                <w:color w:val="000000"/>
                <w:sz w:val="32"/>
              </w:rPr>
              <w:t>乾亿健康等</w:t>
            </w:r>
          </w:p>
        </w:tc>
        <w:tc>
          <w:tcPr>
            <w:tcW w:type="dxa" w:w="3118"/>
          </w:tcPr>
          <w:p>
            <w:pPr>
              <w:spacing w:lineRule="exact" w:line="600"/>
              <w:jc w:val="center"/>
            </w:pPr>
            <w:r/>
            <w:r>
              <w:rPr>
                <w:rFonts w:ascii="仿宋_GB2312" w:hAnsi="仿宋_GB2312" w:eastAsia="仿宋_GB2312"/>
                <w:b w:val="0"/>
                <w:color w:val="000000"/>
                <w:sz w:val="32"/>
              </w:rPr>
              <w:t>健身路径/场地工程</w:t>
            </w:r>
          </w:p>
        </w:tc>
        <w:tc>
          <w:tcPr>
            <w:tcW w:type="dxa" w:w="3685"/>
          </w:tcPr>
          <w:p>
            <w:pPr>
              <w:spacing w:lineRule="exact" w:line="600"/>
              <w:jc w:val="center"/>
            </w:pPr>
            <w:r/>
            <w:r>
              <w:rPr>
                <w:rFonts w:ascii="仿宋_GB2312" w:hAnsi="仿宋_GB2312" w:eastAsia="仿宋_GB2312"/>
                <w:b w:val="0"/>
                <w:color w:val="000000"/>
                <w:sz w:val="32"/>
              </w:rPr>
              <w:t>16家工程类</w:t>
            </w:r>
          </w:p>
        </w:tc>
      </w:tr>
      <w:tr>
        <w:tc>
          <w:tcPr>
            <w:tcW w:type="dxa" w:w="2268"/>
          </w:tcPr>
          <w:p>
            <w:pPr>
              <w:spacing w:lineRule="exact" w:line="600"/>
              <w:jc w:val="center"/>
            </w:pPr>
            <w:r/>
            <w:r>
              <w:rPr>
                <w:rFonts w:ascii="仿宋_GB2312" w:hAnsi="仿宋_GB2312" w:eastAsia="仿宋_GB2312"/>
                <w:b w:val="0"/>
                <w:color w:val="000000"/>
                <w:sz w:val="32"/>
              </w:rPr>
              <w:t>泰山智慧体育</w:t>
            </w:r>
          </w:p>
        </w:tc>
        <w:tc>
          <w:tcPr>
            <w:tcW w:type="dxa" w:w="3118"/>
          </w:tcPr>
          <w:p>
            <w:pPr>
              <w:spacing w:lineRule="exact" w:line="600"/>
              <w:jc w:val="center"/>
            </w:pPr>
            <w:r/>
            <w:r>
              <w:rPr>
                <w:rFonts w:ascii="仿宋_GB2312" w:hAnsi="仿宋_GB2312" w:eastAsia="仿宋_GB2312"/>
                <w:b w:val="0"/>
                <w:color w:val="000000"/>
                <w:sz w:val="32"/>
              </w:rPr>
              <w:t>体育公园运营</w:t>
            </w:r>
          </w:p>
        </w:tc>
        <w:tc>
          <w:tcPr>
            <w:tcW w:type="dxa" w:w="3685"/>
          </w:tcPr>
          <w:p>
            <w:pPr>
              <w:spacing w:lineRule="exact" w:line="600"/>
              <w:jc w:val="center"/>
            </w:pPr>
            <w:r/>
            <w:r>
              <w:rPr>
                <w:rFonts w:ascii="仿宋_GB2312" w:hAnsi="仿宋_GB2312" w:eastAsia="仿宋_GB2312"/>
                <w:b w:val="0"/>
                <w:color w:val="000000"/>
                <w:sz w:val="32"/>
              </w:rPr>
              <w:t>国内首创一体化</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（一）草丝与背胶工艺</w:t>
      </w:r>
    </w:p>
    <w:p>
      <w:pPr>
        <w:spacing w:lineRule="exact" w:line="600" w:before="0" w:after="0"/>
        <w:ind w:firstLine="420"/>
        <w:jc w:val="both"/>
      </w:pPr>
      <w:r>
        <w:rPr>
          <w:rFonts w:ascii="仿宋_GB2312" w:hAnsi="仿宋_GB2312" w:eastAsia="仿宋_GB2312"/>
          <w:b w:val="0"/>
          <w:color w:val="000000"/>
          <w:sz w:val="32"/>
        </w:rPr>
        <w:t>泰山体育「会呼吸的人造草坪」采用改良草丝截面与环保背胶，提升排水、耐磨与舒适度，通过国际足联、国际曲联认证（来源：乐陵市政府、泰山体育官网）。环保型无硅背胶符合全球绿色趋势。</w:t>
      </w:r>
    </w:p>
    <w:p>
      <w:pPr>
        <w:spacing w:lineRule="exact" w:line="600" w:before="120" w:after="120"/>
        <w:ind w:firstLine="420"/>
        <w:jc w:val="left"/>
      </w:pPr>
      <w:r>
        <w:rPr>
          <w:rFonts w:ascii="楷体_GB2312" w:hAnsi="楷体_GB2312" w:eastAsia="楷体_GB2312"/>
          <w:b w:val="0"/>
          <w:color w:val="000000"/>
          <w:sz w:val="32"/>
        </w:rPr>
        <w:t>（二）智能体育公园技术</w:t>
      </w:r>
    </w:p>
    <w:p>
      <w:pPr>
        <w:spacing w:lineRule="exact" w:line="600" w:before="0" w:after="0"/>
        <w:ind w:firstLine="420"/>
        <w:jc w:val="both"/>
      </w:pPr>
      <w:r>
        <w:rPr>
          <w:rFonts w:ascii="仿宋_GB2312" w:hAnsi="仿宋_GB2312" w:eastAsia="仿宋_GB2312"/>
          <w:b w:val="0"/>
          <w:color w:val="000000"/>
          <w:sz w:val="32"/>
        </w:rPr>
        <w:t>泰山智慧体育公园集成科学健身、智慧运动、全龄友好功能，应用人脸识别、数据采集与云端管理，为德州首座功能完备新型智慧体育公园（来源：泰山体育官网）。2026年消博会首发「城市健康智能服务中心」，符合国际健康服务标准（来源：香港商报2026）。</w:t>
      </w:r>
    </w:p>
    <w:p>
      <w:pPr>
        <w:spacing w:lineRule="exact" w:line="600" w:before="120" w:after="120"/>
        <w:ind w:firstLine="420"/>
        <w:jc w:val="left"/>
      </w:pPr>
      <w:r>
        <w:rPr>
          <w:rFonts w:ascii="楷体_GB2312" w:hAnsi="楷体_GB2312" w:eastAsia="楷体_GB2312"/>
          <w:b w:val="0"/>
          <w:color w:val="000000"/>
          <w:sz w:val="32"/>
        </w:rPr>
        <w:t>（三）标准与认证</w:t>
      </w:r>
    </w:p>
    <w:p>
      <w:pPr>
        <w:spacing w:lineRule="exact" w:line="600" w:before="0" w:after="0"/>
        <w:ind w:firstLine="420"/>
        <w:jc w:val="both"/>
      </w:pPr>
      <w:r>
        <w:rPr>
          <w:rFonts w:ascii="仿宋_GB2312" w:hAnsi="仿宋_GB2312" w:eastAsia="仿宋_GB2312"/>
          <w:b w:val="0"/>
          <w:color w:val="000000"/>
          <w:sz w:val="32"/>
        </w:rPr>
        <w:t>全市体育企业通过国际协会认证产品100多项、参与制定标准200多项（来源：香港商报2026）。场馆设施相关标准（人造草坪、塑胶跑道）由龙头企业主导，形成技术与贸易壁垒。</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技术</w:t>
            </w:r>
          </w:p>
        </w:tc>
        <w:tc>
          <w:tcPr>
            <w:tcW w:type="dxa" w:w="3685"/>
          </w:tcPr>
          <w:p>
            <w:pPr>
              <w:spacing w:lineRule="exact" w:line="600"/>
              <w:jc w:val="center"/>
            </w:pPr>
            <w:r/>
            <w:r>
              <w:rPr>
                <w:rFonts w:ascii="黑体" w:hAnsi="黑体" w:eastAsia="黑体"/>
                <w:b/>
                <w:color w:val="000000"/>
                <w:sz w:val="32"/>
              </w:rPr>
              <w:t>应用</w:t>
            </w:r>
          </w:p>
        </w:tc>
        <w:tc>
          <w:tcPr>
            <w:tcW w:type="dxa" w:w="3118"/>
          </w:tcPr>
          <w:p>
            <w:pPr>
              <w:spacing w:lineRule="exact" w:line="600"/>
              <w:jc w:val="center"/>
            </w:pPr>
            <w:r/>
            <w:r>
              <w:rPr>
                <w:rFonts w:ascii="黑体" w:hAnsi="黑体" w:eastAsia="黑体"/>
                <w:b/>
                <w:color w:val="000000"/>
                <w:sz w:val="32"/>
              </w:rPr>
              <w:t>水平</w:t>
            </w:r>
          </w:p>
        </w:tc>
      </w:tr>
      <w:tr>
        <w:tc>
          <w:tcPr>
            <w:tcW w:type="dxa" w:w="2268"/>
          </w:tcPr>
          <w:p>
            <w:pPr>
              <w:spacing w:lineRule="exact" w:line="600"/>
              <w:jc w:val="center"/>
            </w:pPr>
            <w:r/>
            <w:r>
              <w:rPr>
                <w:rFonts w:ascii="仿宋_GB2312" w:hAnsi="仿宋_GB2312" w:eastAsia="仿宋_GB2312"/>
                <w:b w:val="0"/>
                <w:color w:val="000000"/>
                <w:sz w:val="32"/>
              </w:rPr>
              <w:t>环保人造草坪</w:t>
            </w:r>
          </w:p>
        </w:tc>
        <w:tc>
          <w:tcPr>
            <w:tcW w:type="dxa" w:w="3685"/>
          </w:tcPr>
          <w:p>
            <w:pPr>
              <w:spacing w:lineRule="exact" w:line="600"/>
              <w:jc w:val="center"/>
            </w:pPr>
            <w:r/>
            <w:r>
              <w:rPr>
                <w:rFonts w:ascii="仿宋_GB2312" w:hAnsi="仿宋_GB2312" w:eastAsia="仿宋_GB2312"/>
                <w:b w:val="0"/>
                <w:color w:val="000000"/>
                <w:sz w:val="32"/>
              </w:rPr>
              <w:t>运动/景观场地</w:t>
            </w:r>
          </w:p>
        </w:tc>
        <w:tc>
          <w:tcPr>
            <w:tcW w:type="dxa" w:w="3118"/>
          </w:tcPr>
          <w:p>
            <w:pPr>
              <w:spacing w:lineRule="exact" w:line="600"/>
              <w:jc w:val="center"/>
            </w:pPr>
            <w:r/>
            <w:r>
              <w:rPr>
                <w:rFonts w:ascii="仿宋_GB2312" w:hAnsi="仿宋_GB2312" w:eastAsia="仿宋_GB2312"/>
                <w:b w:val="0"/>
                <w:color w:val="000000"/>
                <w:sz w:val="32"/>
              </w:rPr>
              <w:t>国际足联认证</w:t>
            </w:r>
          </w:p>
        </w:tc>
      </w:tr>
      <w:tr>
        <w:tc>
          <w:tcPr>
            <w:tcW w:type="dxa" w:w="2268"/>
          </w:tcPr>
          <w:p>
            <w:pPr>
              <w:spacing w:lineRule="exact" w:line="600"/>
              <w:jc w:val="center"/>
            </w:pPr>
            <w:r/>
            <w:r>
              <w:rPr>
                <w:rFonts w:ascii="仿宋_GB2312" w:hAnsi="仿宋_GB2312" w:eastAsia="仿宋_GB2312"/>
                <w:b w:val="0"/>
                <w:color w:val="000000"/>
                <w:sz w:val="32"/>
              </w:rPr>
              <w:t>智慧体育公园</w:t>
            </w:r>
          </w:p>
        </w:tc>
        <w:tc>
          <w:tcPr>
            <w:tcW w:type="dxa" w:w="3685"/>
          </w:tcPr>
          <w:p>
            <w:pPr>
              <w:spacing w:lineRule="exact" w:line="600"/>
              <w:jc w:val="center"/>
            </w:pPr>
            <w:r/>
            <w:r>
              <w:rPr>
                <w:rFonts w:ascii="仿宋_GB2312" w:hAnsi="仿宋_GB2312" w:eastAsia="仿宋_GB2312"/>
                <w:b w:val="0"/>
                <w:color w:val="000000"/>
                <w:sz w:val="32"/>
              </w:rPr>
              <w:t>全民健身运营</w:t>
            </w:r>
          </w:p>
        </w:tc>
        <w:tc>
          <w:tcPr>
            <w:tcW w:type="dxa" w:w="3118"/>
          </w:tcPr>
          <w:p>
            <w:pPr>
              <w:spacing w:lineRule="exact" w:line="600"/>
              <w:jc w:val="center"/>
            </w:pPr>
            <w:r/>
            <w:r>
              <w:rPr>
                <w:rFonts w:ascii="仿宋_GB2312" w:hAnsi="仿宋_GB2312" w:eastAsia="仿宋_GB2312"/>
                <w:b w:val="0"/>
                <w:color w:val="000000"/>
                <w:sz w:val="32"/>
              </w:rPr>
              <w:t>国内首创</w:t>
            </w:r>
          </w:p>
        </w:tc>
      </w:tr>
      <w:tr>
        <w:tc>
          <w:tcPr>
            <w:tcW w:type="dxa" w:w="2268"/>
          </w:tcPr>
          <w:p>
            <w:pPr>
              <w:spacing w:lineRule="exact" w:line="600"/>
              <w:jc w:val="center"/>
            </w:pPr>
            <w:r/>
            <w:r>
              <w:rPr>
                <w:rFonts w:ascii="仿宋_GB2312" w:hAnsi="仿宋_GB2312" w:eastAsia="仿宋_GB2312"/>
                <w:b w:val="0"/>
                <w:color w:val="000000"/>
                <w:sz w:val="32"/>
              </w:rPr>
              <w:t>健康服务中心</w:t>
            </w:r>
          </w:p>
        </w:tc>
        <w:tc>
          <w:tcPr>
            <w:tcW w:type="dxa" w:w="3685"/>
          </w:tcPr>
          <w:p>
            <w:pPr>
              <w:spacing w:lineRule="exact" w:line="600"/>
              <w:jc w:val="center"/>
            </w:pPr>
            <w:r/>
            <w:r>
              <w:rPr>
                <w:rFonts w:ascii="仿宋_GB2312" w:hAnsi="仿宋_GB2312" w:eastAsia="仿宋_GB2312"/>
                <w:b w:val="0"/>
                <w:color w:val="000000"/>
                <w:sz w:val="32"/>
              </w:rPr>
              <w:t>社区/校园</w:t>
            </w:r>
          </w:p>
        </w:tc>
        <w:tc>
          <w:tcPr>
            <w:tcW w:type="dxa" w:w="3118"/>
          </w:tcPr>
          <w:p>
            <w:pPr>
              <w:spacing w:lineRule="exact" w:line="600"/>
              <w:jc w:val="center"/>
            </w:pPr>
            <w:r/>
            <w:r>
              <w:rPr>
                <w:rFonts w:ascii="仿宋_GB2312" w:hAnsi="仿宋_GB2312" w:eastAsia="仿宋_GB2312"/>
                <w:b w:val="0"/>
                <w:color w:val="000000"/>
                <w:sz w:val="32"/>
              </w:rPr>
              <w:t>国际标准</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人造草坪成本以草丝（PE/PP）、背胶、底布与人工施工为主，规模与自动化程度决定毛利。泰山体育年产2000万平方米智能化产线提升效率、降低单位成本（来源：乐陵市政府）。</w:t>
      </w:r>
    </w:p>
    <w:p>
      <w:pPr>
        <w:spacing w:lineRule="exact" w:line="600" w:before="120" w:after="120"/>
        <w:ind w:firstLine="420"/>
        <w:jc w:val="left"/>
      </w:pPr>
      <w:r>
        <w:rPr>
          <w:rFonts w:ascii="楷体_GB2312" w:hAnsi="楷体_GB2312" w:eastAsia="楷体_GB2312"/>
          <w:b w:val="0"/>
          <w:color w:val="000000"/>
          <w:sz w:val="32"/>
        </w:rPr>
        <w:t>（二）盈利水平</w:t>
      </w:r>
    </w:p>
    <w:p>
      <w:pPr>
        <w:spacing w:lineRule="exact" w:line="600" w:before="0" w:after="0"/>
        <w:ind w:firstLine="420"/>
        <w:jc w:val="both"/>
      </w:pPr>
      <w:r>
        <w:rPr>
          <w:rFonts w:ascii="仿宋_GB2312" w:hAnsi="仿宋_GB2312" w:eastAsia="仿宋_GB2312"/>
          <w:b w:val="0"/>
          <w:color w:val="000000"/>
          <w:sz w:val="32"/>
        </w:rPr>
        <w:t>乐陵规上体育企业2023年H1营业收入54.63亿元、利润7.46亿元（来源：中国发展网2024）。场馆设施作为其中高毛利工程板块，受益于全民健身与校园改造订单；泰山体育整体净利率约6%（来源：快懂百科）。</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产业园3885亩与水电气讯配套保障产能；研发与运营人才通过产学研基地与飞地补充。主要短板在大型场馆总包资质与专业运营IP团队（行业共性研判）。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402"/>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H1营收/利润</w:t>
            </w:r>
          </w:p>
        </w:tc>
        <w:tc>
          <w:tcPr>
            <w:tcW w:type="dxa" w:w="3118"/>
          </w:tcPr>
          <w:p>
            <w:pPr>
              <w:spacing w:lineRule="exact" w:line="600"/>
              <w:jc w:val="center"/>
            </w:pPr>
            <w:r/>
            <w:r>
              <w:rPr>
                <w:rFonts w:ascii="仿宋_GB2312" w:hAnsi="仿宋_GB2312" w:eastAsia="仿宋_GB2312"/>
                <w:b w:val="0"/>
                <w:color w:val="000000"/>
                <w:sz w:val="32"/>
              </w:rPr>
              <w:t>54.63亿/7.46亿</w:t>
            </w:r>
          </w:p>
        </w:tc>
        <w:tc>
          <w:tcPr>
            <w:tcW w:type="dxa" w:w="3402"/>
          </w:tcPr>
          <w:p>
            <w:pPr>
              <w:spacing w:lineRule="exact" w:line="600"/>
              <w:jc w:val="center"/>
            </w:pPr>
            <w:r/>
            <w:r>
              <w:rPr>
                <w:rFonts w:ascii="仿宋_GB2312" w:hAnsi="仿宋_GB2312" w:eastAsia="仿宋_GB2312"/>
                <w:b w:val="0"/>
                <w:color w:val="000000"/>
                <w:sz w:val="32"/>
              </w:rPr>
              <w:t>中国发展网2024</w:t>
            </w:r>
          </w:p>
        </w:tc>
      </w:tr>
      <w:tr>
        <w:tc>
          <w:tcPr>
            <w:tcW w:type="dxa" w:w="2551"/>
          </w:tcPr>
          <w:p>
            <w:pPr>
              <w:spacing w:lineRule="exact" w:line="600"/>
              <w:jc w:val="center"/>
            </w:pPr>
            <w:r/>
            <w:r>
              <w:rPr>
                <w:rFonts w:ascii="仿宋_GB2312" w:hAnsi="仿宋_GB2312" w:eastAsia="仿宋_GB2312"/>
                <w:b w:val="0"/>
                <w:color w:val="000000"/>
                <w:sz w:val="32"/>
              </w:rPr>
              <w:t>草坪产能</w:t>
            </w:r>
          </w:p>
        </w:tc>
        <w:tc>
          <w:tcPr>
            <w:tcW w:type="dxa" w:w="3118"/>
          </w:tcPr>
          <w:p>
            <w:pPr>
              <w:spacing w:lineRule="exact" w:line="600"/>
              <w:jc w:val="center"/>
            </w:pPr>
            <w:r/>
            <w:r>
              <w:rPr>
                <w:rFonts w:ascii="仿宋_GB2312" w:hAnsi="仿宋_GB2312" w:eastAsia="仿宋_GB2312"/>
                <w:b w:val="0"/>
                <w:color w:val="000000"/>
                <w:sz w:val="32"/>
              </w:rPr>
              <w:t>2000万平/年</w:t>
            </w:r>
          </w:p>
        </w:tc>
        <w:tc>
          <w:tcPr>
            <w:tcW w:type="dxa" w:w="3402"/>
          </w:tcPr>
          <w:p>
            <w:pPr>
              <w:spacing w:lineRule="exact" w:line="600"/>
              <w:jc w:val="center"/>
            </w:pPr>
            <w:r/>
            <w:r>
              <w:rPr>
                <w:rFonts w:ascii="仿宋_GB2312" w:hAnsi="仿宋_GB2312" w:eastAsia="仿宋_GB2312"/>
                <w:b w:val="0"/>
                <w:color w:val="000000"/>
                <w:sz w:val="32"/>
              </w:rPr>
              <w:t>乐陵市政府</w:t>
            </w:r>
          </w:p>
        </w:tc>
      </w:tr>
      <w:tr>
        <w:tc>
          <w:tcPr>
            <w:tcW w:type="dxa" w:w="2551"/>
          </w:tcPr>
          <w:p>
            <w:pPr>
              <w:spacing w:lineRule="exact" w:line="600"/>
              <w:jc w:val="center"/>
            </w:pPr>
            <w:r/>
            <w:r>
              <w:rPr>
                <w:rFonts w:ascii="仿宋_GB2312" w:hAnsi="仿宋_GB2312" w:eastAsia="仿宋_GB2312"/>
                <w:b w:val="0"/>
                <w:color w:val="000000"/>
                <w:sz w:val="32"/>
              </w:rPr>
              <w:t>整体净利率</w:t>
            </w:r>
          </w:p>
        </w:tc>
        <w:tc>
          <w:tcPr>
            <w:tcW w:type="dxa" w:w="3118"/>
          </w:tcPr>
          <w:p>
            <w:pPr>
              <w:spacing w:lineRule="exact" w:line="600"/>
              <w:jc w:val="center"/>
            </w:pPr>
            <w:r/>
            <w:r>
              <w:rPr>
                <w:rFonts w:ascii="仿宋_GB2312" w:hAnsi="仿宋_GB2312" w:eastAsia="仿宋_GB2312"/>
                <w:b w:val="0"/>
                <w:color w:val="000000"/>
                <w:sz w:val="32"/>
              </w:rPr>
              <w:t>约6%</w:t>
            </w:r>
          </w:p>
        </w:tc>
        <w:tc>
          <w:tcPr>
            <w:tcW w:type="dxa" w:w="3402"/>
          </w:tcPr>
          <w:p>
            <w:pPr>
              <w:spacing w:lineRule="exact" w:line="600"/>
              <w:jc w:val="center"/>
            </w:pPr>
            <w:r/>
            <w:r>
              <w:rPr>
                <w:rFonts w:ascii="仿宋_GB2312" w:hAnsi="仿宋_GB2312" w:eastAsia="仿宋_GB2312"/>
                <w:b w:val="0"/>
                <w:color w:val="000000"/>
                <w:sz w:val="32"/>
              </w:rPr>
              <w:t>快懂百科</w:t>
            </w:r>
          </w:p>
        </w:tc>
      </w:tr>
      <w:tr>
        <w:tc>
          <w:tcPr>
            <w:tcW w:type="dxa" w:w="2551"/>
          </w:tcPr>
          <w:p>
            <w:pPr>
              <w:spacing w:lineRule="exact" w:line="600"/>
              <w:jc w:val="center"/>
            </w:pPr>
            <w:r/>
            <w:r>
              <w:rPr>
                <w:rFonts w:ascii="仿宋_GB2312" w:hAnsi="仿宋_GB2312" w:eastAsia="仿宋_GB2312"/>
                <w:b w:val="0"/>
                <w:color w:val="000000"/>
                <w:sz w:val="32"/>
              </w:rPr>
              <w:t>产业园面积</w:t>
            </w:r>
          </w:p>
        </w:tc>
        <w:tc>
          <w:tcPr>
            <w:tcW w:type="dxa" w:w="3118"/>
          </w:tcPr>
          <w:p>
            <w:pPr>
              <w:spacing w:lineRule="exact" w:line="600"/>
              <w:jc w:val="center"/>
            </w:pPr>
            <w:r/>
            <w:r>
              <w:rPr>
                <w:rFonts w:ascii="仿宋_GB2312" w:hAnsi="仿宋_GB2312" w:eastAsia="仿宋_GB2312"/>
                <w:b w:val="0"/>
                <w:color w:val="000000"/>
                <w:sz w:val="32"/>
              </w:rPr>
              <w:t>3885亩</w:t>
            </w:r>
          </w:p>
        </w:tc>
        <w:tc>
          <w:tcPr>
            <w:tcW w:type="dxa" w:w="3402"/>
          </w:tcPr>
          <w:p>
            <w:pPr>
              <w:spacing w:lineRule="exact" w:line="600"/>
              <w:jc w:val="center"/>
            </w:pPr>
            <w:r/>
            <w:r>
              <w:rPr>
                <w:rFonts w:ascii="仿宋_GB2312" w:hAnsi="仿宋_GB2312" w:eastAsia="仿宋_GB2312"/>
                <w:b w:val="0"/>
                <w:color w:val="000000"/>
                <w:sz w:val="32"/>
              </w:rPr>
              <w:t>齐鲁网</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一是全民健身设施补短板与校园体育改造带来持续订单；二是城市体育公园与「15分钟健身圈」建设扩容；三是国际运动草需求上行（全球2028年518亿元），出口欧美空间大。</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一是联盛、绿茵等专业化草坪企业规模与渠道优势；二是大型场馆总包需建筑资质与业绩，乐陵企业偏向材料与专项工程；三是运营服务IP与人才不足。</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一是原材料（石化基草丝）价格波动；二是国际贸易壁垒与认证更新；三是地方财政收紧影响公共场馆投资节奏。建议多元化场景与出口对冲（行业共性研判）。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类别</w:t>
            </w:r>
          </w:p>
        </w:tc>
        <w:tc>
          <w:tcPr>
            <w:tcW w:type="dxa" w:w="4535"/>
          </w:tcPr>
          <w:p>
            <w:pPr>
              <w:spacing w:lineRule="exact" w:line="600"/>
              <w:jc w:val="center"/>
            </w:pPr>
            <w:r/>
            <w:r>
              <w:rPr>
                <w:rFonts w:ascii="黑体" w:hAnsi="黑体" w:eastAsia="黑体"/>
                <w:b/>
                <w:color w:val="000000"/>
                <w:sz w:val="32"/>
              </w:rPr>
              <w:t>要点</w:t>
            </w:r>
          </w:p>
        </w:tc>
        <w:tc>
          <w:tcPr>
            <w:tcW w:type="dxa" w:w="2551"/>
          </w:tcPr>
          <w:p>
            <w:pPr>
              <w:spacing w:lineRule="exact" w:line="600"/>
              <w:jc w:val="center"/>
            </w:pPr>
            <w:r/>
            <w:r>
              <w:rPr>
                <w:rFonts w:ascii="黑体" w:hAnsi="黑体" w:eastAsia="黑体"/>
                <w:b/>
                <w:color w:val="000000"/>
                <w:sz w:val="32"/>
              </w:rPr>
              <w:t>程度</w:t>
            </w:r>
          </w:p>
        </w:tc>
      </w:tr>
      <w:tr>
        <w:tc>
          <w:tcPr>
            <w:tcW w:type="dxa" w:w="1984"/>
          </w:tcPr>
          <w:p>
            <w:pPr>
              <w:spacing w:lineRule="exact" w:line="600"/>
              <w:jc w:val="center"/>
            </w:pPr>
            <w:r/>
            <w:r>
              <w:rPr>
                <w:rFonts w:ascii="仿宋_GB2312" w:hAnsi="仿宋_GB2312" w:eastAsia="仿宋_GB2312"/>
                <w:b w:val="0"/>
                <w:color w:val="000000"/>
                <w:sz w:val="32"/>
              </w:rPr>
              <w:t>机遇</w:t>
            </w:r>
          </w:p>
        </w:tc>
        <w:tc>
          <w:tcPr>
            <w:tcW w:type="dxa" w:w="4535"/>
          </w:tcPr>
          <w:p>
            <w:pPr>
              <w:spacing w:lineRule="exact" w:line="600"/>
              <w:jc w:val="center"/>
            </w:pPr>
            <w:r/>
            <w:r>
              <w:rPr>
                <w:rFonts w:ascii="仿宋_GB2312" w:hAnsi="仿宋_GB2312" w:eastAsia="仿宋_GB2312"/>
                <w:b w:val="0"/>
                <w:color w:val="000000"/>
                <w:sz w:val="32"/>
              </w:rPr>
              <w:t>校园/公园/出口</w:t>
            </w:r>
          </w:p>
        </w:tc>
        <w:tc>
          <w:tcPr>
            <w:tcW w:type="dxa" w:w="2551"/>
          </w:tcPr>
          <w:p>
            <w:pPr>
              <w:spacing w:lineRule="exact" w:line="600"/>
              <w:jc w:val="center"/>
            </w:pPr>
            <w:r/>
            <w:r>
              <w:rPr>
                <w:rFonts w:ascii="仿宋_GB2312" w:hAnsi="仿宋_GB2312" w:eastAsia="仿宋_GB2312"/>
                <w:b w:val="0"/>
                <w:color w:val="000000"/>
                <w:sz w:val="32"/>
              </w:rPr>
              <w:t>高</w:t>
            </w:r>
          </w:p>
        </w:tc>
      </w:tr>
      <w:tr>
        <w:tc>
          <w:tcPr>
            <w:tcW w:type="dxa" w:w="1984"/>
          </w:tcPr>
          <w:p>
            <w:pPr>
              <w:spacing w:lineRule="exact" w:line="600"/>
              <w:jc w:val="center"/>
            </w:pPr>
            <w:r/>
            <w:r>
              <w:rPr>
                <w:rFonts w:ascii="仿宋_GB2312" w:hAnsi="仿宋_GB2312" w:eastAsia="仿宋_GB2312"/>
                <w:b w:val="0"/>
                <w:color w:val="000000"/>
                <w:sz w:val="32"/>
              </w:rPr>
              <w:t>挑战</w:t>
            </w:r>
          </w:p>
        </w:tc>
        <w:tc>
          <w:tcPr>
            <w:tcW w:type="dxa" w:w="4535"/>
          </w:tcPr>
          <w:p>
            <w:pPr>
              <w:spacing w:lineRule="exact" w:line="600"/>
              <w:jc w:val="center"/>
            </w:pPr>
            <w:r/>
            <w:r>
              <w:rPr>
                <w:rFonts w:ascii="仿宋_GB2312" w:hAnsi="仿宋_GB2312" w:eastAsia="仿宋_GB2312"/>
                <w:b w:val="0"/>
                <w:color w:val="000000"/>
                <w:sz w:val="32"/>
              </w:rPr>
              <w:t>总包资质/运营IP</w:t>
            </w:r>
          </w:p>
        </w:tc>
        <w:tc>
          <w:tcPr>
            <w:tcW w:type="dxa" w:w="2551"/>
          </w:tcPr>
          <w:p>
            <w:pPr>
              <w:spacing w:lineRule="exact" w:line="600"/>
              <w:jc w:val="center"/>
            </w:pPr>
            <w:r/>
            <w:r>
              <w:rPr>
                <w:rFonts w:ascii="仿宋_GB2312" w:hAnsi="仿宋_GB2312" w:eastAsia="仿宋_GB2312"/>
                <w:b w:val="0"/>
                <w:color w:val="000000"/>
                <w:sz w:val="32"/>
              </w:rPr>
              <w:t>中高</w:t>
            </w:r>
          </w:p>
        </w:tc>
      </w:tr>
      <w:tr>
        <w:tc>
          <w:tcPr>
            <w:tcW w:type="dxa" w:w="1984"/>
          </w:tcPr>
          <w:p>
            <w:pPr>
              <w:spacing w:lineRule="exact" w:line="600"/>
              <w:jc w:val="center"/>
            </w:pPr>
            <w:r/>
            <w:r>
              <w:rPr>
                <w:rFonts w:ascii="仿宋_GB2312" w:hAnsi="仿宋_GB2312" w:eastAsia="仿宋_GB2312"/>
                <w:b w:val="0"/>
                <w:color w:val="000000"/>
                <w:sz w:val="32"/>
              </w:rPr>
              <w:t>风险</w:t>
            </w:r>
          </w:p>
        </w:tc>
        <w:tc>
          <w:tcPr>
            <w:tcW w:type="dxa" w:w="4535"/>
          </w:tcPr>
          <w:p>
            <w:pPr>
              <w:spacing w:lineRule="exact" w:line="600"/>
              <w:jc w:val="center"/>
            </w:pPr>
            <w:r/>
            <w:r>
              <w:rPr>
                <w:rFonts w:ascii="仿宋_GB2312" w:hAnsi="仿宋_GB2312" w:eastAsia="仿宋_GB2312"/>
                <w:b w:val="0"/>
                <w:color w:val="000000"/>
                <w:sz w:val="32"/>
              </w:rPr>
              <w:t>原料价/贸易壁垒</w:t>
            </w:r>
          </w:p>
        </w:tc>
        <w:tc>
          <w:tcPr>
            <w:tcW w:type="dxa" w:w="2551"/>
          </w:tcPr>
          <w:p>
            <w:pPr>
              <w:spacing w:lineRule="exact" w:line="600"/>
              <w:jc w:val="center"/>
            </w:pPr>
            <w:r/>
            <w:r>
              <w:rPr>
                <w:rFonts w:ascii="仿宋_GB2312" w:hAnsi="仿宋_GB2312" w:eastAsia="仿宋_GB2312"/>
                <w:b w:val="0"/>
                <w:color w:val="000000"/>
                <w:sz w:val="32"/>
              </w:rPr>
              <w:t>中</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（一）材料绿色化</w:t>
      </w:r>
    </w:p>
    <w:p>
      <w:pPr>
        <w:spacing w:lineRule="exact" w:line="600" w:before="0" w:after="0"/>
        <w:ind w:firstLine="420"/>
        <w:jc w:val="both"/>
      </w:pPr>
      <w:r>
        <w:rPr>
          <w:rFonts w:ascii="仿宋_GB2312" w:hAnsi="仿宋_GB2312" w:eastAsia="仿宋_GB2312"/>
          <w:b w:val="0"/>
          <w:color w:val="000000"/>
          <w:sz w:val="32"/>
        </w:rPr>
        <w:t>推进无硅环保背胶、可回收草丝与生物基材料，契合全球绿色采购趋势，提升欧美出口竞争力（来源：中研普华2024）。</w:t>
      </w:r>
    </w:p>
    <w:p>
      <w:pPr>
        <w:spacing w:lineRule="exact" w:line="600" w:before="120" w:after="120"/>
        <w:ind w:firstLine="420"/>
        <w:jc w:val="left"/>
      </w:pPr>
      <w:r>
        <w:rPr>
          <w:rFonts w:ascii="楷体_GB2312" w:hAnsi="楷体_GB2312" w:eastAsia="楷体_GB2312"/>
          <w:b w:val="0"/>
          <w:color w:val="000000"/>
          <w:sz w:val="32"/>
        </w:rPr>
        <w:t>（二）运营服务化</w:t>
      </w:r>
    </w:p>
    <w:p>
      <w:pPr>
        <w:spacing w:lineRule="exact" w:line="600" w:before="0" w:after="0"/>
        <w:ind w:firstLine="420"/>
        <w:jc w:val="both"/>
      </w:pPr>
      <w:r>
        <w:rPr>
          <w:rFonts w:ascii="仿宋_GB2312" w:hAnsi="仿宋_GB2312" w:eastAsia="仿宋_GB2312"/>
          <w:b w:val="0"/>
          <w:color w:val="000000"/>
          <w:sz w:val="32"/>
        </w:rPr>
        <w:t>以泰山智慧体育公园与城市健康智能服务中心为模板，输出「建设+运营」一体化模式，向社区、校园、公园复制，形成稳定运营现金流（来源：香港商报2026、泰山体育官网）。</w:t>
      </w:r>
    </w:p>
    <w:p>
      <w:pPr>
        <w:spacing w:lineRule="exact" w:line="600" w:before="120" w:after="120"/>
        <w:ind w:firstLine="420"/>
        <w:jc w:val="left"/>
      </w:pPr>
      <w:r>
        <w:rPr>
          <w:rFonts w:ascii="楷体_GB2312" w:hAnsi="楷体_GB2312" w:eastAsia="楷体_GB2312"/>
          <w:b w:val="0"/>
          <w:color w:val="000000"/>
          <w:sz w:val="32"/>
        </w:rPr>
        <w:t>（三）总包能力补强</w:t>
      </w:r>
    </w:p>
    <w:p>
      <w:pPr>
        <w:spacing w:lineRule="exact" w:line="600" w:before="0" w:after="0"/>
        <w:ind w:firstLine="420"/>
        <w:jc w:val="both"/>
      </w:pPr>
      <w:r>
        <w:rPr>
          <w:rFonts w:ascii="仿宋_GB2312" w:hAnsi="仿宋_GB2312" w:eastAsia="仿宋_GB2312"/>
          <w:b w:val="0"/>
          <w:color w:val="000000"/>
          <w:sz w:val="32"/>
        </w:rPr>
        <w:t>通过并购或联合体补齐建筑总包资质，承接体育公园、校园场馆整体工程，提升单笔合同额与产业链主导权（行业共性研判）。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抓手</w:t>
            </w:r>
          </w:p>
        </w:tc>
        <w:tc>
          <w:tcPr>
            <w:tcW w:type="dxa" w:w="3118"/>
          </w:tcPr>
          <w:p>
            <w:pPr>
              <w:spacing w:lineRule="exact" w:line="600"/>
              <w:jc w:val="center"/>
            </w:pPr>
            <w:r/>
            <w:r>
              <w:rPr>
                <w:rFonts w:ascii="黑体" w:hAnsi="黑体" w:eastAsia="黑体"/>
                <w:b/>
                <w:color w:val="000000"/>
                <w:sz w:val="32"/>
              </w:rPr>
              <w:t>预期</w:t>
            </w:r>
          </w:p>
        </w:tc>
      </w:tr>
      <w:tr>
        <w:tc>
          <w:tcPr>
            <w:tcW w:type="dxa" w:w="2268"/>
          </w:tcPr>
          <w:p>
            <w:pPr>
              <w:spacing w:lineRule="exact" w:line="600"/>
              <w:jc w:val="center"/>
            </w:pPr>
            <w:r/>
            <w:r>
              <w:rPr>
                <w:rFonts w:ascii="仿宋_GB2312" w:hAnsi="仿宋_GB2312" w:eastAsia="仿宋_GB2312"/>
                <w:b w:val="0"/>
                <w:color w:val="000000"/>
                <w:sz w:val="32"/>
              </w:rPr>
              <w:t>绿色化</w:t>
            </w:r>
          </w:p>
        </w:tc>
        <w:tc>
          <w:tcPr>
            <w:tcW w:type="dxa" w:w="3685"/>
          </w:tcPr>
          <w:p>
            <w:pPr>
              <w:spacing w:lineRule="exact" w:line="600"/>
              <w:jc w:val="center"/>
            </w:pPr>
            <w:r/>
            <w:r>
              <w:rPr>
                <w:rFonts w:ascii="仿宋_GB2312" w:hAnsi="仿宋_GB2312" w:eastAsia="仿宋_GB2312"/>
                <w:b w:val="0"/>
                <w:color w:val="000000"/>
                <w:sz w:val="32"/>
              </w:rPr>
              <w:t>环保背胶/可回收</w:t>
            </w:r>
          </w:p>
        </w:tc>
        <w:tc>
          <w:tcPr>
            <w:tcW w:type="dxa" w:w="3118"/>
          </w:tcPr>
          <w:p>
            <w:pPr>
              <w:spacing w:lineRule="exact" w:line="600"/>
              <w:jc w:val="center"/>
            </w:pPr>
            <w:r/>
            <w:r>
              <w:rPr>
                <w:rFonts w:ascii="仿宋_GB2312" w:hAnsi="仿宋_GB2312" w:eastAsia="仿宋_GB2312"/>
                <w:b w:val="0"/>
                <w:color w:val="000000"/>
                <w:sz w:val="32"/>
              </w:rPr>
              <w:t>出口竞争力</w:t>
            </w:r>
          </w:p>
        </w:tc>
      </w:tr>
      <w:tr>
        <w:tc>
          <w:tcPr>
            <w:tcW w:type="dxa" w:w="2268"/>
          </w:tcPr>
          <w:p>
            <w:pPr>
              <w:spacing w:lineRule="exact" w:line="600"/>
              <w:jc w:val="center"/>
            </w:pPr>
            <w:r/>
            <w:r>
              <w:rPr>
                <w:rFonts w:ascii="仿宋_GB2312" w:hAnsi="仿宋_GB2312" w:eastAsia="仿宋_GB2312"/>
                <w:b w:val="0"/>
                <w:color w:val="000000"/>
                <w:sz w:val="32"/>
              </w:rPr>
              <w:t>服务化</w:t>
            </w:r>
          </w:p>
        </w:tc>
        <w:tc>
          <w:tcPr>
            <w:tcW w:type="dxa" w:w="3685"/>
          </w:tcPr>
          <w:p>
            <w:pPr>
              <w:spacing w:lineRule="exact" w:line="600"/>
              <w:jc w:val="center"/>
            </w:pPr>
            <w:r/>
            <w:r>
              <w:rPr>
                <w:rFonts w:ascii="仿宋_GB2312" w:hAnsi="仿宋_GB2312" w:eastAsia="仿宋_GB2312"/>
                <w:b w:val="0"/>
                <w:color w:val="000000"/>
                <w:sz w:val="32"/>
              </w:rPr>
              <w:t>智慧公园复制</w:t>
            </w:r>
          </w:p>
        </w:tc>
        <w:tc>
          <w:tcPr>
            <w:tcW w:type="dxa" w:w="3118"/>
          </w:tcPr>
          <w:p>
            <w:pPr>
              <w:spacing w:lineRule="exact" w:line="600"/>
              <w:jc w:val="center"/>
            </w:pPr>
            <w:r/>
            <w:r>
              <w:rPr>
                <w:rFonts w:ascii="仿宋_GB2312" w:hAnsi="仿宋_GB2312" w:eastAsia="仿宋_GB2312"/>
                <w:b w:val="0"/>
                <w:color w:val="000000"/>
                <w:sz w:val="32"/>
              </w:rPr>
              <w:t>运营现金流</w:t>
            </w:r>
          </w:p>
        </w:tc>
      </w:tr>
      <w:tr>
        <w:tc>
          <w:tcPr>
            <w:tcW w:type="dxa" w:w="2268"/>
          </w:tcPr>
          <w:p>
            <w:pPr>
              <w:spacing w:lineRule="exact" w:line="600"/>
              <w:jc w:val="center"/>
            </w:pPr>
            <w:r/>
            <w:r>
              <w:rPr>
                <w:rFonts w:ascii="仿宋_GB2312" w:hAnsi="仿宋_GB2312" w:eastAsia="仿宋_GB2312"/>
                <w:b w:val="0"/>
                <w:color w:val="000000"/>
                <w:sz w:val="32"/>
              </w:rPr>
              <w:t>总包化</w:t>
            </w:r>
          </w:p>
        </w:tc>
        <w:tc>
          <w:tcPr>
            <w:tcW w:type="dxa" w:w="3685"/>
          </w:tcPr>
          <w:p>
            <w:pPr>
              <w:spacing w:lineRule="exact" w:line="600"/>
              <w:jc w:val="center"/>
            </w:pPr>
            <w:r/>
            <w:r>
              <w:rPr>
                <w:rFonts w:ascii="仿宋_GB2312" w:hAnsi="仿宋_GB2312" w:eastAsia="仿宋_GB2312"/>
                <w:b w:val="0"/>
                <w:color w:val="000000"/>
                <w:sz w:val="32"/>
              </w:rPr>
              <w:t>资质补强</w:t>
            </w:r>
          </w:p>
        </w:tc>
        <w:tc>
          <w:tcPr>
            <w:tcW w:type="dxa" w:w="3118"/>
          </w:tcPr>
          <w:p>
            <w:pPr>
              <w:spacing w:lineRule="exact" w:line="600"/>
              <w:jc w:val="center"/>
            </w:pPr>
            <w:r/>
            <w:r>
              <w:rPr>
                <w:rFonts w:ascii="仿宋_GB2312" w:hAnsi="仿宋_GB2312" w:eastAsia="仿宋_GB2312"/>
                <w:b w:val="0"/>
                <w:color w:val="000000"/>
                <w:sz w:val="32"/>
              </w:rPr>
              <w:t>单笔额提升</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（一）产线扩建</w:t>
      </w:r>
    </w:p>
    <w:p>
      <w:pPr>
        <w:spacing w:lineRule="exact" w:line="600" w:before="0" w:after="0"/>
        <w:ind w:firstLine="420"/>
        <w:jc w:val="both"/>
      </w:pPr>
      <w:r>
        <w:rPr>
          <w:rFonts w:ascii="仿宋_GB2312" w:hAnsi="仿宋_GB2312" w:eastAsia="仿宋_GB2312"/>
          <w:b w:val="0"/>
          <w:color w:val="000000"/>
          <w:sz w:val="32"/>
        </w:rPr>
        <w:t>年产2000万平方米人造草坪及配套智能化产线仍需资本开支，园区10个智能化项目总投资26.6亿元（来源：齐鲁网2022），适合项目贷款与产业基金。</w:t>
      </w:r>
    </w:p>
    <w:p>
      <w:pPr>
        <w:spacing w:lineRule="exact" w:line="600" w:before="120" w:after="120"/>
        <w:ind w:firstLine="420"/>
        <w:jc w:val="left"/>
      </w:pPr>
      <w:r>
        <w:rPr>
          <w:rFonts w:ascii="楷体_GB2312" w:hAnsi="楷体_GB2312" w:eastAsia="楷体_GB2312"/>
          <w:b w:val="0"/>
          <w:color w:val="000000"/>
          <w:sz w:val="32"/>
        </w:rPr>
        <w:t>（二）运营项目建设</w:t>
      </w:r>
    </w:p>
    <w:p>
      <w:pPr>
        <w:spacing w:lineRule="exact" w:line="600" w:before="0" w:after="0"/>
        <w:ind w:firstLine="420"/>
        <w:jc w:val="both"/>
      </w:pPr>
      <w:r>
        <w:rPr>
          <w:rFonts w:ascii="仿宋_GB2312" w:hAnsi="仿宋_GB2312" w:eastAsia="仿宋_GB2312"/>
          <w:b w:val="0"/>
          <w:color w:val="000000"/>
          <w:sz w:val="32"/>
        </w:rPr>
        <w:t>体育公园、健康服务中心建设与运营需要重资产投入与流动资金，可采用PPP、特许经营或REITs化探索（行业共性研判）。</w:t>
      </w:r>
    </w:p>
    <w:p>
      <w:pPr>
        <w:spacing w:lineRule="exact" w:line="600" w:before="120" w:after="120"/>
        <w:ind w:firstLine="420"/>
        <w:jc w:val="left"/>
      </w:pPr>
      <w:r>
        <w:rPr>
          <w:rFonts w:ascii="楷体_GB2312" w:hAnsi="楷体_GB2312" w:eastAsia="楷体_GB2312"/>
          <w:b w:val="0"/>
          <w:color w:val="000000"/>
          <w:sz w:val="32"/>
        </w:rPr>
        <w:t>（三）并购与出海</w:t>
      </w:r>
    </w:p>
    <w:p>
      <w:pPr>
        <w:spacing w:lineRule="exact" w:line="600" w:before="0" w:after="0"/>
        <w:ind w:firstLine="420"/>
        <w:jc w:val="both"/>
      </w:pPr>
      <w:r>
        <w:rPr>
          <w:rFonts w:ascii="仿宋_GB2312" w:hAnsi="仿宋_GB2312" w:eastAsia="仿宋_GB2312"/>
          <w:b w:val="0"/>
          <w:color w:val="000000"/>
          <w:sz w:val="32"/>
        </w:rPr>
        <w:t>为补齐总包资质与海外渠道，可能通过并购设计/施工企业或设立海外仓，需要股权与并购贷款支持（行业共性研判）。同时，体育场馆公益性较强、回收周期长，可探索PPP、特许经营与基础设施REITs等工具，将建成场馆的运营现金流证券化，反哺新建项目；并争取绿色债券与专项债支持全民健身与校园体育补短板工程，形成「建设—运营—再投资」的良性资金循环。</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方向</w:t>
            </w:r>
          </w:p>
        </w:tc>
        <w:tc>
          <w:tcPr>
            <w:tcW w:type="dxa" w:w="3402"/>
          </w:tcPr>
          <w:p>
            <w:pPr>
              <w:spacing w:lineRule="exact" w:line="600"/>
              <w:jc w:val="center"/>
            </w:pPr>
            <w:r/>
            <w:r>
              <w:rPr>
                <w:rFonts w:ascii="黑体" w:hAnsi="黑体" w:eastAsia="黑体"/>
                <w:b/>
                <w:color w:val="000000"/>
                <w:sz w:val="32"/>
              </w:rPr>
              <w:t>规模</w:t>
            </w:r>
          </w:p>
        </w:tc>
        <w:tc>
          <w:tcPr>
            <w:tcW w:type="dxa" w:w="3402"/>
          </w:tcPr>
          <w:p>
            <w:pPr>
              <w:spacing w:lineRule="exact" w:line="600"/>
              <w:jc w:val="center"/>
            </w:pPr>
            <w:r/>
            <w:r>
              <w:rPr>
                <w:rFonts w:ascii="黑体" w:hAnsi="黑体" w:eastAsia="黑体"/>
                <w:b/>
                <w:color w:val="000000"/>
                <w:sz w:val="32"/>
              </w:rPr>
              <w:t>工具</w:t>
            </w:r>
          </w:p>
        </w:tc>
      </w:tr>
      <w:tr>
        <w:tc>
          <w:tcPr>
            <w:tcW w:type="dxa" w:w="2268"/>
          </w:tcPr>
          <w:p>
            <w:pPr>
              <w:spacing w:lineRule="exact" w:line="600"/>
              <w:jc w:val="center"/>
            </w:pPr>
            <w:r/>
            <w:r>
              <w:rPr>
                <w:rFonts w:ascii="仿宋_GB2312" w:hAnsi="仿宋_GB2312" w:eastAsia="仿宋_GB2312"/>
                <w:b w:val="0"/>
                <w:color w:val="000000"/>
                <w:sz w:val="32"/>
              </w:rPr>
              <w:t>产线扩建</w:t>
            </w:r>
          </w:p>
        </w:tc>
        <w:tc>
          <w:tcPr>
            <w:tcW w:type="dxa" w:w="3402"/>
          </w:tcPr>
          <w:p>
            <w:pPr>
              <w:spacing w:lineRule="exact" w:line="600"/>
              <w:jc w:val="center"/>
            </w:pPr>
            <w:r/>
            <w:r>
              <w:rPr>
                <w:rFonts w:ascii="仿宋_GB2312" w:hAnsi="仿宋_GB2312" w:eastAsia="仿宋_GB2312"/>
                <w:b w:val="0"/>
                <w:color w:val="000000"/>
                <w:sz w:val="32"/>
              </w:rPr>
              <w:t>亿元级（总投26.6亿）</w:t>
            </w:r>
          </w:p>
        </w:tc>
        <w:tc>
          <w:tcPr>
            <w:tcW w:type="dxa" w:w="3402"/>
          </w:tcPr>
          <w:p>
            <w:pPr>
              <w:spacing w:lineRule="exact" w:line="600"/>
              <w:jc w:val="center"/>
            </w:pPr>
            <w:r/>
            <w:r>
              <w:rPr>
                <w:rFonts w:ascii="仿宋_GB2312" w:hAnsi="仿宋_GB2312" w:eastAsia="仿宋_GB2312"/>
                <w:b w:val="0"/>
                <w:color w:val="000000"/>
                <w:sz w:val="32"/>
              </w:rPr>
              <w:t>项目贷/产业基金</w:t>
            </w:r>
          </w:p>
        </w:tc>
      </w:tr>
      <w:tr>
        <w:tc>
          <w:tcPr>
            <w:tcW w:type="dxa" w:w="2268"/>
          </w:tcPr>
          <w:p>
            <w:pPr>
              <w:spacing w:lineRule="exact" w:line="600"/>
              <w:jc w:val="center"/>
            </w:pPr>
            <w:r/>
            <w:r>
              <w:rPr>
                <w:rFonts w:ascii="仿宋_GB2312" w:hAnsi="仿宋_GB2312" w:eastAsia="仿宋_GB2312"/>
                <w:b w:val="0"/>
                <w:color w:val="000000"/>
                <w:sz w:val="32"/>
              </w:rPr>
              <w:t>运营项目</w:t>
            </w:r>
          </w:p>
        </w:tc>
        <w:tc>
          <w:tcPr>
            <w:tcW w:type="dxa" w:w="3402"/>
          </w:tcPr>
          <w:p>
            <w:pPr>
              <w:spacing w:lineRule="exact" w:line="600"/>
              <w:jc w:val="center"/>
            </w:pPr>
            <w:r/>
            <w:r>
              <w:rPr>
                <w:rFonts w:ascii="仿宋_GB2312" w:hAnsi="仿宋_GB2312" w:eastAsia="仿宋_GB2312"/>
                <w:b w:val="0"/>
                <w:color w:val="000000"/>
                <w:sz w:val="32"/>
              </w:rPr>
              <w:t>重资产</w:t>
            </w:r>
          </w:p>
        </w:tc>
        <w:tc>
          <w:tcPr>
            <w:tcW w:type="dxa" w:w="3402"/>
          </w:tcPr>
          <w:p>
            <w:pPr>
              <w:spacing w:lineRule="exact" w:line="600"/>
              <w:jc w:val="center"/>
            </w:pPr>
            <w:r/>
            <w:r>
              <w:rPr>
                <w:rFonts w:ascii="仿宋_GB2312" w:hAnsi="仿宋_GB2312" w:eastAsia="仿宋_GB2312"/>
                <w:b w:val="0"/>
                <w:color w:val="000000"/>
                <w:sz w:val="32"/>
              </w:rPr>
              <w:t>PPP/特许经营</w:t>
            </w:r>
          </w:p>
        </w:tc>
      </w:tr>
      <w:tr>
        <w:tc>
          <w:tcPr>
            <w:tcW w:type="dxa" w:w="2268"/>
          </w:tcPr>
          <w:p>
            <w:pPr>
              <w:spacing w:lineRule="exact" w:line="600"/>
              <w:jc w:val="center"/>
            </w:pPr>
            <w:r/>
            <w:r>
              <w:rPr>
                <w:rFonts w:ascii="仿宋_GB2312" w:hAnsi="仿宋_GB2312" w:eastAsia="仿宋_GB2312"/>
                <w:b w:val="0"/>
                <w:color w:val="000000"/>
                <w:sz w:val="32"/>
              </w:rPr>
              <w:t>并购出海</w:t>
            </w:r>
          </w:p>
        </w:tc>
        <w:tc>
          <w:tcPr>
            <w:tcW w:type="dxa" w:w="3402"/>
          </w:tcPr>
          <w:p>
            <w:pPr>
              <w:spacing w:lineRule="exact" w:line="600"/>
              <w:jc w:val="center"/>
            </w:pPr>
            <w:r/>
            <w:r>
              <w:rPr>
                <w:rFonts w:ascii="仿宋_GB2312" w:hAnsi="仿宋_GB2312" w:eastAsia="仿宋_GB2312"/>
                <w:b w:val="0"/>
                <w:color w:val="000000"/>
                <w:sz w:val="32"/>
              </w:rPr>
              <w:t>中等</w:t>
            </w:r>
          </w:p>
        </w:tc>
        <w:tc>
          <w:tcPr>
            <w:tcW w:type="dxa" w:w="3402"/>
          </w:tcPr>
          <w:p>
            <w:pPr>
              <w:spacing w:lineRule="exact" w:line="600"/>
              <w:jc w:val="center"/>
            </w:pPr>
            <w:r/>
            <w:r>
              <w:rPr>
                <w:rFonts w:ascii="仿宋_GB2312" w:hAnsi="仿宋_GB2312" w:eastAsia="仿宋_GB2312"/>
                <w:b w:val="0"/>
                <w:color w:val="000000"/>
                <w:sz w:val="32"/>
              </w:rPr>
              <w:t>股权/并购贷</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泰山体育工程（泰山体育产业集团板块）：主营人造草坪、塑胶跑道、场馆座椅、体育公园规划设计与施工；「会呼吸的人造草坪」年产2000万平方米，通过国际足联、国际曲联认证，出口欧洲、美洲；运营国内首创泰山智慧体育公园（设计—建造—运营—维护一体化）。来源：泰山体育官网、乐陵市政府、香港商报2026-04。</w:t>
      </w:r>
    </w:p>
    <w:p>
      <w:pPr>
        <w:spacing w:lineRule="exact" w:line="600" w:before="0" w:after="0"/>
        <w:ind w:firstLine="420"/>
        <w:jc w:val="both"/>
      </w:pPr>
      <w:r>
        <w:rPr>
          <w:rFonts w:ascii="仿宋_GB2312" w:hAnsi="仿宋_GB2312" w:eastAsia="仿宋_GB2312"/>
          <w:b w:val="0"/>
          <w:color w:val="000000"/>
          <w:sz w:val="32"/>
        </w:rPr>
        <w:t>乾亿健康、勇剑体育等（乐陵体育健身工程类企业）：共16家体育健身、文化、工程类企业，承接健身路径、体育场地与社区工程配套，与泰山体育工程形成场馆设施建设补充。来源：乐陵市人民政府官网「体育产业」专题。</w:t>
      </w:r>
    </w:p>
    <w:p>
      <w:pPr>
        <w:spacing w:lineRule="exact" w:line="600" w:before="0" w:after="0"/>
        <w:ind w:firstLine="420"/>
        <w:jc w:val="both"/>
      </w:pPr>
      <w:r>
        <w:rPr>
          <w:rFonts w:ascii="仿宋_GB2312" w:hAnsi="仿宋_GB2312" w:eastAsia="仿宋_GB2312"/>
          <w:b w:val="0"/>
          <w:color w:val="000000"/>
          <w:sz w:val="32"/>
        </w:rPr>
        <w:t>泰山智慧体育（运营主体）：打造泰山智慧体育公园与「城市健康智能服务中心」，集成科学健身、智慧运动、全龄友好功能，2026年消博会全球首发健康服务中心新品，推动奥运科技成果大众化与标准化。来源：泰山体育官网、香港商报2026-04。</w:t>
      </w:r>
    </w:p>
    <w:p>
      <w:pPr>
        <w:spacing w:lineRule="exact" w:line="600" w:before="0" w:after="0"/>
        <w:jc w:val="left"/>
      </w:pPr>
      <w:r>
        <w:rPr>
          <w:rFonts w:ascii="仿宋_GB2312" w:hAnsi="仿宋_GB2312" w:eastAsia="仿宋_GB2312"/>
          <w:b w:val="0"/>
          <w:color w:val="000000"/>
          <w:sz w:val="28"/>
        </w:rPr>
        <w:t>主要数据来源：乐陵市人民政府官网「体育产业」专题；泰山体育产业集团官网（泰山工程、智慧体育、人造草坪）；中国报告大厅《2023年人造草坪市场规模分析》；中研普华《2024-2029年中国人造草坪行业市场深度调研》；博研咨询《中国人造草地板行业市场前景预测》；香港商报《山东乐陵：以体育全产业链激活县域经济新动能》（2026-04-28）；新华社《瞭望》新闻周刊《百亿体育产业崛起德州》（2024-05-06）；齐鲁网闪电新闻关于乐陵国家体育产业基地与产业园项目报道（2022）</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