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山东德州乐陵（高端体育装备）特色产业集群</w:t>
      </w:r>
    </w:p>
    <w:p>
      <w:pPr>
        <w:spacing w:lineRule="exact" w:line="600" w:before="240" w:after="240"/>
        <w:ind w:firstLine="0"/>
        <w:jc w:val="center"/>
      </w:pPr>
      <w:r>
        <w:rPr>
          <w:rFonts w:ascii="方正小标宋简体" w:hAnsi="方正小标宋简体" w:eastAsia="方正小标宋简体"/>
          <w:b w:val="0"/>
          <w:color w:val="000000"/>
          <w:sz w:val="44"/>
        </w:rPr>
        <w:t>健身器材与康复训练设备行业深度分析报告</w:t>
      </w:r>
    </w:p>
    <w:p>
      <w:pPr>
        <w:spacing w:lineRule="exact" w:line="600" w:before="0" w:after="0"/>
        <w:jc w:val="left"/>
      </w:pPr>
      <w:r>
        <w:rPr>
          <w:rFonts w:ascii="仿宋_GB2312" w:hAnsi="仿宋_GB2312" w:eastAsia="仿宋_GB2312"/>
          <w:b w:val="0"/>
          <w:color w:val="000000"/>
          <w:sz w:val="28"/>
        </w:rPr>
        <w:t>本报告数据来源于德州市/乐陵市政府、中国报告大厅、中研普华、经济日报及泰山体育公开信息，数据截至2023—2024年；乐陵本地健身器材以泰山体育智能健身包、健身路径、爱动在线为代表，德州市商用健身器材重心在宁津县（相邻协同），已分别标注。</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健身器材与康复训练设备是乐陵高端体育装备集群的重要组成部分。泰山体育布局年产200万套家庭智能健身包、健身路径与爱动在线智能健身系统，并正向体医融合的康复训练设备延伸。从市场看，2023年中国健身器材市场规模约710—1100亿元，室内器械占90.4%，出口旺盛；德州市宁津县为全国最大商用健身器材基地，注册企业2509家、2023年产值约120亿元、商用健身占国内70%以上，与乐陵形成协同。乐陵健身器材短板在C端品牌与康复医疗器械资质，机遇在适老化、智能化与体医融合。</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中国健身器材市场规模</w:t>
            </w:r>
          </w:p>
        </w:tc>
        <w:tc>
          <w:tcPr>
            <w:tcW w:type="dxa" w:w="2835"/>
          </w:tcPr>
          <w:p>
            <w:pPr>
              <w:spacing w:lineRule="exact" w:line="600"/>
              <w:jc w:val="center"/>
            </w:pPr>
            <w:r/>
            <w:r>
              <w:rPr>
                <w:rFonts w:ascii="仿宋_GB2312" w:hAnsi="仿宋_GB2312" w:eastAsia="仿宋_GB2312"/>
                <w:b w:val="0"/>
                <w:color w:val="000000"/>
                <w:sz w:val="32"/>
              </w:rPr>
              <w:t>约710—1100亿元（2023）</w:t>
            </w:r>
          </w:p>
        </w:tc>
        <w:tc>
          <w:tcPr>
            <w:tcW w:type="dxa" w:w="3118"/>
          </w:tcPr>
          <w:p>
            <w:pPr>
              <w:spacing w:lineRule="exact" w:line="600"/>
              <w:jc w:val="center"/>
            </w:pPr>
            <w:r/>
            <w:r>
              <w:rPr>
                <w:rFonts w:ascii="仿宋_GB2312" w:hAnsi="仿宋_GB2312" w:eastAsia="仿宋_GB2312"/>
                <w:b w:val="0"/>
                <w:color w:val="000000"/>
                <w:sz w:val="32"/>
              </w:rPr>
              <w:t>中研普华/智研咨询</w:t>
            </w:r>
          </w:p>
        </w:tc>
      </w:tr>
      <w:tr>
        <w:tc>
          <w:tcPr>
            <w:tcW w:type="dxa" w:w="2835"/>
          </w:tcPr>
          <w:p>
            <w:pPr>
              <w:spacing w:lineRule="exact" w:line="600"/>
              <w:jc w:val="center"/>
            </w:pPr>
            <w:r/>
            <w:r>
              <w:rPr>
                <w:rFonts w:ascii="仿宋_GB2312" w:hAnsi="仿宋_GB2312" w:eastAsia="仿宋_GB2312"/>
                <w:b w:val="0"/>
                <w:color w:val="000000"/>
                <w:sz w:val="32"/>
              </w:rPr>
              <w:t>室内器械占比</w:t>
            </w:r>
          </w:p>
        </w:tc>
        <w:tc>
          <w:tcPr>
            <w:tcW w:type="dxa" w:w="2835"/>
          </w:tcPr>
          <w:p>
            <w:pPr>
              <w:spacing w:lineRule="exact" w:line="600"/>
              <w:jc w:val="center"/>
            </w:pPr>
            <w:r/>
            <w:r>
              <w:rPr>
                <w:rFonts w:ascii="仿宋_GB2312" w:hAnsi="仿宋_GB2312" w:eastAsia="仿宋_GB2312"/>
                <w:b w:val="0"/>
                <w:color w:val="000000"/>
                <w:sz w:val="32"/>
              </w:rPr>
              <w:t>90.4%</w:t>
            </w:r>
          </w:p>
        </w:tc>
        <w:tc>
          <w:tcPr>
            <w:tcW w:type="dxa" w:w="3118"/>
          </w:tcPr>
          <w:p>
            <w:pPr>
              <w:spacing w:lineRule="exact" w:line="600"/>
              <w:jc w:val="center"/>
            </w:pPr>
            <w:r/>
            <w:r>
              <w:rPr>
                <w:rFonts w:ascii="仿宋_GB2312" w:hAnsi="仿宋_GB2312" w:eastAsia="仿宋_GB2312"/>
                <w:b w:val="0"/>
                <w:color w:val="000000"/>
                <w:sz w:val="32"/>
              </w:rPr>
              <w:t>中研普华2023</w:t>
            </w:r>
          </w:p>
        </w:tc>
      </w:tr>
      <w:tr>
        <w:tc>
          <w:tcPr>
            <w:tcW w:type="dxa" w:w="2835"/>
          </w:tcPr>
          <w:p>
            <w:pPr>
              <w:spacing w:lineRule="exact" w:line="600"/>
              <w:jc w:val="center"/>
            </w:pPr>
            <w:r/>
            <w:r>
              <w:rPr>
                <w:rFonts w:ascii="仿宋_GB2312" w:hAnsi="仿宋_GB2312" w:eastAsia="仿宋_GB2312"/>
                <w:b w:val="0"/>
                <w:color w:val="000000"/>
                <w:sz w:val="32"/>
              </w:rPr>
              <w:t>训练器材市场规模</w:t>
            </w:r>
          </w:p>
        </w:tc>
        <w:tc>
          <w:tcPr>
            <w:tcW w:type="dxa" w:w="2835"/>
          </w:tcPr>
          <w:p>
            <w:pPr>
              <w:spacing w:lineRule="exact" w:line="600"/>
              <w:jc w:val="center"/>
            </w:pPr>
            <w:r/>
            <w:r>
              <w:rPr>
                <w:rFonts w:ascii="仿宋_GB2312" w:hAnsi="仿宋_GB2312" w:eastAsia="仿宋_GB2312"/>
                <w:b w:val="0"/>
                <w:color w:val="000000"/>
                <w:sz w:val="32"/>
              </w:rPr>
              <w:t>710.2亿元（2023）</w:t>
            </w:r>
          </w:p>
        </w:tc>
        <w:tc>
          <w:tcPr>
            <w:tcW w:type="dxa" w:w="3118"/>
          </w:tcPr>
          <w:p>
            <w:pPr>
              <w:spacing w:lineRule="exact" w:line="600"/>
              <w:jc w:val="center"/>
            </w:pPr>
            <w:r/>
            <w:r>
              <w:rPr>
                <w:rFonts w:ascii="仿宋_GB2312" w:hAnsi="仿宋_GB2312" w:eastAsia="仿宋_GB2312"/>
                <w:b w:val="0"/>
                <w:color w:val="000000"/>
                <w:sz w:val="32"/>
              </w:rPr>
              <w:t>中国报告大厅</w:t>
            </w:r>
          </w:p>
        </w:tc>
      </w:tr>
      <w:tr>
        <w:tc>
          <w:tcPr>
            <w:tcW w:type="dxa" w:w="2835"/>
          </w:tcPr>
          <w:p>
            <w:pPr>
              <w:spacing w:lineRule="exact" w:line="600"/>
              <w:jc w:val="center"/>
            </w:pPr>
            <w:r/>
            <w:r>
              <w:rPr>
                <w:rFonts w:ascii="仿宋_GB2312" w:hAnsi="仿宋_GB2312" w:eastAsia="仿宋_GB2312"/>
                <w:b w:val="0"/>
                <w:color w:val="000000"/>
                <w:sz w:val="32"/>
              </w:rPr>
              <w:t>健身器材出口额(1-10月)</w:t>
            </w:r>
          </w:p>
        </w:tc>
        <w:tc>
          <w:tcPr>
            <w:tcW w:type="dxa" w:w="2835"/>
          </w:tcPr>
          <w:p>
            <w:pPr>
              <w:spacing w:lineRule="exact" w:line="600"/>
              <w:jc w:val="center"/>
            </w:pPr>
            <w:r/>
            <w:r>
              <w:rPr>
                <w:rFonts w:ascii="仿宋_GB2312" w:hAnsi="仿宋_GB2312" w:eastAsia="仿宋_GB2312"/>
                <w:b w:val="0"/>
                <w:color w:val="000000"/>
                <w:sz w:val="32"/>
              </w:rPr>
              <w:t>62.60亿美元</w:t>
            </w:r>
          </w:p>
        </w:tc>
        <w:tc>
          <w:tcPr>
            <w:tcW w:type="dxa" w:w="3118"/>
          </w:tcPr>
          <w:p>
            <w:pPr>
              <w:spacing w:lineRule="exact" w:line="600"/>
              <w:jc w:val="center"/>
            </w:pPr>
            <w:r/>
            <w:r>
              <w:rPr>
                <w:rFonts w:ascii="仿宋_GB2312" w:hAnsi="仿宋_GB2312" w:eastAsia="仿宋_GB2312"/>
                <w:b w:val="0"/>
                <w:color w:val="000000"/>
                <w:sz w:val="32"/>
              </w:rPr>
              <w:t>中研普华</w:t>
            </w:r>
          </w:p>
        </w:tc>
      </w:tr>
      <w:tr>
        <w:tc>
          <w:tcPr>
            <w:tcW w:type="dxa" w:w="2835"/>
          </w:tcPr>
          <w:p>
            <w:pPr>
              <w:spacing w:lineRule="exact" w:line="600"/>
              <w:jc w:val="center"/>
            </w:pPr>
            <w:r/>
            <w:r>
              <w:rPr>
                <w:rFonts w:ascii="仿宋_GB2312" w:hAnsi="仿宋_GB2312" w:eastAsia="仿宋_GB2312"/>
                <w:b w:val="0"/>
                <w:color w:val="000000"/>
                <w:sz w:val="32"/>
              </w:rPr>
              <w:t>宁津健身企业数</w:t>
            </w:r>
          </w:p>
        </w:tc>
        <w:tc>
          <w:tcPr>
            <w:tcW w:type="dxa" w:w="2835"/>
          </w:tcPr>
          <w:p>
            <w:pPr>
              <w:spacing w:lineRule="exact" w:line="600"/>
              <w:jc w:val="center"/>
            </w:pPr>
            <w:r/>
            <w:r>
              <w:rPr>
                <w:rFonts w:ascii="仿宋_GB2312" w:hAnsi="仿宋_GB2312" w:eastAsia="仿宋_GB2312"/>
                <w:b w:val="0"/>
                <w:color w:val="000000"/>
                <w:sz w:val="32"/>
              </w:rPr>
              <w:t>2509家</w:t>
            </w:r>
          </w:p>
        </w:tc>
        <w:tc>
          <w:tcPr>
            <w:tcW w:type="dxa" w:w="3118"/>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宁津2023产值</w:t>
            </w:r>
          </w:p>
        </w:tc>
        <w:tc>
          <w:tcPr>
            <w:tcW w:type="dxa" w:w="2835"/>
          </w:tcPr>
          <w:p>
            <w:pPr>
              <w:spacing w:lineRule="exact" w:line="600"/>
              <w:jc w:val="center"/>
            </w:pPr>
            <w:r/>
            <w:r>
              <w:rPr>
                <w:rFonts w:ascii="仿宋_GB2312" w:hAnsi="仿宋_GB2312" w:eastAsia="仿宋_GB2312"/>
                <w:b w:val="0"/>
                <w:color w:val="000000"/>
                <w:sz w:val="32"/>
              </w:rPr>
              <w:t>约120亿元（+63%）</w:t>
            </w:r>
          </w:p>
        </w:tc>
        <w:tc>
          <w:tcPr>
            <w:tcW w:type="dxa" w:w="3118"/>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商用健身国内份额</w:t>
            </w:r>
          </w:p>
        </w:tc>
        <w:tc>
          <w:tcPr>
            <w:tcW w:type="dxa" w:w="2835"/>
          </w:tcPr>
          <w:p>
            <w:pPr>
              <w:spacing w:lineRule="exact" w:line="600"/>
              <w:jc w:val="center"/>
            </w:pPr>
            <w:r/>
            <w:r>
              <w:rPr>
                <w:rFonts w:ascii="仿宋_GB2312" w:hAnsi="仿宋_GB2312" w:eastAsia="仿宋_GB2312"/>
                <w:b w:val="0"/>
                <w:color w:val="000000"/>
                <w:sz w:val="32"/>
              </w:rPr>
              <w:t>70%以上</w:t>
            </w:r>
          </w:p>
        </w:tc>
        <w:tc>
          <w:tcPr>
            <w:tcW w:type="dxa" w:w="3118"/>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乐陵H1利润</w:t>
            </w:r>
          </w:p>
        </w:tc>
        <w:tc>
          <w:tcPr>
            <w:tcW w:type="dxa" w:w="2835"/>
          </w:tcPr>
          <w:p>
            <w:pPr>
              <w:spacing w:lineRule="exact" w:line="600"/>
              <w:jc w:val="center"/>
            </w:pPr>
            <w:r/>
            <w:r>
              <w:rPr>
                <w:rFonts w:ascii="仿宋_GB2312" w:hAnsi="仿宋_GB2312" w:eastAsia="仿宋_GB2312"/>
                <w:b w:val="0"/>
                <w:color w:val="000000"/>
                <w:sz w:val="32"/>
              </w:rPr>
              <w:t>7.46亿元</w:t>
            </w:r>
          </w:p>
        </w:tc>
        <w:tc>
          <w:tcPr>
            <w:tcW w:type="dxa" w:w="3118"/>
          </w:tcPr>
          <w:p>
            <w:pPr>
              <w:spacing w:lineRule="exact" w:line="600"/>
              <w:jc w:val="center"/>
            </w:pPr>
            <w:r/>
            <w:r>
              <w:rPr>
                <w:rFonts w:ascii="仿宋_GB2312" w:hAnsi="仿宋_GB2312" w:eastAsia="仿宋_GB2312"/>
                <w:b w:val="0"/>
                <w:color w:val="000000"/>
                <w:sz w:val="32"/>
              </w:rPr>
              <w:t>中国发展网2024</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（一）全民健身国家战略</w:t>
      </w:r>
    </w:p>
    <w:p>
      <w:pPr>
        <w:spacing w:lineRule="exact" w:line="600" w:before="0" w:after="0"/>
        <w:ind w:firstLine="420"/>
        <w:jc w:val="both"/>
      </w:pPr>
      <w:r>
        <w:rPr>
          <w:rFonts w:ascii="仿宋_GB2312" w:hAnsi="仿宋_GB2312" w:eastAsia="仿宋_GB2312"/>
          <w:b w:val="0"/>
          <w:color w:val="000000"/>
          <w:sz w:val="32"/>
        </w:rPr>
        <w:t>全民健身已上升为国家战略，政策推动民众运动参与度显著提升，带动健身器材需求增长。2023年中国健身器材行业市场规模有望突破1100亿元，其中室内健身器械占比高达90.4%、室外仅占9.6%（来源：中研普华/智研咨询2023）。全民健身与健康中国行动为家用与商用健身器材创造长期需求基本盘。</w:t>
      </w:r>
    </w:p>
    <w:p>
      <w:pPr>
        <w:spacing w:lineRule="exact" w:line="600" w:before="120" w:after="120"/>
        <w:ind w:firstLine="420"/>
        <w:jc w:val="left"/>
      </w:pPr>
      <w:r>
        <w:rPr>
          <w:rFonts w:ascii="楷体_GB2312" w:hAnsi="楷体_GB2312" w:eastAsia="楷体_GB2312"/>
          <w:b w:val="0"/>
          <w:color w:val="000000"/>
          <w:sz w:val="32"/>
        </w:rPr>
        <w:t>（二）区域协同定位</w:t>
      </w:r>
    </w:p>
    <w:p>
      <w:pPr>
        <w:spacing w:lineRule="exact" w:line="600" w:before="0" w:after="0"/>
        <w:ind w:firstLine="420"/>
        <w:jc w:val="both"/>
      </w:pPr>
      <w:r>
        <w:rPr>
          <w:rFonts w:ascii="仿宋_GB2312" w:hAnsi="仿宋_GB2312" w:eastAsia="仿宋_GB2312"/>
          <w:b w:val="0"/>
          <w:color w:val="000000"/>
          <w:sz w:val="32"/>
        </w:rPr>
        <w:t>德州市形成「乐陵竞技器材、宁津商用健身、庆云健身路径」的分工格局。宁津县为全国最大商用健身器材生产基地，县域内健身器材注册企业达2509家，产品涵盖有氧、力量、康养器械等400余系列1000多个品种，2023年产值约120亿元、同比增长63%（来源：经济日报2024-06、新华社瞭望2024）。乐陵依托泰山体育在智能健身包与健身路径领域错位协同。</w:t>
      </w:r>
    </w:p>
    <w:p>
      <w:pPr>
        <w:spacing w:lineRule="exact" w:line="600" w:before="120" w:after="120"/>
        <w:ind w:firstLine="420"/>
        <w:jc w:val="left"/>
      </w:pPr>
      <w:r>
        <w:rPr>
          <w:rFonts w:ascii="楷体_GB2312" w:hAnsi="楷体_GB2312" w:eastAsia="楷体_GB2312"/>
          <w:b w:val="0"/>
          <w:color w:val="000000"/>
          <w:sz w:val="32"/>
        </w:rPr>
        <w:t>（三）消费年轻化与智能化趋势</w:t>
      </w:r>
    </w:p>
    <w:p>
      <w:pPr>
        <w:spacing w:lineRule="exact" w:line="600" w:before="0" w:after="0"/>
        <w:ind w:firstLine="420"/>
        <w:jc w:val="both"/>
      </w:pPr>
      <w:r>
        <w:rPr>
          <w:rFonts w:ascii="仿宋_GB2312" w:hAnsi="仿宋_GB2312" w:eastAsia="仿宋_GB2312"/>
          <w:b w:val="0"/>
          <w:color w:val="000000"/>
          <w:sz w:val="32"/>
        </w:rPr>
        <w:t>健身器材消费人群高度年轻化，26—35岁群体消费占比41.8%，对智能化要求高（来源：经济日报2024-06）。2021年智能跑步机、互动健身镜等产品市场份额已达35%，游戏化、虚拟现实与社交分享成为产品升级方向，为乐陵智能健身包提供市场窗口。</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中国健身器材市场规模</w:t>
            </w:r>
          </w:p>
        </w:tc>
        <w:tc>
          <w:tcPr>
            <w:tcW w:type="dxa" w:w="3118"/>
          </w:tcPr>
          <w:p>
            <w:pPr>
              <w:spacing w:lineRule="exact" w:line="600"/>
              <w:jc w:val="center"/>
            </w:pPr>
            <w:r/>
            <w:r>
              <w:rPr>
                <w:rFonts w:ascii="仿宋_GB2312" w:hAnsi="仿宋_GB2312" w:eastAsia="仿宋_GB2312"/>
                <w:b w:val="0"/>
                <w:color w:val="000000"/>
                <w:sz w:val="32"/>
              </w:rPr>
              <w:t>约710—1100亿元（2023）</w:t>
            </w:r>
          </w:p>
        </w:tc>
        <w:tc>
          <w:tcPr>
            <w:tcW w:type="dxa" w:w="3118"/>
          </w:tcPr>
          <w:p>
            <w:pPr>
              <w:spacing w:lineRule="exact" w:line="600"/>
              <w:jc w:val="center"/>
            </w:pPr>
            <w:r/>
            <w:r>
              <w:rPr>
                <w:rFonts w:ascii="仿宋_GB2312" w:hAnsi="仿宋_GB2312" w:eastAsia="仿宋_GB2312"/>
                <w:b w:val="0"/>
                <w:color w:val="000000"/>
                <w:sz w:val="32"/>
              </w:rPr>
              <w:t>中研普华/智研咨询</w:t>
            </w:r>
          </w:p>
        </w:tc>
      </w:tr>
      <w:tr>
        <w:tc>
          <w:tcPr>
            <w:tcW w:type="dxa" w:w="2835"/>
          </w:tcPr>
          <w:p>
            <w:pPr>
              <w:spacing w:lineRule="exact" w:line="600"/>
              <w:jc w:val="center"/>
            </w:pPr>
            <w:r/>
            <w:r>
              <w:rPr>
                <w:rFonts w:ascii="仿宋_GB2312" w:hAnsi="仿宋_GB2312" w:eastAsia="仿宋_GB2312"/>
                <w:b w:val="0"/>
                <w:color w:val="000000"/>
                <w:sz w:val="32"/>
              </w:rPr>
              <w:t>室内器械占比</w:t>
            </w:r>
          </w:p>
        </w:tc>
        <w:tc>
          <w:tcPr>
            <w:tcW w:type="dxa" w:w="3118"/>
          </w:tcPr>
          <w:p>
            <w:pPr>
              <w:spacing w:lineRule="exact" w:line="600"/>
              <w:jc w:val="center"/>
            </w:pPr>
            <w:r/>
            <w:r>
              <w:rPr>
                <w:rFonts w:ascii="仿宋_GB2312" w:hAnsi="仿宋_GB2312" w:eastAsia="仿宋_GB2312"/>
                <w:b w:val="0"/>
                <w:color w:val="000000"/>
                <w:sz w:val="32"/>
              </w:rPr>
              <w:t>90.4%</w:t>
            </w:r>
          </w:p>
        </w:tc>
        <w:tc>
          <w:tcPr>
            <w:tcW w:type="dxa" w:w="3118"/>
          </w:tcPr>
          <w:p>
            <w:pPr>
              <w:spacing w:lineRule="exact" w:line="600"/>
              <w:jc w:val="center"/>
            </w:pPr>
            <w:r/>
            <w:r>
              <w:rPr>
                <w:rFonts w:ascii="仿宋_GB2312" w:hAnsi="仿宋_GB2312" w:eastAsia="仿宋_GB2312"/>
                <w:b w:val="0"/>
                <w:color w:val="000000"/>
                <w:sz w:val="32"/>
              </w:rPr>
              <w:t>中研普华2023</w:t>
            </w:r>
          </w:p>
        </w:tc>
      </w:tr>
      <w:tr>
        <w:tc>
          <w:tcPr>
            <w:tcW w:type="dxa" w:w="2835"/>
          </w:tcPr>
          <w:p>
            <w:pPr>
              <w:spacing w:lineRule="exact" w:line="600"/>
              <w:jc w:val="center"/>
            </w:pPr>
            <w:r/>
            <w:r>
              <w:rPr>
                <w:rFonts w:ascii="仿宋_GB2312" w:hAnsi="仿宋_GB2312" w:eastAsia="仿宋_GB2312"/>
                <w:b w:val="0"/>
                <w:color w:val="000000"/>
                <w:sz w:val="32"/>
              </w:rPr>
              <w:t>宁津健身企业数</w:t>
            </w:r>
          </w:p>
        </w:tc>
        <w:tc>
          <w:tcPr>
            <w:tcW w:type="dxa" w:w="3118"/>
          </w:tcPr>
          <w:p>
            <w:pPr>
              <w:spacing w:lineRule="exact" w:line="600"/>
              <w:jc w:val="center"/>
            </w:pPr>
            <w:r/>
            <w:r>
              <w:rPr>
                <w:rFonts w:ascii="仿宋_GB2312" w:hAnsi="仿宋_GB2312" w:eastAsia="仿宋_GB2312"/>
                <w:b w:val="0"/>
                <w:color w:val="000000"/>
                <w:sz w:val="32"/>
              </w:rPr>
              <w:t>2509家</w:t>
            </w:r>
          </w:p>
        </w:tc>
        <w:tc>
          <w:tcPr>
            <w:tcW w:type="dxa" w:w="3118"/>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宁津2023产值</w:t>
            </w:r>
          </w:p>
        </w:tc>
        <w:tc>
          <w:tcPr>
            <w:tcW w:type="dxa" w:w="3118"/>
          </w:tcPr>
          <w:p>
            <w:pPr>
              <w:spacing w:lineRule="exact" w:line="600"/>
              <w:jc w:val="center"/>
            </w:pPr>
            <w:r/>
            <w:r>
              <w:rPr>
                <w:rFonts w:ascii="仿宋_GB2312" w:hAnsi="仿宋_GB2312" w:eastAsia="仿宋_GB2312"/>
                <w:b w:val="0"/>
                <w:color w:val="000000"/>
                <w:sz w:val="32"/>
              </w:rPr>
              <w:t>约120亿元（+63%）</w:t>
            </w:r>
          </w:p>
        </w:tc>
        <w:tc>
          <w:tcPr>
            <w:tcW w:type="dxa" w:w="3118"/>
          </w:tcPr>
          <w:p>
            <w:pPr>
              <w:spacing w:lineRule="exact" w:line="600"/>
              <w:jc w:val="center"/>
            </w:pPr>
            <w:r/>
            <w:r>
              <w:rPr>
                <w:rFonts w:ascii="仿宋_GB2312" w:hAnsi="仿宋_GB2312" w:eastAsia="仿宋_GB2312"/>
                <w:b w:val="0"/>
                <w:color w:val="000000"/>
                <w:sz w:val="32"/>
              </w:rPr>
              <w:t>经济日报2024</w:t>
            </w:r>
          </w:p>
        </w:tc>
      </w:tr>
      <w:tr>
        <w:tc>
          <w:tcPr>
            <w:tcW w:type="dxa" w:w="2835"/>
          </w:tcPr>
          <w:p>
            <w:pPr>
              <w:spacing w:lineRule="exact" w:line="600"/>
              <w:jc w:val="center"/>
            </w:pPr>
            <w:r/>
            <w:r>
              <w:rPr>
                <w:rFonts w:ascii="仿宋_GB2312" w:hAnsi="仿宋_GB2312" w:eastAsia="仿宋_GB2312"/>
                <w:b w:val="0"/>
                <w:color w:val="000000"/>
                <w:sz w:val="32"/>
              </w:rPr>
              <w:t>年轻群体消费占比</w:t>
            </w:r>
          </w:p>
        </w:tc>
        <w:tc>
          <w:tcPr>
            <w:tcW w:type="dxa" w:w="3118"/>
          </w:tcPr>
          <w:p>
            <w:pPr>
              <w:spacing w:lineRule="exact" w:line="600"/>
              <w:jc w:val="center"/>
            </w:pPr>
            <w:r/>
            <w:r>
              <w:rPr>
                <w:rFonts w:ascii="仿宋_GB2312" w:hAnsi="仿宋_GB2312" w:eastAsia="仿宋_GB2312"/>
                <w:b w:val="0"/>
                <w:color w:val="000000"/>
                <w:sz w:val="32"/>
              </w:rPr>
              <w:t>26-35岁占41.8%</w:t>
            </w:r>
          </w:p>
        </w:tc>
        <w:tc>
          <w:tcPr>
            <w:tcW w:type="dxa" w:w="3118"/>
          </w:tcPr>
          <w:p>
            <w:pPr>
              <w:spacing w:lineRule="exact" w:line="600"/>
              <w:jc w:val="center"/>
            </w:pPr>
            <w:r/>
            <w:r>
              <w:rPr>
                <w:rFonts w:ascii="仿宋_GB2312" w:hAnsi="仿宋_GB2312" w:eastAsia="仿宋_GB2312"/>
                <w:b w:val="0"/>
                <w:color w:val="000000"/>
                <w:sz w:val="32"/>
              </w:rPr>
              <w:t>经济日报2024</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（一）上游零部件</w:t>
      </w:r>
    </w:p>
    <w:p>
      <w:pPr>
        <w:spacing w:lineRule="exact" w:line="600" w:before="0" w:after="0"/>
        <w:ind w:firstLine="420"/>
        <w:jc w:val="both"/>
      </w:pPr>
      <w:r>
        <w:rPr>
          <w:rFonts w:ascii="仿宋_GB2312" w:hAnsi="仿宋_GB2312" w:eastAsia="仿宋_GB2312"/>
          <w:b w:val="0"/>
          <w:color w:val="000000"/>
          <w:sz w:val="32"/>
        </w:rPr>
        <w:t>健身器材上游包括钢材、电机、控制器、传感器、显示触控屏及环保发泡材料。乐陵本地以泰山体育链主带动，部分电子传感与芯片由深圳研发飞地供给；电机、钢结构等多来自山东省内及长三角配套，供应链总体成熟。</w:t>
      </w:r>
    </w:p>
    <w:p>
      <w:pPr>
        <w:spacing w:lineRule="exact" w:line="600" w:before="120" w:after="120"/>
        <w:ind w:firstLine="420"/>
        <w:jc w:val="left"/>
      </w:pPr>
      <w:r>
        <w:rPr>
          <w:rFonts w:ascii="楷体_GB2312" w:hAnsi="楷体_GB2312" w:eastAsia="楷体_GB2312"/>
          <w:b w:val="0"/>
          <w:color w:val="000000"/>
          <w:sz w:val="32"/>
        </w:rPr>
        <w:t>（二）中游整机与系统集成</w:t>
      </w:r>
    </w:p>
    <w:p>
      <w:pPr>
        <w:spacing w:lineRule="exact" w:line="600" w:before="0" w:after="0"/>
        <w:ind w:firstLine="420"/>
        <w:jc w:val="both"/>
      </w:pPr>
      <w:r>
        <w:rPr>
          <w:rFonts w:ascii="仿宋_GB2312" w:hAnsi="仿宋_GB2312" w:eastAsia="仿宋_GB2312"/>
          <w:b w:val="0"/>
          <w:color w:val="000000"/>
          <w:sz w:val="32"/>
        </w:rPr>
        <w:t>中游为健身车、跑步机、力量器械、智能健身包及康复训练设备。泰山体育年产200万套家庭智能健身包项目加快建设，健身路径、爱动在线智能健身系统覆盖社区与家庭场景（来源：乐陵市政府、泰山体育官网）。宁津2509家企业构成庞大的商用健身整机制造带，与乐陵共享零部件配套。</w:t>
      </w:r>
    </w:p>
    <w:p>
      <w:pPr>
        <w:spacing w:lineRule="exact" w:line="600" w:before="120" w:after="120"/>
        <w:ind w:firstLine="420"/>
        <w:jc w:val="left"/>
      </w:pPr>
      <w:r>
        <w:rPr>
          <w:rFonts w:ascii="楷体_GB2312" w:hAnsi="楷体_GB2312" w:eastAsia="楷体_GB2312"/>
          <w:b w:val="0"/>
          <w:color w:val="000000"/>
          <w:sz w:val="32"/>
        </w:rPr>
        <w:t>（三）下游渠道与服务</w:t>
      </w:r>
    </w:p>
    <w:p>
      <w:pPr>
        <w:spacing w:lineRule="exact" w:line="600" w:before="0" w:after="0"/>
        <w:ind w:firstLine="420"/>
        <w:jc w:val="both"/>
      </w:pPr>
      <w:r>
        <w:rPr>
          <w:rFonts w:ascii="仿宋_GB2312" w:hAnsi="仿宋_GB2312" w:eastAsia="仿宋_GB2312"/>
          <w:b w:val="0"/>
          <w:color w:val="000000"/>
          <w:sz w:val="32"/>
        </w:rPr>
        <w:t>下游含电商、健身俱乐部、社区与医院康复科室。2023年四大电商平台健身器材销售额161.20亿元，踏步机等中小型器材占比57.24%（来源：中国报告大厅）。体医融合「医院—社区—家庭」三级康复新模式兴起，宝德龙等企业康复训练设备已接入信息系统自动生成康复处方（来源：新华社瞭望2024），为乐陵延伸康复设备提供范本。</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环节</w:t>
            </w:r>
          </w:p>
        </w:tc>
        <w:tc>
          <w:tcPr>
            <w:tcW w:type="dxa" w:w="425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代表</w:t>
            </w:r>
          </w:p>
        </w:tc>
      </w:tr>
      <w:tr>
        <w:tc>
          <w:tcPr>
            <w:tcW w:type="dxa" w:w="1984"/>
          </w:tcPr>
          <w:p>
            <w:pPr>
              <w:spacing w:lineRule="exact" w:line="600"/>
              <w:jc w:val="center"/>
            </w:pPr>
            <w:r/>
            <w:r>
              <w:rPr>
                <w:rFonts w:ascii="仿宋_GB2312" w:hAnsi="仿宋_GB2312" w:eastAsia="仿宋_GB2312"/>
                <w:b w:val="0"/>
                <w:color w:val="000000"/>
                <w:sz w:val="32"/>
              </w:rPr>
              <w:t>上游</w:t>
            </w:r>
          </w:p>
        </w:tc>
        <w:tc>
          <w:tcPr>
            <w:tcW w:type="dxa" w:w="4252"/>
          </w:tcPr>
          <w:p>
            <w:pPr>
              <w:spacing w:lineRule="exact" w:line="600"/>
              <w:jc w:val="center"/>
            </w:pPr>
            <w:r/>
            <w:r>
              <w:rPr>
                <w:rFonts w:ascii="仿宋_GB2312" w:hAnsi="仿宋_GB2312" w:eastAsia="仿宋_GB2312"/>
                <w:b w:val="0"/>
                <w:color w:val="000000"/>
                <w:sz w:val="32"/>
              </w:rPr>
              <w:t>钢材/电机/传感器/芯片</w:t>
            </w:r>
          </w:p>
        </w:tc>
        <w:tc>
          <w:tcPr>
            <w:tcW w:type="dxa" w:w="2835"/>
          </w:tcPr>
          <w:p>
            <w:pPr>
              <w:spacing w:lineRule="exact" w:line="600"/>
              <w:jc w:val="center"/>
            </w:pPr>
            <w:r/>
            <w:r>
              <w:rPr>
                <w:rFonts w:ascii="仿宋_GB2312" w:hAnsi="仿宋_GB2312" w:eastAsia="仿宋_GB2312"/>
                <w:b w:val="0"/>
                <w:color w:val="000000"/>
                <w:sz w:val="32"/>
              </w:rPr>
              <w:t>深圳飞地/省内外配套</w:t>
            </w:r>
          </w:p>
        </w:tc>
      </w:tr>
      <w:tr>
        <w:tc>
          <w:tcPr>
            <w:tcW w:type="dxa" w:w="1984"/>
          </w:tcPr>
          <w:p>
            <w:pPr>
              <w:spacing w:lineRule="exact" w:line="600"/>
              <w:jc w:val="center"/>
            </w:pPr>
            <w:r/>
            <w:r>
              <w:rPr>
                <w:rFonts w:ascii="仿宋_GB2312" w:hAnsi="仿宋_GB2312" w:eastAsia="仿宋_GB2312"/>
                <w:b w:val="0"/>
                <w:color w:val="000000"/>
                <w:sz w:val="32"/>
              </w:rPr>
              <w:t>中游</w:t>
            </w:r>
          </w:p>
        </w:tc>
        <w:tc>
          <w:tcPr>
            <w:tcW w:type="dxa" w:w="4252"/>
          </w:tcPr>
          <w:p>
            <w:pPr>
              <w:spacing w:lineRule="exact" w:line="600"/>
              <w:jc w:val="center"/>
            </w:pPr>
            <w:r/>
            <w:r>
              <w:rPr>
                <w:rFonts w:ascii="仿宋_GB2312" w:hAnsi="仿宋_GB2312" w:eastAsia="仿宋_GB2312"/>
                <w:b w:val="0"/>
                <w:color w:val="000000"/>
                <w:sz w:val="32"/>
              </w:rPr>
              <w:t>智能健身包/健身路径/康复设备</w:t>
            </w:r>
          </w:p>
        </w:tc>
        <w:tc>
          <w:tcPr>
            <w:tcW w:type="dxa" w:w="2835"/>
          </w:tcPr>
          <w:p>
            <w:pPr>
              <w:spacing w:lineRule="exact" w:line="600"/>
              <w:jc w:val="center"/>
            </w:pPr>
            <w:r/>
            <w:r>
              <w:rPr>
                <w:rFonts w:ascii="仿宋_GB2312" w:hAnsi="仿宋_GB2312" w:eastAsia="仿宋_GB2312"/>
                <w:b w:val="0"/>
                <w:color w:val="000000"/>
                <w:sz w:val="32"/>
              </w:rPr>
              <w:t>泰山体育/宁津企业群</w:t>
            </w:r>
          </w:p>
        </w:tc>
      </w:tr>
      <w:tr>
        <w:tc>
          <w:tcPr>
            <w:tcW w:type="dxa" w:w="1984"/>
          </w:tcPr>
          <w:p>
            <w:pPr>
              <w:spacing w:lineRule="exact" w:line="600"/>
              <w:jc w:val="center"/>
            </w:pPr>
            <w:r/>
            <w:r>
              <w:rPr>
                <w:rFonts w:ascii="仿宋_GB2312" w:hAnsi="仿宋_GB2312" w:eastAsia="仿宋_GB2312"/>
                <w:b w:val="0"/>
                <w:color w:val="000000"/>
                <w:sz w:val="32"/>
              </w:rPr>
              <w:t>下游</w:t>
            </w:r>
          </w:p>
        </w:tc>
        <w:tc>
          <w:tcPr>
            <w:tcW w:type="dxa" w:w="4252"/>
          </w:tcPr>
          <w:p>
            <w:pPr>
              <w:spacing w:lineRule="exact" w:line="600"/>
              <w:jc w:val="center"/>
            </w:pPr>
            <w:r/>
            <w:r>
              <w:rPr>
                <w:rFonts w:ascii="仿宋_GB2312" w:hAnsi="仿宋_GB2312" w:eastAsia="仿宋_GB2312"/>
                <w:b w:val="0"/>
                <w:color w:val="000000"/>
                <w:sz w:val="32"/>
              </w:rPr>
              <w:t>电商/俱乐部/康复科室</w:t>
            </w:r>
          </w:p>
        </w:tc>
        <w:tc>
          <w:tcPr>
            <w:tcW w:type="dxa" w:w="2835"/>
          </w:tcPr>
          <w:p>
            <w:pPr>
              <w:spacing w:lineRule="exact" w:line="600"/>
              <w:jc w:val="center"/>
            </w:pPr>
            <w:r/>
            <w:r>
              <w:rPr>
                <w:rFonts w:ascii="仿宋_GB2312" w:hAnsi="仿宋_GB2312" w:eastAsia="仿宋_GB2312"/>
                <w:b w:val="0"/>
                <w:color w:val="000000"/>
                <w:sz w:val="32"/>
              </w:rPr>
              <w:t>四大电商/体医融合</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（一）国内市场规模与结构</w:t>
      </w:r>
    </w:p>
    <w:p>
      <w:pPr>
        <w:spacing w:lineRule="exact" w:line="600" w:before="0" w:after="0"/>
        <w:ind w:firstLine="420"/>
        <w:jc w:val="both"/>
      </w:pPr>
      <w:r>
        <w:rPr>
          <w:rFonts w:ascii="仿宋_GB2312" w:hAnsi="仿宋_GB2312" w:eastAsia="仿宋_GB2312"/>
          <w:b w:val="0"/>
          <w:color w:val="000000"/>
          <w:sz w:val="32"/>
        </w:rPr>
        <w:t>2023年中国健身训练器材市场规模约710.2亿元，预计2029年突破1000亿元（来源：中国报告大厅/宇博智业）。行业产值2023年约512.32亿元、总资产362.31亿元（来源：中国报告大厅）。室内器械为主体，跑步机约占整体16.1%（来源：中研普华），价格2000元以下跑步机销量占比63.98%，普惠型需求旺盛。</w:t>
      </w:r>
    </w:p>
    <w:p>
      <w:pPr>
        <w:spacing w:lineRule="exact" w:line="600" w:before="120" w:after="120"/>
        <w:ind w:firstLine="420"/>
        <w:jc w:val="left"/>
      </w:pPr>
      <w:r>
        <w:rPr>
          <w:rFonts w:ascii="楷体_GB2312" w:hAnsi="楷体_GB2312" w:eastAsia="楷体_GB2312"/>
          <w:b w:val="0"/>
          <w:color w:val="000000"/>
          <w:sz w:val="32"/>
        </w:rPr>
        <w:t>（二）出口竞争力</w:t>
      </w:r>
    </w:p>
    <w:p>
      <w:pPr>
        <w:spacing w:lineRule="exact" w:line="600" w:before="0" w:after="0"/>
        <w:ind w:firstLine="420"/>
        <w:jc w:val="both"/>
      </w:pPr>
      <w:r>
        <w:rPr>
          <w:rFonts w:ascii="仿宋_GB2312" w:hAnsi="仿宋_GB2312" w:eastAsia="仿宋_GB2312"/>
          <w:b w:val="0"/>
          <w:color w:val="000000"/>
          <w:sz w:val="32"/>
        </w:rPr>
        <w:t>中国是全球健身器材重要制造国，2023年1—10月健身器材出口额62.60亿美元，主要出口美国（23.10亿美元）、英国、德国、澳大利亚、日本等（来源：中研普华）。宁津商用健身器材销售份额占国内市场70%以上，远销170多个国家和地区（来源：经济日报2024），乐陵企业借集群协同共享出口渠道。</w:t>
      </w:r>
    </w:p>
    <w:p>
      <w:pPr>
        <w:spacing w:lineRule="exact" w:line="600" w:before="120" w:after="120"/>
        <w:ind w:firstLine="420"/>
        <w:jc w:val="left"/>
      </w:pPr>
      <w:r>
        <w:rPr>
          <w:rFonts w:ascii="楷体_GB2312" w:hAnsi="楷体_GB2312" w:eastAsia="楷体_GB2312"/>
          <w:b w:val="0"/>
          <w:color w:val="000000"/>
          <w:sz w:val="32"/>
        </w:rPr>
        <w:t>（三）竞争格局与品牌短板</w:t>
      </w:r>
    </w:p>
    <w:p>
      <w:pPr>
        <w:spacing w:lineRule="exact" w:line="600" w:before="0" w:after="0"/>
        <w:ind w:firstLine="420"/>
        <w:jc w:val="both"/>
      </w:pPr>
      <w:r>
        <w:rPr>
          <w:rFonts w:ascii="仿宋_GB2312" w:hAnsi="仿宋_GB2312" w:eastAsia="仿宋_GB2312"/>
          <w:b w:val="0"/>
          <w:color w:val="000000"/>
          <w:sz w:val="32"/>
        </w:rPr>
        <w:t>国内企业数量众多但国际知名品牌少，多为境外品牌代工（来源：中研普华）。乐陵泰山体育以赛事级品质向民用渗透，但C端品牌认知与渠道弱于专业健身品牌；宁津商用健身占国内七成，乐陵宜差异化切入智能家用与康复细分。</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训练器材市场</w:t>
            </w:r>
          </w:p>
        </w:tc>
        <w:tc>
          <w:tcPr>
            <w:tcW w:type="dxa" w:w="3118"/>
          </w:tcPr>
          <w:p>
            <w:pPr>
              <w:spacing w:lineRule="exact" w:line="600"/>
              <w:jc w:val="center"/>
            </w:pPr>
            <w:r/>
            <w:r>
              <w:rPr>
                <w:rFonts w:ascii="仿宋_GB2312" w:hAnsi="仿宋_GB2312" w:eastAsia="仿宋_GB2312"/>
                <w:b w:val="0"/>
                <w:color w:val="000000"/>
                <w:sz w:val="32"/>
              </w:rPr>
              <w:t>710.2亿元（2023）</w:t>
            </w:r>
          </w:p>
        </w:tc>
        <w:tc>
          <w:tcPr>
            <w:tcW w:type="dxa" w:w="3402"/>
          </w:tcPr>
          <w:p>
            <w:pPr>
              <w:spacing w:lineRule="exact" w:line="600"/>
              <w:jc w:val="center"/>
            </w:pPr>
            <w:r/>
            <w:r>
              <w:rPr>
                <w:rFonts w:ascii="仿宋_GB2312" w:hAnsi="仿宋_GB2312" w:eastAsia="仿宋_GB2312"/>
                <w:b w:val="0"/>
                <w:color w:val="000000"/>
                <w:sz w:val="32"/>
              </w:rPr>
              <w:t>中国报告大厅</w:t>
            </w:r>
          </w:p>
        </w:tc>
      </w:tr>
      <w:tr>
        <w:tc>
          <w:tcPr>
            <w:tcW w:type="dxa" w:w="2551"/>
          </w:tcPr>
          <w:p>
            <w:pPr>
              <w:spacing w:lineRule="exact" w:line="600"/>
              <w:jc w:val="center"/>
            </w:pPr>
            <w:r/>
            <w:r>
              <w:rPr>
                <w:rFonts w:ascii="仿宋_GB2312" w:hAnsi="仿宋_GB2312" w:eastAsia="仿宋_GB2312"/>
                <w:b w:val="0"/>
                <w:color w:val="000000"/>
                <w:sz w:val="32"/>
              </w:rPr>
              <w:t>行业产值/资产</w:t>
            </w:r>
          </w:p>
        </w:tc>
        <w:tc>
          <w:tcPr>
            <w:tcW w:type="dxa" w:w="3118"/>
          </w:tcPr>
          <w:p>
            <w:pPr>
              <w:spacing w:lineRule="exact" w:line="600"/>
              <w:jc w:val="center"/>
            </w:pPr>
            <w:r/>
            <w:r>
              <w:rPr>
                <w:rFonts w:ascii="仿宋_GB2312" w:hAnsi="仿宋_GB2312" w:eastAsia="仿宋_GB2312"/>
                <w:b w:val="0"/>
                <w:color w:val="000000"/>
                <w:sz w:val="32"/>
              </w:rPr>
              <w:t>512.32亿/362.31亿</w:t>
            </w:r>
          </w:p>
        </w:tc>
        <w:tc>
          <w:tcPr>
            <w:tcW w:type="dxa" w:w="3402"/>
          </w:tcPr>
          <w:p>
            <w:pPr>
              <w:spacing w:lineRule="exact" w:line="600"/>
              <w:jc w:val="center"/>
            </w:pPr>
            <w:r/>
            <w:r>
              <w:rPr>
                <w:rFonts w:ascii="仿宋_GB2312" w:hAnsi="仿宋_GB2312" w:eastAsia="仿宋_GB2312"/>
                <w:b w:val="0"/>
                <w:color w:val="000000"/>
                <w:sz w:val="32"/>
              </w:rPr>
              <w:t>中国报告大厅</w:t>
            </w:r>
          </w:p>
        </w:tc>
      </w:tr>
      <w:tr>
        <w:tc>
          <w:tcPr>
            <w:tcW w:type="dxa" w:w="2551"/>
          </w:tcPr>
          <w:p>
            <w:pPr>
              <w:spacing w:lineRule="exact" w:line="600"/>
              <w:jc w:val="center"/>
            </w:pPr>
            <w:r/>
            <w:r>
              <w:rPr>
                <w:rFonts w:ascii="仿宋_GB2312" w:hAnsi="仿宋_GB2312" w:eastAsia="仿宋_GB2312"/>
                <w:b w:val="0"/>
                <w:color w:val="000000"/>
                <w:sz w:val="32"/>
              </w:rPr>
              <w:t>出口额(1-10月)</w:t>
            </w:r>
          </w:p>
        </w:tc>
        <w:tc>
          <w:tcPr>
            <w:tcW w:type="dxa" w:w="3118"/>
          </w:tcPr>
          <w:p>
            <w:pPr>
              <w:spacing w:lineRule="exact" w:line="600"/>
              <w:jc w:val="center"/>
            </w:pPr>
            <w:r/>
            <w:r>
              <w:rPr>
                <w:rFonts w:ascii="仿宋_GB2312" w:hAnsi="仿宋_GB2312" w:eastAsia="仿宋_GB2312"/>
                <w:b w:val="0"/>
                <w:color w:val="000000"/>
                <w:sz w:val="32"/>
              </w:rPr>
              <w:t>62.60亿美元</w:t>
            </w:r>
          </w:p>
        </w:tc>
        <w:tc>
          <w:tcPr>
            <w:tcW w:type="dxa" w:w="3402"/>
          </w:tcPr>
          <w:p>
            <w:pPr>
              <w:spacing w:lineRule="exact" w:line="600"/>
              <w:jc w:val="center"/>
            </w:pPr>
            <w:r/>
            <w:r>
              <w:rPr>
                <w:rFonts w:ascii="仿宋_GB2312" w:hAnsi="仿宋_GB2312" w:eastAsia="仿宋_GB2312"/>
                <w:b w:val="0"/>
                <w:color w:val="000000"/>
                <w:sz w:val="32"/>
              </w:rPr>
              <w:t>中研普华</w:t>
            </w:r>
          </w:p>
        </w:tc>
      </w:tr>
      <w:tr>
        <w:tc>
          <w:tcPr>
            <w:tcW w:type="dxa" w:w="2551"/>
          </w:tcPr>
          <w:p>
            <w:pPr>
              <w:spacing w:lineRule="exact" w:line="600"/>
              <w:jc w:val="center"/>
            </w:pPr>
            <w:r/>
            <w:r>
              <w:rPr>
                <w:rFonts w:ascii="仿宋_GB2312" w:hAnsi="仿宋_GB2312" w:eastAsia="仿宋_GB2312"/>
                <w:b w:val="0"/>
                <w:color w:val="000000"/>
                <w:sz w:val="32"/>
              </w:rPr>
              <w:t>商用健身国内份额</w:t>
            </w:r>
          </w:p>
        </w:tc>
        <w:tc>
          <w:tcPr>
            <w:tcW w:type="dxa" w:w="3118"/>
          </w:tcPr>
          <w:p>
            <w:pPr>
              <w:spacing w:lineRule="exact" w:line="600"/>
              <w:jc w:val="center"/>
            </w:pPr>
            <w:r/>
            <w:r>
              <w:rPr>
                <w:rFonts w:ascii="仿宋_GB2312" w:hAnsi="仿宋_GB2312" w:eastAsia="仿宋_GB2312"/>
                <w:b w:val="0"/>
                <w:color w:val="000000"/>
                <w:sz w:val="32"/>
              </w:rPr>
              <w:t>70%以上（宁津）</w:t>
            </w:r>
          </w:p>
        </w:tc>
        <w:tc>
          <w:tcPr>
            <w:tcW w:type="dxa" w:w="3402"/>
          </w:tcPr>
          <w:p>
            <w:pPr>
              <w:spacing w:lineRule="exact" w:line="600"/>
              <w:jc w:val="center"/>
            </w:pPr>
            <w:r/>
            <w:r>
              <w:rPr>
                <w:rFonts w:ascii="仿宋_GB2312" w:hAnsi="仿宋_GB2312" w:eastAsia="仿宋_GB2312"/>
                <w:b w:val="0"/>
                <w:color w:val="000000"/>
                <w:sz w:val="32"/>
              </w:rPr>
              <w:t>经济日报2024</w:t>
            </w:r>
          </w:p>
        </w:tc>
      </w:tr>
      <w:tr>
        <w:tc>
          <w:tcPr>
            <w:tcW w:type="dxa" w:w="2551"/>
          </w:tcPr>
          <w:p>
            <w:pPr>
              <w:spacing w:lineRule="exact" w:line="600"/>
              <w:jc w:val="center"/>
            </w:pPr>
            <w:r/>
            <w:r>
              <w:rPr>
                <w:rFonts w:ascii="仿宋_GB2312" w:hAnsi="仿宋_GB2312" w:eastAsia="仿宋_GB2312"/>
                <w:b w:val="0"/>
                <w:color w:val="000000"/>
                <w:sz w:val="32"/>
              </w:rPr>
              <w:t>电商销售额</w:t>
            </w:r>
          </w:p>
        </w:tc>
        <w:tc>
          <w:tcPr>
            <w:tcW w:type="dxa" w:w="3118"/>
          </w:tcPr>
          <w:p>
            <w:pPr>
              <w:spacing w:lineRule="exact" w:line="600"/>
              <w:jc w:val="center"/>
            </w:pPr>
            <w:r/>
            <w:r>
              <w:rPr>
                <w:rFonts w:ascii="仿宋_GB2312" w:hAnsi="仿宋_GB2312" w:eastAsia="仿宋_GB2312"/>
                <w:b w:val="0"/>
                <w:color w:val="000000"/>
                <w:sz w:val="32"/>
              </w:rPr>
              <w:t>161.20亿元</w:t>
            </w:r>
          </w:p>
        </w:tc>
        <w:tc>
          <w:tcPr>
            <w:tcW w:type="dxa" w:w="3402"/>
          </w:tcPr>
          <w:p>
            <w:pPr>
              <w:spacing w:lineRule="exact" w:line="600"/>
              <w:jc w:val="center"/>
            </w:pPr>
            <w:r/>
            <w:r>
              <w:rPr>
                <w:rFonts w:ascii="仿宋_GB2312" w:hAnsi="仿宋_GB2312" w:eastAsia="仿宋_GB2312"/>
                <w:b w:val="0"/>
                <w:color w:val="000000"/>
                <w:sz w:val="32"/>
              </w:rPr>
              <w:t>中国报告大厅</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（一）乐陵健身器材主体</w:t>
      </w:r>
    </w:p>
    <w:p>
      <w:pPr>
        <w:spacing w:lineRule="exact" w:line="600" w:before="0" w:after="0"/>
        <w:ind w:firstLine="420"/>
        <w:jc w:val="both"/>
      </w:pPr>
      <w:r>
        <w:rPr>
          <w:rFonts w:ascii="仿宋_GB2312" w:hAnsi="仿宋_GB2312" w:eastAsia="仿宋_GB2312"/>
          <w:b w:val="0"/>
          <w:color w:val="000000"/>
          <w:sz w:val="32"/>
        </w:rPr>
        <w:t>乐陵健身器材以泰山体育为核心：家庭智能健身包（年产200万套）、健身路径、爱动在线智能健身系统构成产品矩阵；乾亿健康、勇剑体育等16家健身工程类企业补充健身路径与场地配套（来源：乐陵市政府）。整体规模小于宁津商用健身带，但品质与智能化定位较高。</w:t>
      </w:r>
    </w:p>
    <w:p>
      <w:pPr>
        <w:spacing w:lineRule="exact" w:line="600" w:before="120" w:after="120"/>
        <w:ind w:firstLine="420"/>
        <w:jc w:val="left"/>
      </w:pPr>
      <w:r>
        <w:rPr>
          <w:rFonts w:ascii="楷体_GB2312" w:hAnsi="楷体_GB2312" w:eastAsia="楷体_GB2312"/>
          <w:b w:val="0"/>
          <w:color w:val="000000"/>
          <w:sz w:val="32"/>
        </w:rPr>
        <w:t>（二）链主企业泰山体育</w:t>
      </w:r>
    </w:p>
    <w:p>
      <w:pPr>
        <w:spacing w:lineRule="exact" w:line="600" w:before="0" w:after="0"/>
        <w:ind w:firstLine="420"/>
        <w:jc w:val="both"/>
      </w:pPr>
      <w:r>
        <w:rPr>
          <w:rFonts w:ascii="仿宋_GB2312" w:hAnsi="仿宋_GB2312" w:eastAsia="仿宋_GB2312"/>
          <w:b w:val="0"/>
          <w:color w:val="000000"/>
          <w:sz w:val="32"/>
        </w:rPr>
        <w:t>泰山体育将竞技器材技术向民用转化，智能健身包融合运动芯片与数据服务，碳纤维自行车（瑞豹）延伸运动健身场景。2025年营业收入117.64亿元、品牌价值263亿元，研发人员1000多人（来源：百度百科、大众网2024）。智能健身包项目是乐陵健身器材产能核心载体。</w:t>
      </w:r>
    </w:p>
    <w:p>
      <w:pPr>
        <w:spacing w:lineRule="exact" w:line="600" w:before="120" w:after="120"/>
        <w:ind w:firstLine="420"/>
        <w:jc w:val="left"/>
      </w:pPr>
      <w:r>
        <w:rPr>
          <w:rFonts w:ascii="楷体_GB2312" w:hAnsi="楷体_GB2312" w:eastAsia="楷体_GB2312"/>
          <w:b w:val="0"/>
          <w:color w:val="000000"/>
          <w:sz w:val="32"/>
        </w:rPr>
        <w:t>（三）区域协同与配套</w:t>
      </w:r>
    </w:p>
    <w:p>
      <w:pPr>
        <w:spacing w:lineRule="exact" w:line="600" w:before="0" w:after="0"/>
        <w:ind w:firstLine="420"/>
        <w:jc w:val="both"/>
      </w:pPr>
      <w:r>
        <w:rPr>
          <w:rFonts w:ascii="仿宋_GB2312" w:hAnsi="仿宋_GB2312" w:eastAsia="仿宋_GB2312"/>
          <w:b w:val="0"/>
          <w:color w:val="000000"/>
          <w:sz w:val="32"/>
        </w:rPr>
        <w:t>宁津2509家健身企业、从业人员超3万人，为乐陵提供零部件与代工协同（来源：新华社瞭望2024）。迈宝赫等宁津龙头通过数字化使综合生产效率提升20%、非计划停机减少10%，为乐陵企业智能化改造提供可借鉴样本。</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企业/区域</w:t>
            </w:r>
          </w:p>
        </w:tc>
        <w:tc>
          <w:tcPr>
            <w:tcW w:type="dxa" w:w="3118"/>
          </w:tcPr>
          <w:p>
            <w:pPr>
              <w:spacing w:lineRule="exact" w:line="600"/>
              <w:jc w:val="center"/>
            </w:pPr>
            <w:r/>
            <w:r>
              <w:rPr>
                <w:rFonts w:ascii="黑体" w:hAnsi="黑体" w:eastAsia="黑体"/>
                <w:b/>
                <w:color w:val="000000"/>
                <w:sz w:val="32"/>
              </w:rPr>
              <w:t>主营</w:t>
            </w:r>
          </w:p>
        </w:tc>
        <w:tc>
          <w:tcPr>
            <w:tcW w:type="dxa" w:w="3685"/>
          </w:tcPr>
          <w:p>
            <w:pPr>
              <w:spacing w:lineRule="exact" w:line="600"/>
              <w:jc w:val="center"/>
            </w:pPr>
            <w:r/>
            <w:r>
              <w:rPr>
                <w:rFonts w:ascii="黑体" w:hAnsi="黑体" w:eastAsia="黑体"/>
                <w:b/>
                <w:color w:val="000000"/>
                <w:sz w:val="32"/>
              </w:rPr>
              <w:t>关键数据</w:t>
            </w:r>
          </w:p>
        </w:tc>
      </w:tr>
      <w:tr>
        <w:tc>
          <w:tcPr>
            <w:tcW w:type="dxa" w:w="2268"/>
          </w:tcPr>
          <w:p>
            <w:pPr>
              <w:spacing w:lineRule="exact" w:line="600"/>
              <w:jc w:val="center"/>
            </w:pPr>
            <w:r/>
            <w:r>
              <w:rPr>
                <w:rFonts w:ascii="仿宋_GB2312" w:hAnsi="仿宋_GB2312" w:eastAsia="仿宋_GB2312"/>
                <w:b w:val="0"/>
                <w:color w:val="000000"/>
                <w:sz w:val="32"/>
              </w:rPr>
              <w:t>泰山体育（乐陵）</w:t>
            </w:r>
          </w:p>
        </w:tc>
        <w:tc>
          <w:tcPr>
            <w:tcW w:type="dxa" w:w="3118"/>
          </w:tcPr>
          <w:p>
            <w:pPr>
              <w:spacing w:lineRule="exact" w:line="600"/>
              <w:jc w:val="center"/>
            </w:pPr>
            <w:r/>
            <w:r>
              <w:rPr>
                <w:rFonts w:ascii="仿宋_GB2312" w:hAnsi="仿宋_GB2312" w:eastAsia="仿宋_GB2312"/>
                <w:b w:val="0"/>
                <w:color w:val="000000"/>
                <w:sz w:val="32"/>
              </w:rPr>
              <w:t>智能健身包/健身路径</w:t>
            </w:r>
          </w:p>
        </w:tc>
        <w:tc>
          <w:tcPr>
            <w:tcW w:type="dxa" w:w="3685"/>
          </w:tcPr>
          <w:p>
            <w:pPr>
              <w:spacing w:lineRule="exact" w:line="600"/>
              <w:jc w:val="center"/>
            </w:pPr>
            <w:r/>
            <w:r>
              <w:rPr>
                <w:rFonts w:ascii="仿宋_GB2312" w:hAnsi="仿宋_GB2312" w:eastAsia="仿宋_GB2312"/>
                <w:b w:val="0"/>
                <w:color w:val="000000"/>
                <w:sz w:val="32"/>
              </w:rPr>
              <w:t>200万套/年项目</w:t>
            </w:r>
          </w:p>
        </w:tc>
      </w:tr>
      <w:tr>
        <w:tc>
          <w:tcPr>
            <w:tcW w:type="dxa" w:w="2268"/>
          </w:tcPr>
          <w:p>
            <w:pPr>
              <w:spacing w:lineRule="exact" w:line="600"/>
              <w:jc w:val="center"/>
            </w:pPr>
            <w:r/>
            <w:r>
              <w:rPr>
                <w:rFonts w:ascii="仿宋_GB2312" w:hAnsi="仿宋_GB2312" w:eastAsia="仿宋_GB2312"/>
                <w:b w:val="0"/>
                <w:color w:val="000000"/>
                <w:sz w:val="32"/>
              </w:rPr>
              <w:t>宁津企业群</w:t>
            </w:r>
          </w:p>
        </w:tc>
        <w:tc>
          <w:tcPr>
            <w:tcW w:type="dxa" w:w="3118"/>
          </w:tcPr>
          <w:p>
            <w:pPr>
              <w:spacing w:lineRule="exact" w:line="600"/>
              <w:jc w:val="center"/>
            </w:pPr>
            <w:r/>
            <w:r>
              <w:rPr>
                <w:rFonts w:ascii="仿宋_GB2312" w:hAnsi="仿宋_GB2312" w:eastAsia="仿宋_GB2312"/>
                <w:b w:val="0"/>
                <w:color w:val="000000"/>
                <w:sz w:val="32"/>
              </w:rPr>
              <w:t>商用健身器材</w:t>
            </w:r>
          </w:p>
        </w:tc>
        <w:tc>
          <w:tcPr>
            <w:tcW w:type="dxa" w:w="3685"/>
          </w:tcPr>
          <w:p>
            <w:pPr>
              <w:spacing w:lineRule="exact" w:line="600"/>
              <w:jc w:val="center"/>
            </w:pPr>
            <w:r/>
            <w:r>
              <w:rPr>
                <w:rFonts w:ascii="仿宋_GB2312" w:hAnsi="仿宋_GB2312" w:eastAsia="仿宋_GB2312"/>
                <w:b w:val="0"/>
                <w:color w:val="000000"/>
                <w:sz w:val="32"/>
              </w:rPr>
              <w:t>2509家/120亿</w:t>
            </w:r>
          </w:p>
        </w:tc>
      </w:tr>
      <w:tr>
        <w:tc>
          <w:tcPr>
            <w:tcW w:type="dxa" w:w="2268"/>
          </w:tcPr>
          <w:p>
            <w:pPr>
              <w:spacing w:lineRule="exact" w:line="600"/>
              <w:jc w:val="center"/>
            </w:pPr>
            <w:r/>
            <w:r>
              <w:rPr>
                <w:rFonts w:ascii="仿宋_GB2312" w:hAnsi="仿宋_GB2312" w:eastAsia="仿宋_GB2312"/>
                <w:b w:val="0"/>
                <w:color w:val="000000"/>
                <w:sz w:val="32"/>
              </w:rPr>
              <w:t>乾亿健康等</w:t>
            </w:r>
          </w:p>
        </w:tc>
        <w:tc>
          <w:tcPr>
            <w:tcW w:type="dxa" w:w="3118"/>
          </w:tcPr>
          <w:p>
            <w:pPr>
              <w:spacing w:lineRule="exact" w:line="600"/>
              <w:jc w:val="center"/>
            </w:pPr>
            <w:r/>
            <w:r>
              <w:rPr>
                <w:rFonts w:ascii="仿宋_GB2312" w:hAnsi="仿宋_GB2312" w:eastAsia="仿宋_GB2312"/>
                <w:b w:val="0"/>
                <w:color w:val="000000"/>
                <w:sz w:val="32"/>
              </w:rPr>
              <w:t>健身工程配套</w:t>
            </w:r>
          </w:p>
        </w:tc>
        <w:tc>
          <w:tcPr>
            <w:tcW w:type="dxa" w:w="3685"/>
          </w:tcPr>
          <w:p>
            <w:pPr>
              <w:spacing w:lineRule="exact" w:line="600"/>
              <w:jc w:val="center"/>
            </w:pPr>
            <w:r/>
            <w:r>
              <w:rPr>
                <w:rFonts w:ascii="仿宋_GB2312" w:hAnsi="仿宋_GB2312" w:eastAsia="仿宋_GB2312"/>
                <w:b w:val="0"/>
                <w:color w:val="000000"/>
                <w:sz w:val="32"/>
              </w:rPr>
              <w:t>16家工程类企业</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（一）智能传感与芯片</w:t>
      </w:r>
    </w:p>
    <w:p>
      <w:pPr>
        <w:spacing w:lineRule="exact" w:line="600" w:before="0" w:after="0"/>
        <w:ind w:firstLine="420"/>
        <w:jc w:val="both"/>
      </w:pPr>
      <w:r>
        <w:rPr>
          <w:rFonts w:ascii="仿宋_GB2312" w:hAnsi="仿宋_GB2312" w:eastAsia="仿宋_GB2312"/>
          <w:b w:val="0"/>
          <w:color w:val="000000"/>
          <w:sz w:val="32"/>
        </w:rPr>
        <w:t>泰山体育自主研发的运动芯片可快速捕捉识别人体运动，运用于体测机与健身器材，在方案成本、识别精度与抗干扰方面全国领先（来源：大众网2024-05）。这为智能健身包提供「硬件+数据」核心能力，区别于传统机械健身器材。</w:t>
      </w:r>
    </w:p>
    <w:p>
      <w:pPr>
        <w:spacing w:lineRule="exact" w:line="600" w:before="120" w:after="120"/>
        <w:ind w:firstLine="420"/>
        <w:jc w:val="left"/>
      </w:pPr>
      <w:r>
        <w:rPr>
          <w:rFonts w:ascii="楷体_GB2312" w:hAnsi="楷体_GB2312" w:eastAsia="楷体_GB2312"/>
          <w:b w:val="0"/>
          <w:color w:val="000000"/>
          <w:sz w:val="32"/>
        </w:rPr>
        <w:t>（二）材料与工艺</w:t>
      </w:r>
    </w:p>
    <w:p>
      <w:pPr>
        <w:spacing w:lineRule="exact" w:line="600" w:before="0" w:after="0"/>
        <w:ind w:firstLine="420"/>
        <w:jc w:val="both"/>
      </w:pPr>
      <w:r>
        <w:rPr>
          <w:rFonts w:ascii="仿宋_GB2312" w:hAnsi="仿宋_GB2312" w:eastAsia="仿宋_GB2312"/>
          <w:b w:val="0"/>
          <w:color w:val="000000"/>
          <w:sz w:val="32"/>
        </w:rPr>
        <w:t>碳纤维、复合材料在高端健身车与康复器械中的应用提升轻量化与耐用性；泰山瑞豹碳纤维技术可向康复轮椅、训练器械迁移。乐陵企业普遍通过国际认证体系（全市100多项产品通过国际认证）保障品质（来源：乐陵市政府）。</w:t>
      </w:r>
    </w:p>
    <w:p>
      <w:pPr>
        <w:spacing w:lineRule="exact" w:line="600" w:before="120" w:after="120"/>
        <w:ind w:firstLine="420"/>
        <w:jc w:val="left"/>
      </w:pPr>
      <w:r>
        <w:rPr>
          <w:rFonts w:ascii="楷体_GB2312" w:hAnsi="楷体_GB2312" w:eastAsia="楷体_GB2312"/>
          <w:b w:val="0"/>
          <w:color w:val="000000"/>
          <w:sz w:val="32"/>
        </w:rPr>
        <w:t>（三）体医融合创新</w:t>
      </w:r>
    </w:p>
    <w:p>
      <w:pPr>
        <w:spacing w:lineRule="exact" w:line="600" w:before="0" w:after="0"/>
        <w:ind w:firstLine="420"/>
        <w:jc w:val="both"/>
      </w:pPr>
      <w:r>
        <w:rPr>
          <w:rFonts w:ascii="仿宋_GB2312" w:hAnsi="仿宋_GB2312" w:eastAsia="仿宋_GB2312"/>
          <w:b w:val="0"/>
          <w:color w:val="000000"/>
          <w:sz w:val="32"/>
        </w:rPr>
        <w:t>康复训练设备向「设备+信息系统」升级，输入患者数据自动生成康复处方，探索医院—社区—家庭三级联动慢病预防康复模式（来源：新华社瞭望2024）。乐陵可依托泰山体育研发平台切入康复医疗器械，但需补强医疗器械注册与临床资质。</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技术</w:t>
            </w:r>
          </w:p>
        </w:tc>
        <w:tc>
          <w:tcPr>
            <w:tcW w:type="dxa" w:w="3685"/>
          </w:tcPr>
          <w:p>
            <w:pPr>
              <w:spacing w:lineRule="exact" w:line="600"/>
              <w:jc w:val="center"/>
            </w:pPr>
            <w:r/>
            <w:r>
              <w:rPr>
                <w:rFonts w:ascii="黑体" w:hAnsi="黑体" w:eastAsia="黑体"/>
                <w:b/>
                <w:color w:val="000000"/>
                <w:sz w:val="32"/>
              </w:rPr>
              <w:t>应用</w:t>
            </w:r>
          </w:p>
        </w:tc>
        <w:tc>
          <w:tcPr>
            <w:tcW w:type="dxa" w:w="3118"/>
          </w:tcPr>
          <w:p>
            <w:pPr>
              <w:spacing w:lineRule="exact" w:line="600"/>
              <w:jc w:val="center"/>
            </w:pPr>
            <w:r/>
            <w:r>
              <w:rPr>
                <w:rFonts w:ascii="黑体" w:hAnsi="黑体" w:eastAsia="黑体"/>
                <w:b/>
                <w:color w:val="000000"/>
                <w:sz w:val="32"/>
              </w:rPr>
              <w:t>水平</w:t>
            </w:r>
          </w:p>
        </w:tc>
      </w:tr>
      <w:tr>
        <w:tc>
          <w:tcPr>
            <w:tcW w:type="dxa" w:w="2268"/>
          </w:tcPr>
          <w:p>
            <w:pPr>
              <w:spacing w:lineRule="exact" w:line="600"/>
              <w:jc w:val="center"/>
            </w:pPr>
            <w:r/>
            <w:r>
              <w:rPr>
                <w:rFonts w:ascii="仿宋_GB2312" w:hAnsi="仿宋_GB2312" w:eastAsia="仿宋_GB2312"/>
                <w:b w:val="0"/>
                <w:color w:val="000000"/>
                <w:sz w:val="32"/>
              </w:rPr>
              <w:t>运动芯片</w:t>
            </w:r>
          </w:p>
        </w:tc>
        <w:tc>
          <w:tcPr>
            <w:tcW w:type="dxa" w:w="3685"/>
          </w:tcPr>
          <w:p>
            <w:pPr>
              <w:spacing w:lineRule="exact" w:line="600"/>
              <w:jc w:val="center"/>
            </w:pPr>
            <w:r/>
            <w:r>
              <w:rPr>
                <w:rFonts w:ascii="仿宋_GB2312" w:hAnsi="仿宋_GB2312" w:eastAsia="仿宋_GB2312"/>
                <w:b w:val="0"/>
                <w:color w:val="000000"/>
                <w:sz w:val="32"/>
              </w:rPr>
              <w:t>体测机/健身器材</w:t>
            </w:r>
          </w:p>
        </w:tc>
        <w:tc>
          <w:tcPr>
            <w:tcW w:type="dxa" w:w="3118"/>
          </w:tcPr>
          <w:p>
            <w:pPr>
              <w:spacing w:lineRule="exact" w:line="600"/>
              <w:jc w:val="center"/>
            </w:pPr>
            <w:r/>
            <w:r>
              <w:rPr>
                <w:rFonts w:ascii="仿宋_GB2312" w:hAnsi="仿宋_GB2312" w:eastAsia="仿宋_GB2312"/>
                <w:b w:val="0"/>
                <w:color w:val="000000"/>
                <w:sz w:val="32"/>
              </w:rPr>
              <w:t>全国领先</w:t>
            </w:r>
          </w:p>
        </w:tc>
      </w:tr>
      <w:tr>
        <w:tc>
          <w:tcPr>
            <w:tcW w:type="dxa" w:w="2268"/>
          </w:tcPr>
          <w:p>
            <w:pPr>
              <w:spacing w:lineRule="exact" w:line="600"/>
              <w:jc w:val="center"/>
            </w:pPr>
            <w:r/>
            <w:r>
              <w:rPr>
                <w:rFonts w:ascii="仿宋_GB2312" w:hAnsi="仿宋_GB2312" w:eastAsia="仿宋_GB2312"/>
                <w:b w:val="0"/>
                <w:color w:val="000000"/>
                <w:sz w:val="32"/>
              </w:rPr>
              <w:t>碳纤维复材</w:t>
            </w:r>
          </w:p>
        </w:tc>
        <w:tc>
          <w:tcPr>
            <w:tcW w:type="dxa" w:w="3685"/>
          </w:tcPr>
          <w:p>
            <w:pPr>
              <w:spacing w:lineRule="exact" w:line="600"/>
              <w:jc w:val="center"/>
            </w:pPr>
            <w:r/>
            <w:r>
              <w:rPr>
                <w:rFonts w:ascii="仿宋_GB2312" w:hAnsi="仿宋_GB2312" w:eastAsia="仿宋_GB2312"/>
                <w:b w:val="0"/>
                <w:color w:val="000000"/>
                <w:sz w:val="32"/>
              </w:rPr>
              <w:t>健身车/康复器械</w:t>
            </w:r>
          </w:p>
        </w:tc>
        <w:tc>
          <w:tcPr>
            <w:tcW w:type="dxa" w:w="3118"/>
          </w:tcPr>
          <w:p>
            <w:pPr>
              <w:spacing w:lineRule="exact" w:line="600"/>
              <w:jc w:val="center"/>
            </w:pPr>
            <w:r/>
            <w:r>
              <w:rPr>
                <w:rFonts w:ascii="仿宋_GB2312" w:hAnsi="仿宋_GB2312" w:eastAsia="仿宋_GB2312"/>
                <w:b w:val="0"/>
                <w:color w:val="000000"/>
                <w:sz w:val="32"/>
              </w:rPr>
              <w:t>国际先进</w:t>
            </w:r>
          </w:p>
        </w:tc>
      </w:tr>
      <w:tr>
        <w:tc>
          <w:tcPr>
            <w:tcW w:type="dxa" w:w="2268"/>
          </w:tcPr>
          <w:p>
            <w:pPr>
              <w:spacing w:lineRule="exact" w:line="600"/>
              <w:jc w:val="center"/>
            </w:pPr>
            <w:r/>
            <w:r>
              <w:rPr>
                <w:rFonts w:ascii="仿宋_GB2312" w:hAnsi="仿宋_GB2312" w:eastAsia="仿宋_GB2312"/>
                <w:b w:val="0"/>
                <w:color w:val="000000"/>
                <w:sz w:val="32"/>
              </w:rPr>
              <w:t>康复信息系统</w:t>
            </w:r>
          </w:p>
        </w:tc>
        <w:tc>
          <w:tcPr>
            <w:tcW w:type="dxa" w:w="3685"/>
          </w:tcPr>
          <w:p>
            <w:pPr>
              <w:spacing w:lineRule="exact" w:line="600"/>
              <w:jc w:val="center"/>
            </w:pPr>
            <w:r/>
            <w:r>
              <w:rPr>
                <w:rFonts w:ascii="仿宋_GB2312" w:hAnsi="仿宋_GB2312" w:eastAsia="仿宋_GB2312"/>
                <w:b w:val="0"/>
                <w:color w:val="000000"/>
                <w:sz w:val="32"/>
              </w:rPr>
              <w:t>体医融合处方</w:t>
            </w:r>
          </w:p>
        </w:tc>
        <w:tc>
          <w:tcPr>
            <w:tcW w:type="dxa" w:w="3118"/>
          </w:tcPr>
          <w:p>
            <w:pPr>
              <w:spacing w:lineRule="exact" w:line="600"/>
              <w:jc w:val="center"/>
            </w:pPr>
            <w:r/>
            <w:r>
              <w:rPr>
                <w:rFonts w:ascii="仿宋_GB2312" w:hAnsi="仿宋_GB2312" w:eastAsia="仿宋_GB2312"/>
                <w:b w:val="0"/>
                <w:color w:val="000000"/>
                <w:sz w:val="32"/>
              </w:rPr>
              <w:t>行业新兴</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健身器材成本以钢材、电机、电子件为主，规模效应显著。宁津企业通过云平台与数字化使综合生产效率提升20%、节省人工成本300余万元/年（来源：新华社瞭望2024），说明智能制造可明显降本，乐陵企业可借鉴。</w:t>
      </w:r>
    </w:p>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乐陵规上体育企业2023年H1营业收入54.63亿元、利润7.46亿元，净利率约13.6%（来源：中国发展网2024）。健身器材作为其中组成部分，受益于智能化溢价；宁津企业出口订单2023年增七成、日接新单300台以上，景气度高（来源：大众网2024）。</w:t>
      </w:r>
    </w:p>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用工方面宁津从业人员超3万人，乐陵依托产业园与产学研基地保障制造与研发人力；用地由泰山（国际）产业园3885亩统筹。主要短板在康复医疗器械专业人才与高端传感器供应链（行业共性研判）。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3402"/>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乐陵H1营收/利润</w:t>
            </w:r>
          </w:p>
        </w:tc>
        <w:tc>
          <w:tcPr>
            <w:tcW w:type="dxa" w:w="3118"/>
          </w:tcPr>
          <w:p>
            <w:pPr>
              <w:spacing w:lineRule="exact" w:line="600"/>
              <w:jc w:val="center"/>
            </w:pPr>
            <w:r/>
            <w:r>
              <w:rPr>
                <w:rFonts w:ascii="仿宋_GB2312" w:hAnsi="仿宋_GB2312" w:eastAsia="仿宋_GB2312"/>
                <w:b w:val="0"/>
                <w:color w:val="000000"/>
                <w:sz w:val="32"/>
              </w:rPr>
              <w:t>54.63亿/7.46亿</w:t>
            </w:r>
          </w:p>
        </w:tc>
        <w:tc>
          <w:tcPr>
            <w:tcW w:type="dxa" w:w="3402"/>
          </w:tcPr>
          <w:p>
            <w:pPr>
              <w:spacing w:lineRule="exact" w:line="600"/>
              <w:jc w:val="center"/>
            </w:pPr>
            <w:r/>
            <w:r>
              <w:rPr>
                <w:rFonts w:ascii="仿宋_GB2312" w:hAnsi="仿宋_GB2312" w:eastAsia="仿宋_GB2312"/>
                <w:b w:val="0"/>
                <w:color w:val="000000"/>
                <w:sz w:val="32"/>
              </w:rPr>
              <w:t>中国发展网2024</w:t>
            </w:r>
          </w:p>
        </w:tc>
      </w:tr>
      <w:tr>
        <w:tc>
          <w:tcPr>
            <w:tcW w:type="dxa" w:w="2551"/>
          </w:tcPr>
          <w:p>
            <w:pPr>
              <w:spacing w:lineRule="exact" w:line="600"/>
              <w:jc w:val="center"/>
            </w:pPr>
            <w:r/>
            <w:r>
              <w:rPr>
                <w:rFonts w:ascii="仿宋_GB2312" w:hAnsi="仿宋_GB2312" w:eastAsia="仿宋_GB2312"/>
                <w:b w:val="0"/>
                <w:color w:val="000000"/>
                <w:sz w:val="32"/>
              </w:rPr>
              <w:t>数字化提效</w:t>
            </w:r>
          </w:p>
        </w:tc>
        <w:tc>
          <w:tcPr>
            <w:tcW w:type="dxa" w:w="3118"/>
          </w:tcPr>
          <w:p>
            <w:pPr>
              <w:spacing w:lineRule="exact" w:line="600"/>
              <w:jc w:val="center"/>
            </w:pPr>
            <w:r/>
            <w:r>
              <w:rPr>
                <w:rFonts w:ascii="仿宋_GB2312" w:hAnsi="仿宋_GB2312" w:eastAsia="仿宋_GB2312"/>
                <w:b w:val="0"/>
                <w:color w:val="000000"/>
                <w:sz w:val="32"/>
              </w:rPr>
              <w:t>效率+20%</w:t>
            </w:r>
          </w:p>
        </w:tc>
        <w:tc>
          <w:tcPr>
            <w:tcW w:type="dxa" w:w="3402"/>
          </w:tcPr>
          <w:p>
            <w:pPr>
              <w:spacing w:lineRule="exact" w:line="600"/>
              <w:jc w:val="center"/>
            </w:pPr>
            <w:r/>
            <w:r>
              <w:rPr>
                <w:rFonts w:ascii="仿宋_GB2312" w:hAnsi="仿宋_GB2312" w:eastAsia="仿宋_GB2312"/>
                <w:b w:val="0"/>
                <w:color w:val="000000"/>
                <w:sz w:val="32"/>
              </w:rPr>
              <w:t>新华社瞭望2024</w:t>
            </w:r>
          </w:p>
        </w:tc>
      </w:tr>
      <w:tr>
        <w:tc>
          <w:tcPr>
            <w:tcW w:type="dxa" w:w="2551"/>
          </w:tcPr>
          <w:p>
            <w:pPr>
              <w:spacing w:lineRule="exact" w:line="600"/>
              <w:jc w:val="center"/>
            </w:pPr>
            <w:r/>
            <w:r>
              <w:rPr>
                <w:rFonts w:ascii="仿宋_GB2312" w:hAnsi="仿宋_GB2312" w:eastAsia="仿宋_GB2312"/>
                <w:b w:val="0"/>
                <w:color w:val="000000"/>
                <w:sz w:val="32"/>
              </w:rPr>
              <w:t>宁津日新单</w:t>
            </w:r>
          </w:p>
        </w:tc>
        <w:tc>
          <w:tcPr>
            <w:tcW w:type="dxa" w:w="3118"/>
          </w:tcPr>
          <w:p>
            <w:pPr>
              <w:spacing w:lineRule="exact" w:line="600"/>
              <w:jc w:val="center"/>
            </w:pPr>
            <w:r/>
            <w:r>
              <w:rPr>
                <w:rFonts w:ascii="仿宋_GB2312" w:hAnsi="仿宋_GB2312" w:eastAsia="仿宋_GB2312"/>
                <w:b w:val="0"/>
                <w:color w:val="000000"/>
                <w:sz w:val="32"/>
              </w:rPr>
              <w:t>300台以上</w:t>
            </w:r>
          </w:p>
        </w:tc>
        <w:tc>
          <w:tcPr>
            <w:tcW w:type="dxa" w:w="3402"/>
          </w:tcPr>
          <w:p>
            <w:pPr>
              <w:spacing w:lineRule="exact" w:line="600"/>
              <w:jc w:val="center"/>
            </w:pPr>
            <w:r/>
            <w:r>
              <w:rPr>
                <w:rFonts w:ascii="仿宋_GB2312" w:hAnsi="仿宋_GB2312" w:eastAsia="仿宋_GB2312"/>
                <w:b w:val="0"/>
                <w:color w:val="000000"/>
                <w:sz w:val="32"/>
              </w:rPr>
              <w:t>大众网2024</w:t>
            </w:r>
          </w:p>
        </w:tc>
      </w:tr>
      <w:tr>
        <w:tc>
          <w:tcPr>
            <w:tcW w:type="dxa" w:w="2551"/>
          </w:tcPr>
          <w:p>
            <w:pPr>
              <w:spacing w:lineRule="exact" w:line="600"/>
              <w:jc w:val="center"/>
            </w:pPr>
            <w:r/>
            <w:r>
              <w:rPr>
                <w:rFonts w:ascii="仿宋_GB2312" w:hAnsi="仿宋_GB2312" w:eastAsia="仿宋_GB2312"/>
                <w:b w:val="0"/>
                <w:color w:val="000000"/>
                <w:sz w:val="32"/>
              </w:rPr>
              <w:t>产业园面积</w:t>
            </w:r>
          </w:p>
        </w:tc>
        <w:tc>
          <w:tcPr>
            <w:tcW w:type="dxa" w:w="3118"/>
          </w:tcPr>
          <w:p>
            <w:pPr>
              <w:spacing w:lineRule="exact" w:line="600"/>
              <w:jc w:val="center"/>
            </w:pPr>
            <w:r/>
            <w:r>
              <w:rPr>
                <w:rFonts w:ascii="仿宋_GB2312" w:hAnsi="仿宋_GB2312" w:eastAsia="仿宋_GB2312"/>
                <w:b w:val="0"/>
                <w:color w:val="000000"/>
                <w:sz w:val="32"/>
              </w:rPr>
              <w:t>3885亩</w:t>
            </w:r>
          </w:p>
        </w:tc>
        <w:tc>
          <w:tcPr>
            <w:tcW w:type="dxa" w:w="3402"/>
          </w:tcPr>
          <w:p>
            <w:pPr>
              <w:spacing w:lineRule="exact" w:line="600"/>
              <w:jc w:val="center"/>
            </w:pPr>
            <w:r/>
            <w:r>
              <w:rPr>
                <w:rFonts w:ascii="仿宋_GB2312" w:hAnsi="仿宋_GB2312" w:eastAsia="仿宋_GB2312"/>
                <w:b w:val="0"/>
                <w:color w:val="000000"/>
                <w:sz w:val="32"/>
              </w:rPr>
              <w:t>齐鲁网/乐陵市</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一是适老化风口：中国60岁及以上人口达2.97亿，健身器材适老化升级成热门赛道，电磁/磁阻尼安全产品受青睐（来源：中国报告大厅）；二是智能家用渗透，年轻群体驱动；三是体医融合政策推动康复设备进医保与基层医疗。</w:t>
      </w:r>
    </w:p>
    <w:p>
      <w:pPr>
        <w:spacing w:lineRule="exact" w:line="600" w:before="120" w:after="120"/>
        <w:ind w:firstLine="420"/>
        <w:jc w:val="left"/>
      </w:pPr>
      <w:r>
        <w:rPr>
          <w:rFonts w:ascii="楷体_GB2312" w:hAnsi="楷体_GB2312" w:eastAsia="楷体_GB2312"/>
          <w:b w:val="0"/>
          <w:color w:val="000000"/>
          <w:sz w:val="32"/>
        </w:rPr>
        <w:t>（二）挑战</w:t>
      </w:r>
    </w:p>
    <w:p>
      <w:pPr>
        <w:spacing w:lineRule="exact" w:line="600" w:before="0" w:after="0"/>
        <w:ind w:firstLine="420"/>
        <w:jc w:val="both"/>
      </w:pPr>
      <w:r>
        <w:rPr>
          <w:rFonts w:ascii="仿宋_GB2312" w:hAnsi="仿宋_GB2312" w:eastAsia="仿宋_GB2312"/>
          <w:b w:val="0"/>
          <w:color w:val="000000"/>
          <w:sz w:val="32"/>
        </w:rPr>
        <w:t>一是国际品牌与国内专业健身品牌竞争；二是乐陵健身器材C端品牌弱于其竞技器材声誉；三是康复设备需医疗器械注册证，准入周期长、投入大。</w:t>
      </w:r>
    </w:p>
    <w:p>
      <w:pPr>
        <w:spacing w:lineRule="exact" w:line="600" w:before="120" w:after="120"/>
        <w:ind w:firstLine="420"/>
        <w:jc w:val="left"/>
      </w:pPr>
      <w:r>
        <w:rPr>
          <w:rFonts w:ascii="楷体_GB2312" w:hAnsi="楷体_GB2312" w:eastAsia="楷体_GB2312"/>
          <w:b w:val="0"/>
          <w:color w:val="000000"/>
          <w:sz w:val="32"/>
        </w:rPr>
        <w:t>（三）风险</w:t>
      </w:r>
    </w:p>
    <w:p>
      <w:pPr>
        <w:spacing w:lineRule="exact" w:line="600" w:before="0" w:after="0"/>
        <w:ind w:firstLine="420"/>
        <w:jc w:val="both"/>
      </w:pPr>
      <w:r>
        <w:rPr>
          <w:rFonts w:ascii="仿宋_GB2312" w:hAnsi="仿宋_GB2312" w:eastAsia="仿宋_GB2312"/>
          <w:b w:val="0"/>
          <w:color w:val="000000"/>
          <w:sz w:val="32"/>
        </w:rPr>
        <w:t>一是出口依赖欧美，受贸易摩擦与认证更新影响（美国占中国健身器材出口约67.9%，来源：中国报告大厅）；二是原材料价格波动；三是同质化价格战。建议以智能化与康复差异化规避（行业共性研判）。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1984"/>
          </w:tcPr>
          <w:p>
            <w:pPr>
              <w:spacing w:lineRule="exact" w:line="600"/>
              <w:jc w:val="center"/>
            </w:pPr>
            <w:r/>
            <w:r>
              <w:rPr>
                <w:rFonts w:ascii="黑体" w:hAnsi="黑体" w:eastAsia="黑体"/>
                <w:b/>
                <w:color w:val="000000"/>
                <w:sz w:val="32"/>
              </w:rPr>
              <w:t>类别</w:t>
            </w:r>
          </w:p>
        </w:tc>
        <w:tc>
          <w:tcPr>
            <w:tcW w:type="dxa" w:w="4535"/>
          </w:tcPr>
          <w:p>
            <w:pPr>
              <w:spacing w:lineRule="exact" w:line="600"/>
              <w:jc w:val="center"/>
            </w:pPr>
            <w:r/>
            <w:r>
              <w:rPr>
                <w:rFonts w:ascii="黑体" w:hAnsi="黑体" w:eastAsia="黑体"/>
                <w:b/>
                <w:color w:val="000000"/>
                <w:sz w:val="32"/>
              </w:rPr>
              <w:t>要点</w:t>
            </w:r>
          </w:p>
        </w:tc>
        <w:tc>
          <w:tcPr>
            <w:tcW w:type="dxa" w:w="2551"/>
          </w:tcPr>
          <w:p>
            <w:pPr>
              <w:spacing w:lineRule="exact" w:line="600"/>
              <w:jc w:val="center"/>
            </w:pPr>
            <w:r/>
            <w:r>
              <w:rPr>
                <w:rFonts w:ascii="黑体" w:hAnsi="黑体" w:eastAsia="黑体"/>
                <w:b/>
                <w:color w:val="000000"/>
                <w:sz w:val="32"/>
              </w:rPr>
              <w:t>程度</w:t>
            </w:r>
          </w:p>
        </w:tc>
      </w:tr>
      <w:tr>
        <w:tc>
          <w:tcPr>
            <w:tcW w:type="dxa" w:w="1984"/>
          </w:tcPr>
          <w:p>
            <w:pPr>
              <w:spacing w:lineRule="exact" w:line="600"/>
              <w:jc w:val="center"/>
            </w:pPr>
            <w:r/>
            <w:r>
              <w:rPr>
                <w:rFonts w:ascii="仿宋_GB2312" w:hAnsi="仿宋_GB2312" w:eastAsia="仿宋_GB2312"/>
                <w:b w:val="0"/>
                <w:color w:val="000000"/>
                <w:sz w:val="32"/>
              </w:rPr>
              <w:t>机遇</w:t>
            </w:r>
          </w:p>
        </w:tc>
        <w:tc>
          <w:tcPr>
            <w:tcW w:type="dxa" w:w="4535"/>
          </w:tcPr>
          <w:p>
            <w:pPr>
              <w:spacing w:lineRule="exact" w:line="600"/>
              <w:jc w:val="center"/>
            </w:pPr>
            <w:r/>
            <w:r>
              <w:rPr>
                <w:rFonts w:ascii="仿宋_GB2312" w:hAnsi="仿宋_GB2312" w:eastAsia="仿宋_GB2312"/>
                <w:b w:val="0"/>
                <w:color w:val="000000"/>
                <w:sz w:val="32"/>
              </w:rPr>
              <w:t>适老化/智能家用/体医融合</w:t>
            </w:r>
          </w:p>
        </w:tc>
        <w:tc>
          <w:tcPr>
            <w:tcW w:type="dxa" w:w="2551"/>
          </w:tcPr>
          <w:p>
            <w:pPr>
              <w:spacing w:lineRule="exact" w:line="600"/>
              <w:jc w:val="center"/>
            </w:pPr>
            <w:r/>
            <w:r>
              <w:rPr>
                <w:rFonts w:ascii="仿宋_GB2312" w:hAnsi="仿宋_GB2312" w:eastAsia="仿宋_GB2312"/>
                <w:b w:val="0"/>
                <w:color w:val="000000"/>
                <w:sz w:val="32"/>
              </w:rPr>
              <w:t>高</w:t>
            </w:r>
          </w:p>
        </w:tc>
      </w:tr>
      <w:tr>
        <w:tc>
          <w:tcPr>
            <w:tcW w:type="dxa" w:w="1984"/>
          </w:tcPr>
          <w:p>
            <w:pPr>
              <w:spacing w:lineRule="exact" w:line="600"/>
              <w:jc w:val="center"/>
            </w:pPr>
            <w:r/>
            <w:r>
              <w:rPr>
                <w:rFonts w:ascii="仿宋_GB2312" w:hAnsi="仿宋_GB2312" w:eastAsia="仿宋_GB2312"/>
                <w:b w:val="0"/>
                <w:color w:val="000000"/>
                <w:sz w:val="32"/>
              </w:rPr>
              <w:t>挑战</w:t>
            </w:r>
          </w:p>
        </w:tc>
        <w:tc>
          <w:tcPr>
            <w:tcW w:type="dxa" w:w="4535"/>
          </w:tcPr>
          <w:p>
            <w:pPr>
              <w:spacing w:lineRule="exact" w:line="600"/>
              <w:jc w:val="center"/>
            </w:pPr>
            <w:r/>
            <w:r>
              <w:rPr>
                <w:rFonts w:ascii="仿宋_GB2312" w:hAnsi="仿宋_GB2312" w:eastAsia="仿宋_GB2312"/>
                <w:b w:val="0"/>
                <w:color w:val="000000"/>
                <w:sz w:val="32"/>
              </w:rPr>
              <w:t>品牌弱/医械准入难</w:t>
            </w:r>
          </w:p>
        </w:tc>
        <w:tc>
          <w:tcPr>
            <w:tcW w:type="dxa" w:w="2551"/>
          </w:tcPr>
          <w:p>
            <w:pPr>
              <w:spacing w:lineRule="exact" w:line="600"/>
              <w:jc w:val="center"/>
            </w:pPr>
            <w:r/>
            <w:r>
              <w:rPr>
                <w:rFonts w:ascii="仿宋_GB2312" w:hAnsi="仿宋_GB2312" w:eastAsia="仿宋_GB2312"/>
                <w:b w:val="0"/>
                <w:color w:val="000000"/>
                <w:sz w:val="32"/>
              </w:rPr>
              <w:t>中高</w:t>
            </w:r>
          </w:p>
        </w:tc>
      </w:tr>
      <w:tr>
        <w:tc>
          <w:tcPr>
            <w:tcW w:type="dxa" w:w="1984"/>
          </w:tcPr>
          <w:p>
            <w:pPr>
              <w:spacing w:lineRule="exact" w:line="600"/>
              <w:jc w:val="center"/>
            </w:pPr>
            <w:r/>
            <w:r>
              <w:rPr>
                <w:rFonts w:ascii="仿宋_GB2312" w:hAnsi="仿宋_GB2312" w:eastAsia="仿宋_GB2312"/>
                <w:b w:val="0"/>
                <w:color w:val="000000"/>
                <w:sz w:val="32"/>
              </w:rPr>
              <w:t>风险</w:t>
            </w:r>
          </w:p>
        </w:tc>
        <w:tc>
          <w:tcPr>
            <w:tcW w:type="dxa" w:w="4535"/>
          </w:tcPr>
          <w:p>
            <w:pPr>
              <w:spacing w:lineRule="exact" w:line="600"/>
              <w:jc w:val="center"/>
            </w:pPr>
            <w:r/>
            <w:r>
              <w:rPr>
                <w:rFonts w:ascii="仿宋_GB2312" w:hAnsi="仿宋_GB2312" w:eastAsia="仿宋_GB2312"/>
                <w:b w:val="0"/>
                <w:color w:val="000000"/>
                <w:sz w:val="32"/>
              </w:rPr>
              <w:t>出口摩擦/价格战</w:t>
            </w:r>
          </w:p>
        </w:tc>
        <w:tc>
          <w:tcPr>
            <w:tcW w:type="dxa" w:w="2551"/>
          </w:tcPr>
          <w:p>
            <w:pPr>
              <w:spacing w:lineRule="exact" w:line="600"/>
              <w:jc w:val="center"/>
            </w:pPr>
            <w:r/>
            <w:r>
              <w:rPr>
                <w:rFonts w:ascii="仿宋_GB2312" w:hAnsi="仿宋_GB2312" w:eastAsia="仿宋_GB2312"/>
                <w:b w:val="0"/>
                <w:color w:val="000000"/>
                <w:sz w:val="32"/>
              </w:rPr>
              <w:t>中</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（一）智能化家用突破</w:t>
      </w:r>
    </w:p>
    <w:p>
      <w:pPr>
        <w:spacing w:lineRule="exact" w:line="600" w:before="0" w:after="0"/>
        <w:ind w:firstLine="420"/>
        <w:jc w:val="both"/>
      </w:pPr>
      <w:r>
        <w:rPr>
          <w:rFonts w:ascii="仿宋_GB2312" w:hAnsi="仿宋_GB2312" w:eastAsia="仿宋_GB2312"/>
          <w:b w:val="0"/>
          <w:color w:val="000000"/>
          <w:sz w:val="32"/>
        </w:rPr>
        <w:t>以年产200万套智能健身包为核心，融合运动芯片与APP，构建科学健身闭环，抢占年轻与家庭市场。借鉴宁津「黑灯车间」数字化经验提升产能与良率（来源：经济日报2024）。</w:t>
      </w:r>
    </w:p>
    <w:p>
      <w:pPr>
        <w:spacing w:lineRule="exact" w:line="600" w:before="120" w:after="120"/>
        <w:ind w:firstLine="420"/>
        <w:jc w:val="left"/>
      </w:pPr>
      <w:r>
        <w:rPr>
          <w:rFonts w:ascii="楷体_GB2312" w:hAnsi="楷体_GB2312" w:eastAsia="楷体_GB2312"/>
          <w:b w:val="0"/>
          <w:color w:val="000000"/>
          <w:sz w:val="32"/>
        </w:rPr>
        <w:t>（二）康复医疗器械化</w:t>
      </w:r>
    </w:p>
    <w:p>
      <w:pPr>
        <w:spacing w:lineRule="exact" w:line="600" w:before="0" w:after="0"/>
        <w:ind w:firstLine="420"/>
        <w:jc w:val="both"/>
      </w:pPr>
      <w:r>
        <w:rPr>
          <w:rFonts w:ascii="仿宋_GB2312" w:hAnsi="仿宋_GB2312" w:eastAsia="仿宋_GB2312"/>
          <w:b w:val="0"/>
          <w:color w:val="000000"/>
          <w:sz w:val="32"/>
        </w:rPr>
        <w:t>依托泰山体育研发平台与体医融合趋势，研发康复训练设备并取得二类/三类医疗器械注册证，切入医院与社区康复场景，提升产品附加值与壁垒（行业共性研判）。</w:t>
      </w:r>
    </w:p>
    <w:p>
      <w:pPr>
        <w:spacing w:lineRule="exact" w:line="600" w:before="120" w:after="120"/>
        <w:ind w:firstLine="420"/>
        <w:jc w:val="left"/>
      </w:pPr>
      <w:r>
        <w:rPr>
          <w:rFonts w:ascii="楷体_GB2312" w:hAnsi="楷体_GB2312" w:eastAsia="楷体_GB2312"/>
          <w:b w:val="0"/>
          <w:color w:val="000000"/>
          <w:sz w:val="32"/>
        </w:rPr>
        <w:t>（三）渠道品牌化</w:t>
      </w:r>
    </w:p>
    <w:p>
      <w:pPr>
        <w:spacing w:lineRule="exact" w:line="600" w:before="0" w:after="0"/>
        <w:ind w:firstLine="420"/>
        <w:jc w:val="both"/>
      </w:pPr>
      <w:r>
        <w:rPr>
          <w:rFonts w:ascii="仿宋_GB2312" w:hAnsi="仿宋_GB2312" w:eastAsia="仿宋_GB2312"/>
          <w:b w:val="0"/>
          <w:color w:val="000000"/>
          <w:sz w:val="32"/>
        </w:rPr>
        <w:t>借泰山体育超级工厂店2800县域网络与电商（2023年四大电商健身销售161亿）双轮布局，打造民用品牌，实现奥运品质大众化（来源：香港商报2026、中国报告大厅）。</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路径</w:t>
            </w:r>
          </w:p>
        </w:tc>
        <w:tc>
          <w:tcPr>
            <w:tcW w:type="dxa" w:w="3685"/>
          </w:tcPr>
          <w:p>
            <w:pPr>
              <w:spacing w:lineRule="exact" w:line="600"/>
              <w:jc w:val="center"/>
            </w:pPr>
            <w:r/>
            <w:r>
              <w:rPr>
                <w:rFonts w:ascii="黑体" w:hAnsi="黑体" w:eastAsia="黑体"/>
                <w:b/>
                <w:color w:val="000000"/>
                <w:sz w:val="32"/>
              </w:rPr>
              <w:t>抓手</w:t>
            </w:r>
          </w:p>
        </w:tc>
        <w:tc>
          <w:tcPr>
            <w:tcW w:type="dxa" w:w="3118"/>
          </w:tcPr>
          <w:p>
            <w:pPr>
              <w:spacing w:lineRule="exact" w:line="600"/>
              <w:jc w:val="center"/>
            </w:pPr>
            <w:r/>
            <w:r>
              <w:rPr>
                <w:rFonts w:ascii="黑体" w:hAnsi="黑体" w:eastAsia="黑体"/>
                <w:b/>
                <w:color w:val="000000"/>
                <w:sz w:val="32"/>
              </w:rPr>
              <w:t>预期</w:t>
            </w:r>
          </w:p>
        </w:tc>
      </w:tr>
      <w:tr>
        <w:tc>
          <w:tcPr>
            <w:tcW w:type="dxa" w:w="2268"/>
          </w:tcPr>
          <w:p>
            <w:pPr>
              <w:spacing w:lineRule="exact" w:line="600"/>
              <w:jc w:val="center"/>
            </w:pPr>
            <w:r/>
            <w:r>
              <w:rPr>
                <w:rFonts w:ascii="仿宋_GB2312" w:hAnsi="仿宋_GB2312" w:eastAsia="仿宋_GB2312"/>
                <w:b w:val="0"/>
                <w:color w:val="000000"/>
                <w:sz w:val="32"/>
              </w:rPr>
              <w:t>智能化</w:t>
            </w:r>
          </w:p>
        </w:tc>
        <w:tc>
          <w:tcPr>
            <w:tcW w:type="dxa" w:w="3685"/>
          </w:tcPr>
          <w:p>
            <w:pPr>
              <w:spacing w:lineRule="exact" w:line="600"/>
              <w:jc w:val="center"/>
            </w:pPr>
            <w:r/>
            <w:r>
              <w:rPr>
                <w:rFonts w:ascii="仿宋_GB2312" w:hAnsi="仿宋_GB2312" w:eastAsia="仿宋_GB2312"/>
                <w:b w:val="0"/>
                <w:color w:val="000000"/>
                <w:sz w:val="32"/>
              </w:rPr>
              <w:t>智能健身包200万套</w:t>
            </w:r>
          </w:p>
        </w:tc>
        <w:tc>
          <w:tcPr>
            <w:tcW w:type="dxa" w:w="3118"/>
          </w:tcPr>
          <w:p>
            <w:pPr>
              <w:spacing w:lineRule="exact" w:line="600"/>
              <w:jc w:val="center"/>
            </w:pPr>
            <w:r/>
            <w:r>
              <w:rPr>
                <w:rFonts w:ascii="仿宋_GB2312" w:hAnsi="仿宋_GB2312" w:eastAsia="仿宋_GB2312"/>
                <w:b w:val="0"/>
                <w:color w:val="000000"/>
                <w:sz w:val="32"/>
              </w:rPr>
              <w:t>家用市场突破</w:t>
            </w:r>
          </w:p>
        </w:tc>
      </w:tr>
      <w:tr>
        <w:tc>
          <w:tcPr>
            <w:tcW w:type="dxa" w:w="2268"/>
          </w:tcPr>
          <w:p>
            <w:pPr>
              <w:spacing w:lineRule="exact" w:line="600"/>
              <w:jc w:val="center"/>
            </w:pPr>
            <w:r/>
            <w:r>
              <w:rPr>
                <w:rFonts w:ascii="仿宋_GB2312" w:hAnsi="仿宋_GB2312" w:eastAsia="仿宋_GB2312"/>
                <w:b w:val="0"/>
                <w:color w:val="000000"/>
                <w:sz w:val="32"/>
              </w:rPr>
              <w:t>医械化</w:t>
            </w:r>
          </w:p>
        </w:tc>
        <w:tc>
          <w:tcPr>
            <w:tcW w:type="dxa" w:w="3685"/>
          </w:tcPr>
          <w:p>
            <w:pPr>
              <w:spacing w:lineRule="exact" w:line="600"/>
              <w:jc w:val="center"/>
            </w:pPr>
            <w:r/>
            <w:r>
              <w:rPr>
                <w:rFonts w:ascii="仿宋_GB2312" w:hAnsi="仿宋_GB2312" w:eastAsia="仿宋_GB2312"/>
                <w:b w:val="0"/>
                <w:color w:val="000000"/>
                <w:sz w:val="32"/>
              </w:rPr>
              <w:t>康复设备注册</w:t>
            </w:r>
          </w:p>
        </w:tc>
        <w:tc>
          <w:tcPr>
            <w:tcW w:type="dxa" w:w="3118"/>
          </w:tcPr>
          <w:p>
            <w:pPr>
              <w:spacing w:lineRule="exact" w:line="600"/>
              <w:jc w:val="center"/>
            </w:pPr>
            <w:r/>
            <w:r>
              <w:rPr>
                <w:rFonts w:ascii="仿宋_GB2312" w:hAnsi="仿宋_GB2312" w:eastAsia="仿宋_GB2312"/>
                <w:b w:val="0"/>
                <w:color w:val="000000"/>
                <w:sz w:val="32"/>
              </w:rPr>
              <w:t>高附加值</w:t>
            </w:r>
          </w:p>
        </w:tc>
      </w:tr>
      <w:tr>
        <w:tc>
          <w:tcPr>
            <w:tcW w:type="dxa" w:w="2268"/>
          </w:tcPr>
          <w:p>
            <w:pPr>
              <w:spacing w:lineRule="exact" w:line="600"/>
              <w:jc w:val="center"/>
            </w:pPr>
            <w:r/>
            <w:r>
              <w:rPr>
                <w:rFonts w:ascii="仿宋_GB2312" w:hAnsi="仿宋_GB2312" w:eastAsia="仿宋_GB2312"/>
                <w:b w:val="0"/>
                <w:color w:val="000000"/>
                <w:sz w:val="32"/>
              </w:rPr>
              <w:t>品牌化</w:t>
            </w:r>
          </w:p>
        </w:tc>
        <w:tc>
          <w:tcPr>
            <w:tcW w:type="dxa" w:w="3685"/>
          </w:tcPr>
          <w:p>
            <w:pPr>
              <w:spacing w:lineRule="exact" w:line="600"/>
              <w:jc w:val="center"/>
            </w:pPr>
            <w:r/>
            <w:r>
              <w:rPr>
                <w:rFonts w:ascii="仿宋_GB2312" w:hAnsi="仿宋_GB2312" w:eastAsia="仿宋_GB2312"/>
                <w:b w:val="0"/>
                <w:color w:val="000000"/>
                <w:sz w:val="32"/>
              </w:rPr>
              <w:t>工厂店+电商</w:t>
            </w:r>
          </w:p>
        </w:tc>
        <w:tc>
          <w:tcPr>
            <w:tcW w:type="dxa" w:w="3118"/>
          </w:tcPr>
          <w:p>
            <w:pPr>
              <w:spacing w:lineRule="exact" w:line="600"/>
              <w:jc w:val="center"/>
            </w:pPr>
            <w:r/>
            <w:r>
              <w:rPr>
                <w:rFonts w:ascii="仿宋_GB2312" w:hAnsi="仿宋_GB2312" w:eastAsia="仿宋_GB2312"/>
                <w:b w:val="0"/>
                <w:color w:val="000000"/>
                <w:sz w:val="32"/>
              </w:rPr>
              <w:t>C端认知提升</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（一）智能产线建设</w:t>
      </w:r>
    </w:p>
    <w:p>
      <w:pPr>
        <w:spacing w:lineRule="exact" w:line="600" w:before="0" w:after="0"/>
        <w:ind w:firstLine="420"/>
        <w:jc w:val="both"/>
      </w:pPr>
      <w:r>
        <w:rPr>
          <w:rFonts w:ascii="仿宋_GB2312" w:hAnsi="仿宋_GB2312" w:eastAsia="仿宋_GB2312"/>
          <w:b w:val="0"/>
          <w:color w:val="000000"/>
          <w:sz w:val="32"/>
        </w:rPr>
        <w:t>年产200万套家庭智能健身包项目及健身路径智能化改造需要设备与厂房投资，属亿元级资本开支，适合项目贷款与产业基金支持（来源：乐陵市政府）。</w:t>
      </w:r>
    </w:p>
    <w:p>
      <w:pPr>
        <w:spacing w:lineRule="exact" w:line="600" w:before="120" w:after="120"/>
        <w:ind w:firstLine="420"/>
        <w:jc w:val="left"/>
      </w:pPr>
      <w:r>
        <w:rPr>
          <w:rFonts w:ascii="楷体_GB2312" w:hAnsi="楷体_GB2312" w:eastAsia="楷体_GB2312"/>
          <w:b w:val="0"/>
          <w:color w:val="000000"/>
          <w:sz w:val="32"/>
        </w:rPr>
        <w:t>（二）康复医械研发</w:t>
      </w:r>
    </w:p>
    <w:p>
      <w:pPr>
        <w:spacing w:lineRule="exact" w:line="600" w:before="0" w:after="0"/>
        <w:ind w:firstLine="420"/>
        <w:jc w:val="both"/>
      </w:pPr>
      <w:r>
        <w:rPr>
          <w:rFonts w:ascii="仿宋_GB2312" w:hAnsi="仿宋_GB2312" w:eastAsia="仿宋_GB2312"/>
          <w:b w:val="0"/>
          <w:color w:val="000000"/>
          <w:sz w:val="32"/>
        </w:rPr>
        <w:t>康复训练设备的医疗器械注册与临床试验周期长、投入大，需要研发专项资金或股权融资支持，单品类注册费与临床费可达数百万级（行业共性研判）。</w:t>
      </w:r>
    </w:p>
    <w:p>
      <w:pPr>
        <w:spacing w:lineRule="exact" w:line="600" w:before="120" w:after="120"/>
        <w:ind w:firstLine="420"/>
        <w:jc w:val="left"/>
      </w:pPr>
      <w:r>
        <w:rPr>
          <w:rFonts w:ascii="楷体_GB2312" w:hAnsi="楷体_GB2312" w:eastAsia="楷体_GB2312"/>
          <w:b w:val="0"/>
          <w:color w:val="000000"/>
          <w:sz w:val="32"/>
        </w:rPr>
        <w:t>（三）品牌与渠道</w:t>
      </w:r>
    </w:p>
    <w:p>
      <w:pPr>
        <w:spacing w:lineRule="exact" w:line="600" w:before="0" w:after="0"/>
        <w:ind w:firstLine="420"/>
        <w:jc w:val="both"/>
      </w:pPr>
      <w:r>
        <w:rPr>
          <w:rFonts w:ascii="仿宋_GB2312" w:hAnsi="仿宋_GB2312" w:eastAsia="仿宋_GB2312"/>
          <w:b w:val="0"/>
          <w:color w:val="000000"/>
          <w:sz w:val="32"/>
        </w:rPr>
        <w:t>超级工厂店网络与电商运营需要流动资金；可考虑供应链金融与品牌营销专项贷款。建议政府引导基金与社会资本共建体育健康产业基金（行业共性研判）。</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方向</w:t>
            </w:r>
          </w:p>
        </w:tc>
        <w:tc>
          <w:tcPr>
            <w:tcW w:type="dxa" w:w="3402"/>
          </w:tcPr>
          <w:p>
            <w:pPr>
              <w:spacing w:lineRule="exact" w:line="600"/>
              <w:jc w:val="center"/>
            </w:pPr>
            <w:r/>
            <w:r>
              <w:rPr>
                <w:rFonts w:ascii="黑体" w:hAnsi="黑体" w:eastAsia="黑体"/>
                <w:b/>
                <w:color w:val="000000"/>
                <w:sz w:val="32"/>
              </w:rPr>
              <w:t>规模</w:t>
            </w:r>
          </w:p>
        </w:tc>
        <w:tc>
          <w:tcPr>
            <w:tcW w:type="dxa" w:w="3402"/>
          </w:tcPr>
          <w:p>
            <w:pPr>
              <w:spacing w:lineRule="exact" w:line="600"/>
              <w:jc w:val="center"/>
            </w:pPr>
            <w:r/>
            <w:r>
              <w:rPr>
                <w:rFonts w:ascii="黑体" w:hAnsi="黑体" w:eastAsia="黑体"/>
                <w:b/>
                <w:color w:val="000000"/>
                <w:sz w:val="32"/>
              </w:rPr>
              <w:t>工具</w:t>
            </w:r>
          </w:p>
        </w:tc>
      </w:tr>
      <w:tr>
        <w:tc>
          <w:tcPr>
            <w:tcW w:type="dxa" w:w="2268"/>
          </w:tcPr>
          <w:p>
            <w:pPr>
              <w:spacing w:lineRule="exact" w:line="600"/>
              <w:jc w:val="center"/>
            </w:pPr>
            <w:r/>
            <w:r>
              <w:rPr>
                <w:rFonts w:ascii="仿宋_GB2312" w:hAnsi="仿宋_GB2312" w:eastAsia="仿宋_GB2312"/>
                <w:b w:val="0"/>
                <w:color w:val="000000"/>
                <w:sz w:val="32"/>
              </w:rPr>
              <w:t>智能产线</w:t>
            </w:r>
          </w:p>
        </w:tc>
        <w:tc>
          <w:tcPr>
            <w:tcW w:type="dxa" w:w="3402"/>
          </w:tcPr>
          <w:p>
            <w:pPr>
              <w:spacing w:lineRule="exact" w:line="600"/>
              <w:jc w:val="center"/>
            </w:pPr>
            <w:r/>
            <w:r>
              <w:rPr>
                <w:rFonts w:ascii="仿宋_GB2312" w:hAnsi="仿宋_GB2312" w:eastAsia="仿宋_GB2312"/>
                <w:b w:val="0"/>
                <w:color w:val="000000"/>
                <w:sz w:val="32"/>
              </w:rPr>
              <w:t>亿元级</w:t>
            </w:r>
          </w:p>
        </w:tc>
        <w:tc>
          <w:tcPr>
            <w:tcW w:type="dxa" w:w="3402"/>
          </w:tcPr>
          <w:p>
            <w:pPr>
              <w:spacing w:lineRule="exact" w:line="600"/>
              <w:jc w:val="center"/>
            </w:pPr>
            <w:r/>
            <w:r>
              <w:rPr>
                <w:rFonts w:ascii="仿宋_GB2312" w:hAnsi="仿宋_GB2312" w:eastAsia="仿宋_GB2312"/>
                <w:b w:val="0"/>
                <w:color w:val="000000"/>
                <w:sz w:val="32"/>
              </w:rPr>
              <w:t>项目贷/产业基金</w:t>
            </w:r>
          </w:p>
        </w:tc>
      </w:tr>
      <w:tr>
        <w:tc>
          <w:tcPr>
            <w:tcW w:type="dxa" w:w="2268"/>
          </w:tcPr>
          <w:p>
            <w:pPr>
              <w:spacing w:lineRule="exact" w:line="600"/>
              <w:jc w:val="center"/>
            </w:pPr>
            <w:r/>
            <w:r>
              <w:rPr>
                <w:rFonts w:ascii="仿宋_GB2312" w:hAnsi="仿宋_GB2312" w:eastAsia="仿宋_GB2312"/>
                <w:b w:val="0"/>
                <w:color w:val="000000"/>
                <w:sz w:val="32"/>
              </w:rPr>
              <w:t>医械研发</w:t>
            </w:r>
          </w:p>
        </w:tc>
        <w:tc>
          <w:tcPr>
            <w:tcW w:type="dxa" w:w="3402"/>
          </w:tcPr>
          <w:p>
            <w:pPr>
              <w:spacing w:lineRule="exact" w:line="600"/>
              <w:jc w:val="center"/>
            </w:pPr>
            <w:r/>
            <w:r>
              <w:rPr>
                <w:rFonts w:ascii="仿宋_GB2312" w:hAnsi="仿宋_GB2312" w:eastAsia="仿宋_GB2312"/>
                <w:b w:val="0"/>
                <w:color w:val="000000"/>
                <w:sz w:val="32"/>
              </w:rPr>
              <w:t>百万—千万级</w:t>
            </w:r>
          </w:p>
        </w:tc>
        <w:tc>
          <w:tcPr>
            <w:tcW w:type="dxa" w:w="3402"/>
          </w:tcPr>
          <w:p>
            <w:pPr>
              <w:spacing w:lineRule="exact" w:line="600"/>
              <w:jc w:val="center"/>
            </w:pPr>
            <w:r/>
            <w:r>
              <w:rPr>
                <w:rFonts w:ascii="仿宋_GB2312" w:hAnsi="仿宋_GB2312" w:eastAsia="仿宋_GB2312"/>
                <w:b w:val="0"/>
                <w:color w:val="000000"/>
                <w:sz w:val="32"/>
              </w:rPr>
              <w:t>研发贷/股权</w:t>
            </w:r>
          </w:p>
        </w:tc>
      </w:tr>
      <w:tr>
        <w:tc>
          <w:tcPr>
            <w:tcW w:type="dxa" w:w="2268"/>
          </w:tcPr>
          <w:p>
            <w:pPr>
              <w:spacing w:lineRule="exact" w:line="600"/>
              <w:jc w:val="center"/>
            </w:pPr>
            <w:r/>
            <w:r>
              <w:rPr>
                <w:rFonts w:ascii="仿宋_GB2312" w:hAnsi="仿宋_GB2312" w:eastAsia="仿宋_GB2312"/>
                <w:b w:val="0"/>
                <w:color w:val="000000"/>
                <w:sz w:val="32"/>
              </w:rPr>
              <w:t>渠道品牌</w:t>
            </w:r>
          </w:p>
        </w:tc>
        <w:tc>
          <w:tcPr>
            <w:tcW w:type="dxa" w:w="3402"/>
          </w:tcPr>
          <w:p>
            <w:pPr>
              <w:spacing w:lineRule="exact" w:line="600"/>
              <w:jc w:val="center"/>
            </w:pPr>
            <w:r/>
            <w:r>
              <w:rPr>
                <w:rFonts w:ascii="仿宋_GB2312" w:hAnsi="仿宋_GB2312" w:eastAsia="仿宋_GB2312"/>
                <w:b w:val="0"/>
                <w:color w:val="000000"/>
                <w:sz w:val="32"/>
              </w:rPr>
              <w:t>中等</w:t>
            </w:r>
          </w:p>
        </w:tc>
        <w:tc>
          <w:tcPr>
            <w:tcW w:type="dxa" w:w="3402"/>
          </w:tcPr>
          <w:p>
            <w:pPr>
              <w:spacing w:lineRule="exact" w:line="600"/>
              <w:jc w:val="center"/>
            </w:pPr>
            <w:r/>
            <w:r>
              <w:rPr>
                <w:rFonts w:ascii="仿宋_GB2312" w:hAnsi="仿宋_GB2312" w:eastAsia="仿宋_GB2312"/>
                <w:b w:val="0"/>
                <w:color w:val="000000"/>
                <w:sz w:val="32"/>
              </w:rPr>
              <w:t>流贷/供应链金融</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泰山体育产业集团有限公司（健身器材板块）：布局年产200万套家庭智能健身包、健身路径、爱动在线智能健身系统；自主研发运动芯片，方案成本与识别精度全国领先；2025年营业收入117.64亿元、品牌价值263亿元，研发人员1000多人，将竞技器材技术向民用智能健身与康复场景转化。来源：乐陵市政府、泰山体育官网、百度百科、大众网2024-05。</w:t>
      </w:r>
    </w:p>
    <w:p>
      <w:pPr>
        <w:spacing w:lineRule="exact" w:line="600" w:before="0" w:after="0"/>
        <w:ind w:firstLine="420"/>
        <w:jc w:val="both"/>
      </w:pPr>
      <w:r>
        <w:rPr>
          <w:rFonts w:ascii="仿宋_GB2312" w:hAnsi="仿宋_GB2312" w:eastAsia="仿宋_GB2312"/>
          <w:b w:val="0"/>
          <w:color w:val="000000"/>
          <w:sz w:val="32"/>
        </w:rPr>
        <w:t>乾亿健康、勇剑体育等（乐陵本地健身工程类企业）：乐陵16家体育健身、文化、工程类企业代表，主营健身路径、体育工程与场地配套，与泰山体育形成健身器材产品补充。来源：乐陵市人民政府官网「体育产业」专题。</w:t>
      </w:r>
    </w:p>
    <w:p>
      <w:pPr>
        <w:spacing w:lineRule="exact" w:line="600" w:before="0" w:after="0"/>
        <w:ind w:firstLine="420"/>
        <w:jc w:val="both"/>
      </w:pPr>
      <w:r>
        <w:rPr>
          <w:rFonts w:ascii="仿宋_GB2312" w:hAnsi="仿宋_GB2312" w:eastAsia="仿宋_GB2312"/>
          <w:b w:val="0"/>
          <w:color w:val="000000"/>
          <w:sz w:val="32"/>
        </w:rPr>
        <w:t>山东迈宝赫健身器材有限公司（宁津协同，区域参照）：全国最大商用健身器材基地骨干，深耕健身领域20余年，2023年出口订单增七成、日接新单300台以上；通过数字化使综合生产效率提升20%、年省人工成本300余万元，为乐陵健身器材智能化改造提供样本。来源：新华社瞭望2024、大众网2024-05。</w:t>
      </w:r>
    </w:p>
    <w:p>
      <w:pPr>
        <w:spacing w:lineRule="exact" w:line="600" w:before="0" w:after="0"/>
        <w:jc w:val="left"/>
      </w:pPr>
      <w:r>
        <w:rPr>
          <w:rFonts w:ascii="仿宋_GB2312" w:hAnsi="仿宋_GB2312" w:eastAsia="仿宋_GB2312"/>
          <w:b w:val="0"/>
          <w:color w:val="000000"/>
          <w:sz w:val="28"/>
        </w:rPr>
        <w:t>主要数据来源：中研普华产业研究院《2023年中国健身器材行业竞争格局分析及发展趋势》；中国报告大厅《迈向2025：中国健身器材市场规模、结构与未来趋势》；经济日报携手京东《商用健身器材畅销海外》（2024-06-23）；新华社《瞭望》新闻周刊《百亿体育产业崛起德州》（2024-05-06）；中国发展网《中国制造走红巴黎奥运，乐陵出圈》（2024-08）；德州市/乐陵市人民政府官网体育产业相关公开信息；泰山体育产业集团官网（智能健身、瑞豹复合材料）；香港商报《山东乐陵：以体育全产业链激活县域经济新动能》（2026-04-28）</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