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山东德州乐陵（高端体育装备）特色产业集群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竞技体育器材与场地装备制造行业深度分析报告</w:t>
      </w:r>
    </w:p>
    <w:p>
      <w:pPr>
        <w:spacing w:lineRule="exact" w:line="600" w:before="0" w:after="0"/>
        <w:jc w:val="left"/>
      </w:pPr>
      <w:r>
        <w:rPr>
          <w:rFonts w:ascii="仿宋_GB2312" w:hAnsi="仿宋_GB2312" w:eastAsia="仿宋_GB2312"/>
          <w:b w:val="0"/>
          <w:color w:val="000000"/>
          <w:sz w:val="28"/>
        </w:rPr>
        <w:t>本报告数据来源于德州市人民政府官网、乐陵市人民政府官网、山东省发展改革委园区推介、泰山体育官网及公开报道，数据截至2024—2025年；部分细分领域公开统计有限，已标注。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乐陵高端体育装备集群以竞技体育器材与场地装备为核心优势，竞技体育器材占全国市场份额逾九成，拥有泰山体育这一全球获国际协会认证最多的体育企业与链主。2023年乐陵规模以上体育产业产值95.51亿元、增速20.2%，居德州市首位；全市体育相关企业34家（制造业18家、健身工程类16家），先后服务8届奥运会等2000余场国内外顶级赛事。泰山（国际）产业园占地3885亩，集聚上下游配套企业30余家。该细分领域技术壁垒高、认证壁垒强，但面临国际品牌竞争、关键原材料依赖及汇率波动等风险，智能化、标准化、服务化是主要升级方向。</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2023年规上体育产业产值</w:t>
            </w:r>
          </w:p>
        </w:tc>
        <w:tc>
          <w:tcPr>
            <w:tcW w:type="dxa" w:w="2835"/>
          </w:tcPr>
          <w:p>
            <w:pPr>
              <w:spacing w:lineRule="exact" w:line="600"/>
              <w:jc w:val="center"/>
            </w:pPr>
            <w:r/>
            <w:r>
              <w:rPr>
                <w:rFonts w:ascii="仿宋_GB2312" w:hAnsi="仿宋_GB2312" w:eastAsia="仿宋_GB2312"/>
                <w:b w:val="0"/>
                <w:color w:val="000000"/>
                <w:sz w:val="32"/>
              </w:rPr>
              <w:t>95.51亿元（增速20.2%）</w:t>
            </w:r>
          </w:p>
        </w:tc>
        <w:tc>
          <w:tcPr>
            <w:tcW w:type="dxa" w:w="3118"/>
          </w:tcPr>
          <w:p>
            <w:pPr>
              <w:spacing w:lineRule="exact" w:line="600"/>
              <w:jc w:val="center"/>
            </w:pPr>
            <w:r/>
            <w:r>
              <w:rPr>
                <w:rFonts w:ascii="仿宋_GB2312" w:hAnsi="仿宋_GB2312" w:eastAsia="仿宋_GB2312"/>
                <w:b w:val="0"/>
                <w:color w:val="000000"/>
                <w:sz w:val="32"/>
              </w:rPr>
              <w:t>德州市人大建议答复</w:t>
            </w:r>
          </w:p>
        </w:tc>
      </w:tr>
      <w:tr>
        <w:tc>
          <w:tcPr>
            <w:tcW w:type="dxa" w:w="2835"/>
          </w:tcPr>
          <w:p>
            <w:pPr>
              <w:spacing w:lineRule="exact" w:line="600"/>
              <w:jc w:val="center"/>
            </w:pPr>
            <w:r/>
            <w:r>
              <w:rPr>
                <w:rFonts w:ascii="仿宋_GB2312" w:hAnsi="仿宋_GB2312" w:eastAsia="仿宋_GB2312"/>
                <w:b w:val="0"/>
                <w:color w:val="000000"/>
                <w:sz w:val="32"/>
              </w:rPr>
              <w:t>2023年H1规上营业收入</w:t>
            </w:r>
          </w:p>
        </w:tc>
        <w:tc>
          <w:tcPr>
            <w:tcW w:type="dxa" w:w="2835"/>
          </w:tcPr>
          <w:p>
            <w:pPr>
              <w:spacing w:lineRule="exact" w:line="600"/>
              <w:jc w:val="center"/>
            </w:pPr>
            <w:r/>
            <w:r>
              <w:rPr>
                <w:rFonts w:ascii="仿宋_GB2312" w:hAnsi="仿宋_GB2312" w:eastAsia="仿宋_GB2312"/>
                <w:b w:val="0"/>
                <w:color w:val="000000"/>
                <w:sz w:val="32"/>
              </w:rPr>
              <w:t>54.63亿元（+6.24%）</w:t>
            </w:r>
          </w:p>
        </w:tc>
        <w:tc>
          <w:tcPr>
            <w:tcW w:type="dxa" w:w="3118"/>
          </w:tcPr>
          <w:p>
            <w:pPr>
              <w:spacing w:lineRule="exact" w:line="600"/>
              <w:jc w:val="center"/>
            </w:pPr>
            <w:r/>
            <w:r>
              <w:rPr>
                <w:rFonts w:ascii="仿宋_GB2312" w:hAnsi="仿宋_GB2312" w:eastAsia="仿宋_GB2312"/>
                <w:b w:val="0"/>
                <w:color w:val="000000"/>
                <w:sz w:val="32"/>
              </w:rPr>
              <w:t>中国发展网2024-08</w:t>
            </w:r>
          </w:p>
        </w:tc>
      </w:tr>
      <w:tr>
        <w:tc>
          <w:tcPr>
            <w:tcW w:type="dxa" w:w="2835"/>
          </w:tcPr>
          <w:p>
            <w:pPr>
              <w:spacing w:lineRule="exact" w:line="600"/>
              <w:jc w:val="center"/>
            </w:pPr>
            <w:r/>
            <w:r>
              <w:rPr>
                <w:rFonts w:ascii="仿宋_GB2312" w:hAnsi="仿宋_GB2312" w:eastAsia="仿宋_GB2312"/>
                <w:b w:val="0"/>
                <w:color w:val="000000"/>
                <w:sz w:val="32"/>
              </w:rPr>
              <w:t>2023年H1营业利润</w:t>
            </w:r>
          </w:p>
        </w:tc>
        <w:tc>
          <w:tcPr>
            <w:tcW w:type="dxa" w:w="2835"/>
          </w:tcPr>
          <w:p>
            <w:pPr>
              <w:spacing w:lineRule="exact" w:line="600"/>
              <w:jc w:val="center"/>
            </w:pPr>
            <w:r/>
            <w:r>
              <w:rPr>
                <w:rFonts w:ascii="仿宋_GB2312" w:hAnsi="仿宋_GB2312" w:eastAsia="仿宋_GB2312"/>
                <w:b w:val="0"/>
                <w:color w:val="000000"/>
                <w:sz w:val="32"/>
              </w:rPr>
              <w:t>7.46亿元（+12.85%）</w:t>
            </w:r>
          </w:p>
        </w:tc>
        <w:tc>
          <w:tcPr>
            <w:tcW w:type="dxa" w:w="3118"/>
          </w:tcPr>
          <w:p>
            <w:pPr>
              <w:spacing w:lineRule="exact" w:line="600"/>
              <w:jc w:val="center"/>
            </w:pPr>
            <w:r/>
            <w:r>
              <w:rPr>
                <w:rFonts w:ascii="仿宋_GB2312" w:hAnsi="仿宋_GB2312" w:eastAsia="仿宋_GB2312"/>
                <w:b w:val="0"/>
                <w:color w:val="000000"/>
                <w:sz w:val="32"/>
              </w:rPr>
              <w:t>中国发展网2024-08</w:t>
            </w:r>
          </w:p>
        </w:tc>
      </w:tr>
      <w:tr>
        <w:tc>
          <w:tcPr>
            <w:tcW w:type="dxa" w:w="2835"/>
          </w:tcPr>
          <w:p>
            <w:pPr>
              <w:spacing w:lineRule="exact" w:line="600"/>
              <w:jc w:val="center"/>
            </w:pPr>
            <w:r/>
            <w:r>
              <w:rPr>
                <w:rFonts w:ascii="仿宋_GB2312" w:hAnsi="仿宋_GB2312" w:eastAsia="仿宋_GB2312"/>
                <w:b w:val="0"/>
                <w:color w:val="000000"/>
                <w:sz w:val="32"/>
              </w:rPr>
              <w:t>体育相关企业数</w:t>
            </w:r>
          </w:p>
        </w:tc>
        <w:tc>
          <w:tcPr>
            <w:tcW w:type="dxa" w:w="2835"/>
          </w:tcPr>
          <w:p>
            <w:pPr>
              <w:spacing w:lineRule="exact" w:line="600"/>
              <w:jc w:val="center"/>
            </w:pPr>
            <w:r/>
            <w:r>
              <w:rPr>
                <w:rFonts w:ascii="仿宋_GB2312" w:hAnsi="仿宋_GB2312" w:eastAsia="仿宋_GB2312"/>
                <w:b w:val="0"/>
                <w:color w:val="000000"/>
                <w:sz w:val="32"/>
              </w:rPr>
              <w:t>34家（制造18+工程16）</w:t>
            </w:r>
          </w:p>
        </w:tc>
        <w:tc>
          <w:tcPr>
            <w:tcW w:type="dxa" w:w="3118"/>
          </w:tcPr>
          <w:p>
            <w:pPr>
              <w:spacing w:lineRule="exact" w:line="600"/>
              <w:jc w:val="center"/>
            </w:pPr>
            <w:r/>
            <w:r>
              <w:rPr>
                <w:rFonts w:ascii="仿宋_GB2312" w:hAnsi="仿宋_GB2312" w:eastAsia="仿宋_GB2312"/>
                <w:b w:val="0"/>
                <w:color w:val="000000"/>
                <w:sz w:val="32"/>
              </w:rPr>
              <w:t>乐陵市政府</w:t>
            </w:r>
          </w:p>
        </w:tc>
      </w:tr>
      <w:tr>
        <w:tc>
          <w:tcPr>
            <w:tcW w:type="dxa" w:w="2835"/>
          </w:tcPr>
          <w:p>
            <w:pPr>
              <w:spacing w:lineRule="exact" w:line="600"/>
              <w:jc w:val="center"/>
            </w:pPr>
            <w:r/>
            <w:r>
              <w:rPr>
                <w:rFonts w:ascii="仿宋_GB2312" w:hAnsi="仿宋_GB2312" w:eastAsia="仿宋_GB2312"/>
                <w:b w:val="0"/>
                <w:color w:val="000000"/>
                <w:sz w:val="32"/>
              </w:rPr>
              <w:t>竞技器材全国份额</w:t>
            </w:r>
          </w:p>
        </w:tc>
        <w:tc>
          <w:tcPr>
            <w:tcW w:type="dxa" w:w="2835"/>
          </w:tcPr>
          <w:p>
            <w:pPr>
              <w:spacing w:lineRule="exact" w:line="600"/>
              <w:jc w:val="center"/>
            </w:pPr>
            <w:r/>
            <w:r>
              <w:rPr>
                <w:rFonts w:ascii="仿宋_GB2312" w:hAnsi="仿宋_GB2312" w:eastAsia="仿宋_GB2312"/>
                <w:b w:val="0"/>
                <w:color w:val="000000"/>
                <w:sz w:val="32"/>
              </w:rPr>
              <w:t>超90%</w:t>
            </w:r>
          </w:p>
        </w:tc>
        <w:tc>
          <w:tcPr>
            <w:tcW w:type="dxa" w:w="3118"/>
          </w:tcPr>
          <w:p>
            <w:pPr>
              <w:spacing w:lineRule="exact" w:line="600"/>
              <w:jc w:val="center"/>
            </w:pPr>
            <w:r/>
            <w:r>
              <w:rPr>
                <w:rFonts w:ascii="仿宋_GB2312" w:hAnsi="仿宋_GB2312" w:eastAsia="仿宋_GB2312"/>
                <w:b w:val="0"/>
                <w:color w:val="000000"/>
                <w:sz w:val="32"/>
              </w:rPr>
              <w:t>乐陵市政府/齐鲁网</w:t>
            </w:r>
          </w:p>
        </w:tc>
      </w:tr>
      <w:tr>
        <w:tc>
          <w:tcPr>
            <w:tcW w:type="dxa" w:w="2835"/>
          </w:tcPr>
          <w:p>
            <w:pPr>
              <w:spacing w:lineRule="exact" w:line="600"/>
              <w:jc w:val="center"/>
            </w:pPr>
            <w:r/>
            <w:r>
              <w:rPr>
                <w:rFonts w:ascii="仿宋_GB2312" w:hAnsi="仿宋_GB2312" w:eastAsia="仿宋_GB2312"/>
                <w:b w:val="0"/>
                <w:color w:val="000000"/>
                <w:sz w:val="32"/>
              </w:rPr>
              <w:t>国际认证产品</w:t>
            </w:r>
          </w:p>
        </w:tc>
        <w:tc>
          <w:tcPr>
            <w:tcW w:type="dxa" w:w="2835"/>
          </w:tcPr>
          <w:p>
            <w:pPr>
              <w:spacing w:lineRule="exact" w:line="600"/>
              <w:jc w:val="center"/>
            </w:pPr>
            <w:r/>
            <w:r>
              <w:rPr>
                <w:rFonts w:ascii="仿宋_GB2312" w:hAnsi="仿宋_GB2312" w:eastAsia="仿宋_GB2312"/>
                <w:b w:val="0"/>
                <w:color w:val="000000"/>
                <w:sz w:val="32"/>
              </w:rPr>
              <w:t>100多项</w:t>
            </w:r>
          </w:p>
        </w:tc>
        <w:tc>
          <w:tcPr>
            <w:tcW w:type="dxa" w:w="3118"/>
          </w:tcPr>
          <w:p>
            <w:pPr>
              <w:spacing w:lineRule="exact" w:line="600"/>
              <w:jc w:val="center"/>
            </w:pPr>
            <w:r/>
            <w:r>
              <w:rPr>
                <w:rFonts w:ascii="仿宋_GB2312" w:hAnsi="仿宋_GB2312" w:eastAsia="仿宋_GB2312"/>
                <w:b w:val="0"/>
                <w:color w:val="000000"/>
                <w:sz w:val="32"/>
              </w:rPr>
              <w:t>乐陵市政府</w:t>
            </w:r>
          </w:p>
        </w:tc>
      </w:tr>
      <w:tr>
        <w:tc>
          <w:tcPr>
            <w:tcW w:type="dxa" w:w="2835"/>
          </w:tcPr>
          <w:p>
            <w:pPr>
              <w:spacing w:lineRule="exact" w:line="600"/>
              <w:jc w:val="center"/>
            </w:pPr>
            <w:r/>
            <w:r>
              <w:rPr>
                <w:rFonts w:ascii="仿宋_GB2312" w:hAnsi="仿宋_GB2312" w:eastAsia="仿宋_GB2312"/>
                <w:b w:val="0"/>
                <w:color w:val="000000"/>
                <w:sz w:val="32"/>
              </w:rPr>
              <w:t>参与制定标准</w:t>
            </w:r>
          </w:p>
        </w:tc>
        <w:tc>
          <w:tcPr>
            <w:tcW w:type="dxa" w:w="2835"/>
          </w:tcPr>
          <w:p>
            <w:pPr>
              <w:spacing w:lineRule="exact" w:line="600"/>
              <w:jc w:val="center"/>
            </w:pPr>
            <w:r/>
            <w:r>
              <w:rPr>
                <w:rFonts w:ascii="仿宋_GB2312" w:hAnsi="仿宋_GB2312" w:eastAsia="仿宋_GB2312"/>
                <w:b w:val="0"/>
                <w:color w:val="000000"/>
                <w:sz w:val="32"/>
              </w:rPr>
              <w:t>200多项</w:t>
            </w:r>
          </w:p>
        </w:tc>
        <w:tc>
          <w:tcPr>
            <w:tcW w:type="dxa" w:w="3118"/>
          </w:tcPr>
          <w:p>
            <w:pPr>
              <w:spacing w:lineRule="exact" w:line="600"/>
              <w:jc w:val="center"/>
            </w:pPr>
            <w:r/>
            <w:r>
              <w:rPr>
                <w:rFonts w:ascii="仿宋_GB2312" w:hAnsi="仿宋_GB2312" w:eastAsia="仿宋_GB2312"/>
                <w:b w:val="0"/>
                <w:color w:val="000000"/>
                <w:sz w:val="32"/>
              </w:rPr>
              <w:t>香港商报2026</w:t>
            </w:r>
          </w:p>
        </w:tc>
      </w:tr>
      <w:tr>
        <w:tc>
          <w:tcPr>
            <w:tcW w:type="dxa" w:w="2835"/>
          </w:tcPr>
          <w:p>
            <w:pPr>
              <w:spacing w:lineRule="exact" w:line="600"/>
              <w:jc w:val="center"/>
            </w:pPr>
            <w:r/>
            <w:r>
              <w:rPr>
                <w:rFonts w:ascii="仿宋_GB2312" w:hAnsi="仿宋_GB2312" w:eastAsia="仿宋_GB2312"/>
                <w:b w:val="0"/>
                <w:color w:val="000000"/>
                <w:sz w:val="32"/>
              </w:rPr>
              <w:t>泰山体育2025营收</w:t>
            </w:r>
          </w:p>
        </w:tc>
        <w:tc>
          <w:tcPr>
            <w:tcW w:type="dxa" w:w="2835"/>
          </w:tcPr>
          <w:p>
            <w:pPr>
              <w:spacing w:lineRule="exact" w:line="600"/>
              <w:jc w:val="center"/>
            </w:pPr>
            <w:r/>
            <w:r>
              <w:rPr>
                <w:rFonts w:ascii="仿宋_GB2312" w:hAnsi="仿宋_GB2312" w:eastAsia="仿宋_GB2312"/>
                <w:b w:val="0"/>
                <w:color w:val="000000"/>
                <w:sz w:val="32"/>
              </w:rPr>
              <w:t>117.64亿元</w:t>
            </w:r>
          </w:p>
        </w:tc>
        <w:tc>
          <w:tcPr>
            <w:tcW w:type="dxa" w:w="3118"/>
          </w:tcPr>
          <w:p>
            <w:pPr>
              <w:spacing w:lineRule="exact" w:line="600"/>
              <w:jc w:val="center"/>
            </w:pPr>
            <w:r/>
            <w:r>
              <w:rPr>
                <w:rFonts w:ascii="仿宋_GB2312" w:hAnsi="仿宋_GB2312" w:eastAsia="仿宋_GB2312"/>
                <w:b w:val="0"/>
                <w:color w:val="000000"/>
                <w:sz w:val="32"/>
              </w:rPr>
              <w:t>百度百科</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体育产业已被纳入国家战略层面。党的二十大报告提出「促进群众体育和竞技体育全面发展，加快建设体育强国」。山东省提出「打造千亿级体育企业，建设万亿级体育产业集群」的奋斗目标，德州市据此推进特色体育名城建设，将高端体育装备智造基地列为十项重点任务之一。2023年德州市体育产业产值达400亿元，其中规模以上企业37家、实现营业收入超125亿元、同比增长20.3%以上，全市规上体育企业研发投入占比连续5年超5.5%（来源：新华社《瞭望》2024-05-06、德州市政府官网）。乐陵作为核心承载地，政策红利持续释放。</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乐陵市是山东省唯一的国家体育产业联系单位城市，2010年获国家体育总局批准成为全国第六家、山东省第一家国家体育产业基地，2022年体育产业总产值达139亿元，入选全省十大优势产业特色集群（来源：齐鲁网闪电新闻2022-09-08、经济导报2022-09-09）。在德州市「乐陵竞技体育装备、宁津商用健身器材、庆云健身路径器材」的分工互补格局中，乐陵定位于高附加值的竞技体育器材与场地装备，竞技体育器材占全国市场份额超九成，产品远销200余个国家和地区。</w:t>
      </w:r>
    </w:p>
    <w:p>
      <w:pPr>
        <w:spacing w:lineRule="exact" w:line="600" w:before="120" w:after="120"/>
        <w:ind w:firstLine="420"/>
        <w:jc w:val="left"/>
      </w:pPr>
      <w:r>
        <w:rPr>
          <w:rFonts w:ascii="楷体_GB2312" w:hAnsi="楷体_GB2312" w:eastAsia="楷体_GB2312"/>
          <w:b w:val="0"/>
          <w:color w:val="000000"/>
          <w:sz w:val="32"/>
        </w:rPr>
        <w:t>（三）全球赛事周期的需求拉动</w:t>
      </w:r>
    </w:p>
    <w:p>
      <w:pPr>
        <w:spacing w:lineRule="exact" w:line="600" w:before="0" w:after="0"/>
        <w:ind w:firstLine="420"/>
        <w:jc w:val="both"/>
      </w:pPr>
      <w:r>
        <w:rPr>
          <w:rFonts w:ascii="仿宋_GB2312" w:hAnsi="仿宋_GB2312" w:eastAsia="仿宋_GB2312"/>
          <w:b w:val="0"/>
          <w:color w:val="000000"/>
          <w:sz w:val="32"/>
        </w:rPr>
        <w:t>国际赛事是竞技器材需求的核心拉动力。泰山体育自2008年北京奥运会起累计服务8届奥运会、3届青奥会、7届亚运会等2000余场国内外大型赛事，实现「零失误、零故障、零投诉」（来源：泰山体育官网、百度百科）。2024年巴黎奥运会，乐陵泰山体育为摔跤、柔道等10多个大项提供上万件比赛器材，友谊体育等企业同步供货，带动上半年乐陵规上体育企业营业收入54.63亿元、同比增长6.24%（来源：中国发展网2024-08）。赛事「流量」正转化为产业「增量」。</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3118"/>
          </w:tcPr>
          <w:p>
            <w:pPr>
              <w:spacing w:lineRule="exact" w:line="600"/>
              <w:jc w:val="center"/>
            </w:pPr>
            <w:r/>
            <w:r>
              <w:rPr>
                <w:rFonts w:ascii="仿宋_GB2312" w:hAnsi="仿宋_GB2312" w:eastAsia="仿宋_GB2312"/>
                <w:b w:val="0"/>
                <w:color w:val="000000"/>
                <w:sz w:val="32"/>
              </w:rPr>
              <w:t>德州市体育产业总产值</w:t>
            </w:r>
          </w:p>
        </w:tc>
        <w:tc>
          <w:tcPr>
            <w:tcW w:type="dxa" w:w="2835"/>
          </w:tcPr>
          <w:p>
            <w:pPr>
              <w:spacing w:lineRule="exact" w:line="600"/>
              <w:jc w:val="center"/>
            </w:pPr>
            <w:r/>
            <w:r>
              <w:rPr>
                <w:rFonts w:ascii="仿宋_GB2312" w:hAnsi="仿宋_GB2312" w:eastAsia="仿宋_GB2312"/>
                <w:b w:val="0"/>
                <w:color w:val="000000"/>
                <w:sz w:val="32"/>
              </w:rPr>
              <w:t>400亿元（2023）</w:t>
            </w:r>
          </w:p>
        </w:tc>
        <w:tc>
          <w:tcPr>
            <w:tcW w:type="dxa" w:w="3118"/>
          </w:tcPr>
          <w:p>
            <w:pPr>
              <w:spacing w:lineRule="exact" w:line="600"/>
              <w:jc w:val="center"/>
            </w:pPr>
            <w:r/>
            <w:r>
              <w:rPr>
                <w:rFonts w:ascii="仿宋_GB2312" w:hAnsi="仿宋_GB2312" w:eastAsia="仿宋_GB2312"/>
                <w:b w:val="0"/>
                <w:color w:val="000000"/>
                <w:sz w:val="32"/>
              </w:rPr>
              <w:t>新华社瞭望/德州市政府</w:t>
            </w:r>
          </w:p>
        </w:tc>
      </w:tr>
      <w:tr>
        <w:tc>
          <w:tcPr>
            <w:tcW w:type="dxa" w:w="3118"/>
          </w:tcPr>
          <w:p>
            <w:pPr>
              <w:spacing w:lineRule="exact" w:line="600"/>
              <w:jc w:val="center"/>
            </w:pPr>
            <w:r/>
            <w:r>
              <w:rPr>
                <w:rFonts w:ascii="仿宋_GB2312" w:hAnsi="仿宋_GB2312" w:eastAsia="仿宋_GB2312"/>
                <w:b w:val="0"/>
                <w:color w:val="000000"/>
                <w:sz w:val="32"/>
              </w:rPr>
              <w:t>乐陵规上体育产业产值</w:t>
            </w:r>
          </w:p>
        </w:tc>
        <w:tc>
          <w:tcPr>
            <w:tcW w:type="dxa" w:w="2835"/>
          </w:tcPr>
          <w:p>
            <w:pPr>
              <w:spacing w:lineRule="exact" w:line="600"/>
              <w:jc w:val="center"/>
            </w:pPr>
            <w:r/>
            <w:r>
              <w:rPr>
                <w:rFonts w:ascii="仿宋_GB2312" w:hAnsi="仿宋_GB2312" w:eastAsia="仿宋_GB2312"/>
                <w:b w:val="0"/>
                <w:color w:val="000000"/>
                <w:sz w:val="32"/>
              </w:rPr>
              <w:t>95.51亿元，增速20.2%</w:t>
            </w:r>
          </w:p>
        </w:tc>
        <w:tc>
          <w:tcPr>
            <w:tcW w:type="dxa" w:w="3118"/>
          </w:tcPr>
          <w:p>
            <w:pPr>
              <w:spacing w:lineRule="exact" w:line="600"/>
              <w:jc w:val="center"/>
            </w:pPr>
            <w:r/>
            <w:r>
              <w:rPr>
                <w:rFonts w:ascii="仿宋_GB2312" w:hAnsi="仿宋_GB2312" w:eastAsia="仿宋_GB2312"/>
                <w:b w:val="0"/>
                <w:color w:val="000000"/>
                <w:sz w:val="32"/>
              </w:rPr>
              <w:t>德州市人大建议答复（2023）</w:t>
            </w:r>
          </w:p>
        </w:tc>
      </w:tr>
      <w:tr>
        <w:tc>
          <w:tcPr>
            <w:tcW w:type="dxa" w:w="3118"/>
          </w:tcPr>
          <w:p>
            <w:pPr>
              <w:spacing w:lineRule="exact" w:line="600"/>
              <w:jc w:val="center"/>
            </w:pPr>
            <w:r/>
            <w:r>
              <w:rPr>
                <w:rFonts w:ascii="仿宋_GB2312" w:hAnsi="仿宋_GB2312" w:eastAsia="仿宋_GB2312"/>
                <w:b w:val="0"/>
                <w:color w:val="000000"/>
                <w:sz w:val="32"/>
              </w:rPr>
              <w:t>乐陵体育产业总产值</w:t>
            </w:r>
          </w:p>
        </w:tc>
        <w:tc>
          <w:tcPr>
            <w:tcW w:type="dxa" w:w="2835"/>
          </w:tcPr>
          <w:p>
            <w:pPr>
              <w:spacing w:lineRule="exact" w:line="600"/>
              <w:jc w:val="center"/>
            </w:pPr>
            <w:r/>
            <w:r>
              <w:rPr>
                <w:rFonts w:ascii="仿宋_GB2312" w:hAnsi="仿宋_GB2312" w:eastAsia="仿宋_GB2312"/>
                <w:b w:val="0"/>
                <w:color w:val="000000"/>
                <w:sz w:val="32"/>
              </w:rPr>
              <w:t>139亿元</w:t>
            </w:r>
          </w:p>
        </w:tc>
        <w:tc>
          <w:tcPr>
            <w:tcW w:type="dxa" w:w="3118"/>
          </w:tcPr>
          <w:p>
            <w:pPr>
              <w:spacing w:lineRule="exact" w:line="600"/>
              <w:jc w:val="center"/>
            </w:pPr>
            <w:r/>
            <w:r>
              <w:rPr>
                <w:rFonts w:ascii="仿宋_GB2312" w:hAnsi="仿宋_GB2312" w:eastAsia="仿宋_GB2312"/>
                <w:b w:val="0"/>
                <w:color w:val="000000"/>
                <w:sz w:val="32"/>
              </w:rPr>
              <w:t>齐鲁网闪电新闻（2022）</w:t>
            </w:r>
          </w:p>
        </w:tc>
      </w:tr>
      <w:tr>
        <w:tc>
          <w:tcPr>
            <w:tcW w:type="dxa" w:w="3118"/>
          </w:tcPr>
          <w:p>
            <w:pPr>
              <w:spacing w:lineRule="exact" w:line="600"/>
              <w:jc w:val="center"/>
            </w:pPr>
            <w:r/>
            <w:r>
              <w:rPr>
                <w:rFonts w:ascii="仿宋_GB2312" w:hAnsi="仿宋_GB2312" w:eastAsia="仿宋_GB2312"/>
                <w:b w:val="0"/>
                <w:color w:val="000000"/>
                <w:sz w:val="32"/>
              </w:rPr>
              <w:t>竞技体育器材全国份额</w:t>
            </w:r>
          </w:p>
        </w:tc>
        <w:tc>
          <w:tcPr>
            <w:tcW w:type="dxa" w:w="2835"/>
          </w:tcPr>
          <w:p>
            <w:pPr>
              <w:spacing w:lineRule="exact" w:line="600"/>
              <w:jc w:val="center"/>
            </w:pPr>
            <w:r/>
            <w:r>
              <w:rPr>
                <w:rFonts w:ascii="仿宋_GB2312" w:hAnsi="仿宋_GB2312" w:eastAsia="仿宋_GB2312"/>
                <w:b w:val="0"/>
                <w:color w:val="000000"/>
                <w:sz w:val="32"/>
              </w:rPr>
              <w:t>超90%</w:t>
            </w:r>
          </w:p>
        </w:tc>
        <w:tc>
          <w:tcPr>
            <w:tcW w:type="dxa" w:w="3118"/>
          </w:tcPr>
          <w:p>
            <w:pPr>
              <w:spacing w:lineRule="exact" w:line="600"/>
              <w:jc w:val="center"/>
            </w:pPr>
            <w:r/>
            <w:r>
              <w:rPr>
                <w:rFonts w:ascii="仿宋_GB2312" w:hAnsi="仿宋_GB2312" w:eastAsia="仿宋_GB2312"/>
                <w:b w:val="0"/>
                <w:color w:val="000000"/>
                <w:sz w:val="32"/>
              </w:rPr>
              <w:t>乐陵市政府/齐鲁网</w:t>
            </w:r>
          </w:p>
        </w:tc>
      </w:tr>
      <w:tr>
        <w:tc>
          <w:tcPr>
            <w:tcW w:type="dxa" w:w="3118"/>
          </w:tcPr>
          <w:p>
            <w:pPr>
              <w:spacing w:lineRule="exact" w:line="600"/>
              <w:jc w:val="center"/>
            </w:pPr>
            <w:r/>
            <w:r>
              <w:rPr>
                <w:rFonts w:ascii="仿宋_GB2312" w:hAnsi="仿宋_GB2312" w:eastAsia="仿宋_GB2312"/>
                <w:b w:val="0"/>
                <w:color w:val="000000"/>
                <w:sz w:val="32"/>
              </w:rPr>
              <w:t>规上体育企业研发投入占比</w:t>
            </w:r>
          </w:p>
        </w:tc>
        <w:tc>
          <w:tcPr>
            <w:tcW w:type="dxa" w:w="2835"/>
          </w:tcPr>
          <w:p>
            <w:pPr>
              <w:spacing w:lineRule="exact" w:line="600"/>
              <w:jc w:val="center"/>
            </w:pPr>
            <w:r/>
            <w:r>
              <w:rPr>
                <w:rFonts w:ascii="仿宋_GB2312" w:hAnsi="仿宋_GB2312" w:eastAsia="仿宋_GB2312"/>
                <w:b w:val="0"/>
                <w:color w:val="000000"/>
                <w:sz w:val="32"/>
              </w:rPr>
              <w:t>连续5年超5.5%</w:t>
            </w:r>
          </w:p>
        </w:tc>
        <w:tc>
          <w:tcPr>
            <w:tcW w:type="dxa" w:w="3118"/>
          </w:tcPr>
          <w:p>
            <w:pPr>
              <w:spacing w:lineRule="exact" w:line="600"/>
              <w:jc w:val="center"/>
            </w:pPr>
            <w:r/>
            <w:r>
              <w:rPr>
                <w:rFonts w:ascii="仿宋_GB2312" w:hAnsi="仿宋_GB2312" w:eastAsia="仿宋_GB2312"/>
                <w:b w:val="0"/>
                <w:color w:val="000000"/>
                <w:sz w:val="32"/>
              </w:rPr>
              <w:t>德州市政府</w:t>
            </w:r>
          </w:p>
        </w:tc>
      </w:tr>
      <w:tr>
        <w:tc>
          <w:tcPr>
            <w:tcW w:type="dxa" w:w="3118"/>
          </w:tcPr>
          <w:p>
            <w:pPr>
              <w:spacing w:lineRule="exact" w:line="600"/>
              <w:jc w:val="center"/>
            </w:pPr>
            <w:r/>
            <w:r>
              <w:rPr>
                <w:rFonts w:ascii="仿宋_GB2312" w:hAnsi="仿宋_GB2312" w:eastAsia="仿宋_GB2312"/>
                <w:b w:val="0"/>
                <w:color w:val="000000"/>
                <w:sz w:val="32"/>
              </w:rPr>
              <w:t>服务顶级赛事场次</w:t>
            </w:r>
          </w:p>
        </w:tc>
        <w:tc>
          <w:tcPr>
            <w:tcW w:type="dxa" w:w="2835"/>
          </w:tcPr>
          <w:p>
            <w:pPr>
              <w:spacing w:lineRule="exact" w:line="600"/>
              <w:jc w:val="center"/>
            </w:pPr>
            <w:r/>
            <w:r>
              <w:rPr>
                <w:rFonts w:ascii="仿宋_GB2312" w:hAnsi="仿宋_GB2312" w:eastAsia="仿宋_GB2312"/>
                <w:b w:val="0"/>
                <w:color w:val="000000"/>
                <w:sz w:val="32"/>
              </w:rPr>
              <w:t>2000余场（含8届奥运）</w:t>
            </w:r>
          </w:p>
        </w:tc>
        <w:tc>
          <w:tcPr>
            <w:tcW w:type="dxa" w:w="3118"/>
          </w:tcPr>
          <w:p>
            <w:pPr>
              <w:spacing w:lineRule="exact" w:line="600"/>
              <w:jc w:val="center"/>
            </w:pPr>
            <w:r/>
            <w:r>
              <w:rPr>
                <w:rFonts w:ascii="仿宋_GB2312" w:hAnsi="仿宋_GB2312" w:eastAsia="仿宋_GB2312"/>
                <w:b w:val="0"/>
                <w:color w:val="000000"/>
                <w:sz w:val="32"/>
              </w:rPr>
              <w:t>泰山体育官网</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（一）上游原材料与核心部件</w:t>
      </w:r>
    </w:p>
    <w:p>
      <w:pPr>
        <w:spacing w:lineRule="exact" w:line="600" w:before="0" w:after="0"/>
        <w:ind w:firstLine="420"/>
        <w:jc w:val="both"/>
      </w:pPr>
      <w:r>
        <w:rPr>
          <w:rFonts w:ascii="仿宋_GB2312" w:hAnsi="仿宋_GB2312" w:eastAsia="仿宋_GB2312"/>
          <w:b w:val="0"/>
          <w:color w:val="000000"/>
          <w:sz w:val="32"/>
        </w:rPr>
        <w:t>竞技器材上游涵盖碳纤维及复合材料、高强度钢材、工程塑料、橡胶与环保型填充颗粒等。泰山体育旗下泰山瑞豹复合材料聚焦碳纤维自行车车架及竞技器材复合材料，打破了高端复合材料长期由国外垄断的局面；碳纤维体操产品填补世界空白（来源：泰山体育官网、乐陵市政府）。乐陵本地原材料配套仍偏弱，碳纤维预浸料、高端芯片传感器等部分依赖外部采购，是产业链强链补链的重点。</w:t>
      </w:r>
    </w:p>
    <w:p>
      <w:pPr>
        <w:spacing w:lineRule="exact" w:line="600" w:before="120" w:after="120"/>
        <w:ind w:firstLine="420"/>
        <w:jc w:val="left"/>
      </w:pPr>
      <w:r>
        <w:rPr>
          <w:rFonts w:ascii="楷体_GB2312" w:hAnsi="楷体_GB2312" w:eastAsia="楷体_GB2312"/>
          <w:b w:val="0"/>
          <w:color w:val="000000"/>
          <w:sz w:val="32"/>
        </w:rPr>
        <w:t>（二）中游竞技器材与场地装备制造</w:t>
      </w:r>
    </w:p>
    <w:p>
      <w:pPr>
        <w:spacing w:lineRule="exact" w:line="600" w:before="0" w:after="0"/>
        <w:ind w:firstLine="420"/>
        <w:jc w:val="both"/>
      </w:pPr>
      <w:r>
        <w:rPr>
          <w:rFonts w:ascii="仿宋_GB2312" w:hAnsi="仿宋_GB2312" w:eastAsia="仿宋_GB2312"/>
          <w:b w:val="0"/>
          <w:color w:val="000000"/>
          <w:sz w:val="32"/>
        </w:rPr>
        <w:t>中游是乐陵最具竞争力的环节，产品体系覆盖体操田径、射箭、拳击、举摔柔、艺术体操等竞技器材，以及运动垫、拳击台、举重台、柔道场地、田径器材等场地装备。山东泰山体育器材有限公司（泰山体育子公司）生产的竞技器材占中国竞技体育市场90%以上（来源：泰山体育官网）。友谊体育专注射箭、射击器材，是世界六大专业射箭生产商之一，年产射箭器材约20万套（来源：经济日报/央视网2024-08）。</w:t>
      </w:r>
    </w:p>
    <w:p>
      <w:pPr>
        <w:spacing w:lineRule="exact" w:line="600" w:before="120" w:after="120"/>
        <w:ind w:firstLine="420"/>
        <w:jc w:val="left"/>
      </w:pPr>
      <w:r>
        <w:rPr>
          <w:rFonts w:ascii="楷体_GB2312" w:hAnsi="楷体_GB2312" w:eastAsia="楷体_GB2312"/>
          <w:b w:val="0"/>
          <w:color w:val="000000"/>
          <w:sz w:val="32"/>
        </w:rPr>
        <w:t>（三）下游赛事服务与运营</w:t>
      </w:r>
    </w:p>
    <w:p>
      <w:pPr>
        <w:spacing w:lineRule="exact" w:line="600" w:before="0" w:after="0"/>
        <w:ind w:firstLine="420"/>
        <w:jc w:val="both"/>
      </w:pPr>
      <w:r>
        <w:rPr>
          <w:rFonts w:ascii="仿宋_GB2312" w:hAnsi="仿宋_GB2312" w:eastAsia="仿宋_GB2312"/>
          <w:b w:val="0"/>
          <w:color w:val="000000"/>
          <w:sz w:val="32"/>
        </w:rPr>
        <w:t>下游由赛事综合服务、检测认证、场馆运营构成。泰山体育以CD2S（咨询、设计、供应、服务）模式提供大型赛事一站式服务，并在乐陵建成国内首创的泰山智慧体育公园，推动「奥运品质、全民共享」。2025年8月国内首家泰山体育超级工厂店在乐陵启幕，计划构建覆盖全国2800个县域的工厂店网络，延伸价值链（来源：香港商报2026-04-28、百度百科）。</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环节</w:t>
            </w:r>
          </w:p>
        </w:tc>
        <w:tc>
          <w:tcPr>
            <w:tcW w:type="dxa" w:w="4252"/>
          </w:tcPr>
          <w:p>
            <w:pPr>
              <w:spacing w:lineRule="exact" w:line="600"/>
              <w:jc w:val="center"/>
            </w:pPr>
            <w:r/>
            <w:r>
              <w:rPr>
                <w:rFonts w:ascii="黑体" w:hAnsi="黑体" w:eastAsia="黑体"/>
                <w:b/>
                <w:color w:val="000000"/>
                <w:sz w:val="32"/>
              </w:rPr>
              <w:t>主要产品/内容</w:t>
            </w:r>
          </w:p>
        </w:tc>
        <w:tc>
          <w:tcPr>
            <w:tcW w:type="dxa" w:w="2835"/>
          </w:tcPr>
          <w:p>
            <w:pPr>
              <w:spacing w:lineRule="exact" w:line="600"/>
              <w:jc w:val="center"/>
            </w:pPr>
            <w:r/>
            <w:r>
              <w:rPr>
                <w:rFonts w:ascii="黑体" w:hAnsi="黑体" w:eastAsia="黑体"/>
                <w:b/>
                <w:color w:val="000000"/>
                <w:sz w:val="32"/>
              </w:rPr>
              <w:t>代表企业</w:t>
            </w:r>
          </w:p>
        </w:tc>
      </w:tr>
      <w:tr>
        <w:tc>
          <w:tcPr>
            <w:tcW w:type="dxa" w:w="1984"/>
          </w:tcPr>
          <w:p>
            <w:pPr>
              <w:spacing w:lineRule="exact" w:line="600"/>
              <w:jc w:val="center"/>
            </w:pPr>
            <w:r/>
            <w:r>
              <w:rPr>
                <w:rFonts w:ascii="仿宋_GB2312" w:hAnsi="仿宋_GB2312" w:eastAsia="仿宋_GB2312"/>
                <w:b w:val="0"/>
                <w:color w:val="000000"/>
                <w:sz w:val="32"/>
              </w:rPr>
              <w:t>上游</w:t>
            </w:r>
          </w:p>
        </w:tc>
        <w:tc>
          <w:tcPr>
            <w:tcW w:type="dxa" w:w="4252"/>
          </w:tcPr>
          <w:p>
            <w:pPr>
              <w:spacing w:lineRule="exact" w:line="600"/>
              <w:jc w:val="center"/>
            </w:pPr>
            <w:r/>
            <w:r>
              <w:rPr>
                <w:rFonts w:ascii="仿宋_GB2312" w:hAnsi="仿宋_GB2312" w:eastAsia="仿宋_GB2312"/>
                <w:b w:val="0"/>
                <w:color w:val="000000"/>
                <w:sz w:val="32"/>
              </w:rPr>
              <w:t>碳纤维复合材料、钢材、工程塑料、传感器</w:t>
            </w:r>
          </w:p>
        </w:tc>
        <w:tc>
          <w:tcPr>
            <w:tcW w:type="dxa" w:w="2835"/>
          </w:tcPr>
          <w:p>
            <w:pPr>
              <w:spacing w:lineRule="exact" w:line="600"/>
              <w:jc w:val="center"/>
            </w:pPr>
            <w:r/>
            <w:r>
              <w:rPr>
                <w:rFonts w:ascii="仿宋_GB2312" w:hAnsi="仿宋_GB2312" w:eastAsia="仿宋_GB2312"/>
                <w:b w:val="0"/>
                <w:color w:val="000000"/>
                <w:sz w:val="32"/>
              </w:rPr>
              <w:t>泰山瑞豹、外部配套</w:t>
            </w:r>
          </w:p>
        </w:tc>
      </w:tr>
      <w:tr>
        <w:tc>
          <w:tcPr>
            <w:tcW w:type="dxa" w:w="1984"/>
          </w:tcPr>
          <w:p>
            <w:pPr>
              <w:spacing w:lineRule="exact" w:line="600"/>
              <w:jc w:val="center"/>
            </w:pPr>
            <w:r/>
            <w:r>
              <w:rPr>
                <w:rFonts w:ascii="仿宋_GB2312" w:hAnsi="仿宋_GB2312" w:eastAsia="仿宋_GB2312"/>
                <w:b w:val="0"/>
                <w:color w:val="000000"/>
                <w:sz w:val="32"/>
              </w:rPr>
              <w:t>中游</w:t>
            </w:r>
          </w:p>
        </w:tc>
        <w:tc>
          <w:tcPr>
            <w:tcW w:type="dxa" w:w="4252"/>
          </w:tcPr>
          <w:p>
            <w:pPr>
              <w:spacing w:lineRule="exact" w:line="600"/>
              <w:jc w:val="center"/>
            </w:pPr>
            <w:r/>
            <w:r>
              <w:rPr>
                <w:rFonts w:ascii="仿宋_GB2312" w:hAnsi="仿宋_GB2312" w:eastAsia="仿宋_GB2312"/>
                <w:b w:val="0"/>
                <w:color w:val="000000"/>
                <w:sz w:val="32"/>
              </w:rPr>
              <w:t>体操/田径/射箭/举摔柔器材、运动垫、拳击台</w:t>
            </w:r>
          </w:p>
        </w:tc>
        <w:tc>
          <w:tcPr>
            <w:tcW w:type="dxa" w:w="2835"/>
          </w:tcPr>
          <w:p>
            <w:pPr>
              <w:spacing w:lineRule="exact" w:line="600"/>
              <w:jc w:val="center"/>
            </w:pPr>
            <w:r/>
            <w:r>
              <w:rPr>
                <w:rFonts w:ascii="仿宋_GB2312" w:hAnsi="仿宋_GB2312" w:eastAsia="仿宋_GB2312"/>
                <w:b w:val="0"/>
                <w:color w:val="000000"/>
                <w:sz w:val="32"/>
              </w:rPr>
              <w:t>泰山体育器材、友谊体育</w:t>
            </w:r>
          </w:p>
        </w:tc>
      </w:tr>
      <w:tr>
        <w:tc>
          <w:tcPr>
            <w:tcW w:type="dxa" w:w="1984"/>
          </w:tcPr>
          <w:p>
            <w:pPr>
              <w:spacing w:lineRule="exact" w:line="600"/>
              <w:jc w:val="center"/>
            </w:pPr>
            <w:r/>
            <w:r>
              <w:rPr>
                <w:rFonts w:ascii="仿宋_GB2312" w:hAnsi="仿宋_GB2312" w:eastAsia="仿宋_GB2312"/>
                <w:b w:val="0"/>
                <w:color w:val="000000"/>
                <w:sz w:val="32"/>
              </w:rPr>
              <w:t>下游</w:t>
            </w:r>
          </w:p>
        </w:tc>
        <w:tc>
          <w:tcPr>
            <w:tcW w:type="dxa" w:w="4252"/>
          </w:tcPr>
          <w:p>
            <w:pPr>
              <w:spacing w:lineRule="exact" w:line="600"/>
              <w:jc w:val="center"/>
            </w:pPr>
            <w:r/>
            <w:r>
              <w:rPr>
                <w:rFonts w:ascii="仿宋_GB2312" w:hAnsi="仿宋_GB2312" w:eastAsia="仿宋_GB2312"/>
                <w:b w:val="0"/>
                <w:color w:val="000000"/>
                <w:sz w:val="32"/>
              </w:rPr>
              <w:t>赛事服务、检测认证、体育公园运营</w:t>
            </w:r>
          </w:p>
        </w:tc>
        <w:tc>
          <w:tcPr>
            <w:tcW w:type="dxa" w:w="2835"/>
          </w:tcPr>
          <w:p>
            <w:pPr>
              <w:spacing w:lineRule="exact" w:line="600"/>
              <w:jc w:val="center"/>
            </w:pPr>
            <w:r/>
            <w:r>
              <w:rPr>
                <w:rFonts w:ascii="仿宋_GB2312" w:hAnsi="仿宋_GB2312" w:eastAsia="仿宋_GB2312"/>
                <w:b w:val="0"/>
                <w:color w:val="000000"/>
                <w:sz w:val="32"/>
              </w:rPr>
              <w:t>泰山体育工程、泰山智慧体育</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（一）国内竞技器材市场需求</w:t>
      </w:r>
    </w:p>
    <w:p>
      <w:pPr>
        <w:spacing w:lineRule="exact" w:line="600" w:before="0" w:after="0"/>
        <w:ind w:firstLine="420"/>
        <w:jc w:val="both"/>
      </w:pPr>
      <w:r>
        <w:rPr>
          <w:rFonts w:ascii="仿宋_GB2312" w:hAnsi="仿宋_GB2312" w:eastAsia="仿宋_GB2312"/>
          <w:b w:val="0"/>
          <w:color w:val="000000"/>
          <w:sz w:val="32"/>
        </w:rPr>
        <w:t>随着全运会、青运会及各类单项锦标赛常态化举办，国内竞技器材需求稳定增长。山东省及德州市近两年来举办全国青年体操锦标赛、「体总杯」全国体操团体锦标赛、国家青年女子篮球挑战赛等国家级省级赛事200多场（来源：新华社瞭望2024-05）。乐陵竞技器材以高认证、高可靠占据国家队及大型赛事采购主流，竞技体育器材占全国市场份额超九成。</w:t>
      </w:r>
    </w:p>
    <w:p>
      <w:pPr>
        <w:spacing w:lineRule="exact" w:line="600" w:before="120" w:after="120"/>
        <w:ind w:firstLine="420"/>
        <w:jc w:val="left"/>
      </w:pPr>
      <w:r>
        <w:rPr>
          <w:rFonts w:ascii="楷体_GB2312" w:hAnsi="楷体_GB2312" w:eastAsia="楷体_GB2312"/>
          <w:b w:val="0"/>
          <w:color w:val="000000"/>
          <w:sz w:val="32"/>
        </w:rPr>
        <w:t>（二）国际市场竞争与认证壁垒</w:t>
      </w:r>
    </w:p>
    <w:p>
      <w:pPr>
        <w:spacing w:lineRule="exact" w:line="600" w:before="0" w:after="0"/>
        <w:ind w:firstLine="420"/>
        <w:jc w:val="both"/>
      </w:pPr>
      <w:r>
        <w:rPr>
          <w:rFonts w:ascii="仿宋_GB2312" w:hAnsi="仿宋_GB2312" w:eastAsia="仿宋_GB2312"/>
          <w:b w:val="0"/>
          <w:color w:val="000000"/>
          <w:sz w:val="32"/>
        </w:rPr>
        <w:t>国际竞技器材市场由欧美品牌长期主导，认证壁垒极高。乐陵企业通过「标准+认证」突破：全市体育企业通过国际体育协会认证的产品多达100多项，参与制定国际国内行业标准200多项（来源：乐陵市政府、香港商报2026-04）。泰山体育拥有国内外专利超1000项，200多项产品通过国际单项协会认证，数量为全球行业之首；其体操产品全部通过国际认证，人造草坪获国际足联和国际曲联认证。</w:t>
      </w:r>
    </w:p>
    <w:p>
      <w:pPr>
        <w:spacing w:lineRule="exact" w:line="600" w:before="120" w:after="120"/>
        <w:ind w:firstLine="420"/>
        <w:jc w:val="left"/>
      </w:pPr>
      <w:r>
        <w:rPr>
          <w:rFonts w:ascii="楷体_GB2312" w:hAnsi="楷体_GB2312" w:eastAsia="楷体_GB2312"/>
          <w:b w:val="0"/>
          <w:color w:val="000000"/>
          <w:sz w:val="32"/>
        </w:rPr>
        <w:t>（三）替代品与进入壁垒</w:t>
      </w:r>
    </w:p>
    <w:p>
      <w:pPr>
        <w:spacing w:lineRule="exact" w:line="600" w:before="0" w:after="0"/>
        <w:ind w:firstLine="420"/>
        <w:jc w:val="both"/>
      </w:pPr>
      <w:r>
        <w:rPr>
          <w:rFonts w:ascii="仿宋_GB2312" w:hAnsi="仿宋_GB2312" w:eastAsia="仿宋_GB2312"/>
          <w:b w:val="0"/>
          <w:color w:val="000000"/>
          <w:sz w:val="32"/>
        </w:rPr>
        <w:t>竞技器材专业性极强，低端通用器材难以替代经国际单项协会认证的高端产品，行业进入壁垒高。新进入者需跨越研发平台、认证周期（通常数年）、赛事业绩三重门槛。乐陵依托国家级工程技术研究中心与检测实验室形成「软硬双壁垒」，后发企业难以短期追平（来源：乐陵市政府官网）。</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维度</w:t>
            </w:r>
          </w:p>
        </w:tc>
        <w:tc>
          <w:tcPr>
            <w:tcW w:type="dxa" w:w="3118"/>
          </w:tcPr>
          <w:p>
            <w:pPr>
              <w:spacing w:lineRule="exact" w:line="600"/>
              <w:jc w:val="center"/>
            </w:pPr>
            <w:r/>
            <w:r>
              <w:rPr>
                <w:rFonts w:ascii="黑体" w:hAnsi="黑体" w:eastAsia="黑体"/>
                <w:b/>
                <w:color w:val="000000"/>
                <w:sz w:val="32"/>
              </w:rPr>
              <w:t>乐陵表现</w:t>
            </w:r>
          </w:p>
        </w:tc>
        <w:tc>
          <w:tcPr>
            <w:tcW w:type="dxa" w:w="3402"/>
          </w:tcPr>
          <w:p>
            <w:pPr>
              <w:spacing w:lineRule="exact" w:line="600"/>
              <w:jc w:val="center"/>
            </w:pPr>
            <w:r/>
            <w:r>
              <w:rPr>
                <w:rFonts w:ascii="黑体" w:hAnsi="黑体" w:eastAsia="黑体"/>
                <w:b/>
                <w:color w:val="000000"/>
                <w:sz w:val="32"/>
              </w:rPr>
              <w:t>说明</w:t>
            </w:r>
          </w:p>
        </w:tc>
      </w:tr>
      <w:tr>
        <w:tc>
          <w:tcPr>
            <w:tcW w:type="dxa" w:w="2551"/>
          </w:tcPr>
          <w:p>
            <w:pPr>
              <w:spacing w:lineRule="exact" w:line="600"/>
              <w:jc w:val="center"/>
            </w:pPr>
            <w:r/>
            <w:r>
              <w:rPr>
                <w:rFonts w:ascii="仿宋_GB2312" w:hAnsi="仿宋_GB2312" w:eastAsia="仿宋_GB2312"/>
                <w:b w:val="0"/>
                <w:color w:val="000000"/>
                <w:sz w:val="32"/>
              </w:rPr>
              <w:t>国内竞技器材份额</w:t>
            </w:r>
          </w:p>
        </w:tc>
        <w:tc>
          <w:tcPr>
            <w:tcW w:type="dxa" w:w="3118"/>
          </w:tcPr>
          <w:p>
            <w:pPr>
              <w:spacing w:lineRule="exact" w:line="600"/>
              <w:jc w:val="center"/>
            </w:pPr>
            <w:r/>
            <w:r>
              <w:rPr>
                <w:rFonts w:ascii="仿宋_GB2312" w:hAnsi="仿宋_GB2312" w:eastAsia="仿宋_GB2312"/>
                <w:b w:val="0"/>
                <w:color w:val="000000"/>
                <w:sz w:val="32"/>
              </w:rPr>
              <w:t>超90%</w:t>
            </w:r>
          </w:p>
        </w:tc>
        <w:tc>
          <w:tcPr>
            <w:tcW w:type="dxa" w:w="3402"/>
          </w:tcPr>
          <w:p>
            <w:pPr>
              <w:spacing w:lineRule="exact" w:line="600"/>
              <w:jc w:val="center"/>
            </w:pPr>
            <w:r/>
            <w:r>
              <w:rPr>
                <w:rFonts w:ascii="仿宋_GB2312" w:hAnsi="仿宋_GB2312" w:eastAsia="仿宋_GB2312"/>
                <w:b w:val="0"/>
                <w:color w:val="000000"/>
                <w:sz w:val="32"/>
              </w:rPr>
              <w:t>乐陵市政府/齐鲁网</w:t>
            </w:r>
          </w:p>
        </w:tc>
      </w:tr>
      <w:tr>
        <w:tc>
          <w:tcPr>
            <w:tcW w:type="dxa" w:w="2551"/>
          </w:tcPr>
          <w:p>
            <w:pPr>
              <w:spacing w:lineRule="exact" w:line="600"/>
              <w:jc w:val="center"/>
            </w:pPr>
            <w:r/>
            <w:r>
              <w:rPr>
                <w:rFonts w:ascii="仿宋_GB2312" w:hAnsi="仿宋_GB2312" w:eastAsia="仿宋_GB2312"/>
                <w:b w:val="0"/>
                <w:color w:val="000000"/>
                <w:sz w:val="32"/>
              </w:rPr>
              <w:t>国际认证产品数</w:t>
            </w:r>
          </w:p>
        </w:tc>
        <w:tc>
          <w:tcPr>
            <w:tcW w:type="dxa" w:w="3118"/>
          </w:tcPr>
          <w:p>
            <w:pPr>
              <w:spacing w:lineRule="exact" w:line="600"/>
              <w:jc w:val="center"/>
            </w:pPr>
            <w:r/>
            <w:r>
              <w:rPr>
                <w:rFonts w:ascii="仿宋_GB2312" w:hAnsi="仿宋_GB2312" w:eastAsia="仿宋_GB2312"/>
                <w:b w:val="0"/>
                <w:color w:val="000000"/>
                <w:sz w:val="32"/>
              </w:rPr>
              <w:t>100多项（全市）</w:t>
            </w:r>
          </w:p>
        </w:tc>
        <w:tc>
          <w:tcPr>
            <w:tcW w:type="dxa" w:w="3402"/>
          </w:tcPr>
          <w:p>
            <w:pPr>
              <w:spacing w:lineRule="exact" w:line="600"/>
              <w:jc w:val="center"/>
            </w:pPr>
            <w:r/>
            <w:r>
              <w:rPr>
                <w:rFonts w:ascii="仿宋_GB2312" w:hAnsi="仿宋_GB2312" w:eastAsia="仿宋_GB2312"/>
                <w:b w:val="0"/>
                <w:color w:val="000000"/>
                <w:sz w:val="32"/>
              </w:rPr>
              <w:t>乐陵市政府</w:t>
            </w:r>
          </w:p>
        </w:tc>
      </w:tr>
      <w:tr>
        <w:tc>
          <w:tcPr>
            <w:tcW w:type="dxa" w:w="2551"/>
          </w:tcPr>
          <w:p>
            <w:pPr>
              <w:spacing w:lineRule="exact" w:line="600"/>
              <w:jc w:val="center"/>
            </w:pPr>
            <w:r/>
            <w:r>
              <w:rPr>
                <w:rFonts w:ascii="仿宋_GB2312" w:hAnsi="仿宋_GB2312" w:eastAsia="仿宋_GB2312"/>
                <w:b w:val="0"/>
                <w:color w:val="000000"/>
                <w:sz w:val="32"/>
              </w:rPr>
              <w:t>参与制定标准</w:t>
            </w:r>
          </w:p>
        </w:tc>
        <w:tc>
          <w:tcPr>
            <w:tcW w:type="dxa" w:w="3118"/>
          </w:tcPr>
          <w:p>
            <w:pPr>
              <w:spacing w:lineRule="exact" w:line="600"/>
              <w:jc w:val="center"/>
            </w:pPr>
            <w:r/>
            <w:r>
              <w:rPr>
                <w:rFonts w:ascii="仿宋_GB2312" w:hAnsi="仿宋_GB2312" w:eastAsia="仿宋_GB2312"/>
                <w:b w:val="0"/>
                <w:color w:val="000000"/>
                <w:sz w:val="32"/>
              </w:rPr>
              <w:t>200多项（国际国内）</w:t>
            </w:r>
          </w:p>
        </w:tc>
        <w:tc>
          <w:tcPr>
            <w:tcW w:type="dxa" w:w="3402"/>
          </w:tcPr>
          <w:p>
            <w:pPr>
              <w:spacing w:lineRule="exact" w:line="600"/>
              <w:jc w:val="center"/>
            </w:pPr>
            <w:r/>
            <w:r>
              <w:rPr>
                <w:rFonts w:ascii="仿宋_GB2312" w:hAnsi="仿宋_GB2312" w:eastAsia="仿宋_GB2312"/>
                <w:b w:val="0"/>
                <w:color w:val="000000"/>
                <w:sz w:val="32"/>
              </w:rPr>
              <w:t>香港商报2026</w:t>
            </w:r>
          </w:p>
        </w:tc>
      </w:tr>
      <w:tr>
        <w:tc>
          <w:tcPr>
            <w:tcW w:type="dxa" w:w="2551"/>
          </w:tcPr>
          <w:p>
            <w:pPr>
              <w:spacing w:lineRule="exact" w:line="600"/>
              <w:jc w:val="center"/>
            </w:pPr>
            <w:r/>
            <w:r>
              <w:rPr>
                <w:rFonts w:ascii="仿宋_GB2312" w:hAnsi="仿宋_GB2312" w:eastAsia="仿宋_GB2312"/>
                <w:b w:val="0"/>
                <w:color w:val="000000"/>
                <w:sz w:val="32"/>
              </w:rPr>
              <w:t>友箭器材年产</w:t>
            </w:r>
          </w:p>
        </w:tc>
        <w:tc>
          <w:tcPr>
            <w:tcW w:type="dxa" w:w="3118"/>
          </w:tcPr>
          <w:p>
            <w:pPr>
              <w:spacing w:lineRule="exact" w:line="600"/>
              <w:jc w:val="center"/>
            </w:pPr>
            <w:r/>
            <w:r>
              <w:rPr>
                <w:rFonts w:ascii="仿宋_GB2312" w:hAnsi="仿宋_GB2312" w:eastAsia="仿宋_GB2312"/>
                <w:b w:val="0"/>
                <w:color w:val="000000"/>
                <w:sz w:val="32"/>
              </w:rPr>
              <w:t>约20万套</w:t>
            </w:r>
          </w:p>
        </w:tc>
        <w:tc>
          <w:tcPr>
            <w:tcW w:type="dxa" w:w="3402"/>
          </w:tcPr>
          <w:p>
            <w:pPr>
              <w:spacing w:lineRule="exact" w:line="600"/>
              <w:jc w:val="center"/>
            </w:pPr>
            <w:r/>
            <w:r>
              <w:rPr>
                <w:rFonts w:ascii="仿宋_GB2312" w:hAnsi="仿宋_GB2312" w:eastAsia="仿宋_GB2312"/>
                <w:b w:val="0"/>
                <w:color w:val="000000"/>
                <w:sz w:val="32"/>
              </w:rPr>
              <w:t>经济日报2024</w:t>
            </w:r>
          </w:p>
        </w:tc>
      </w:tr>
      <w:tr>
        <w:tc>
          <w:tcPr>
            <w:tcW w:type="dxa" w:w="2551"/>
          </w:tcPr>
          <w:p>
            <w:pPr>
              <w:spacing w:lineRule="exact" w:line="600"/>
              <w:jc w:val="center"/>
            </w:pPr>
            <w:r/>
            <w:r>
              <w:rPr>
                <w:rFonts w:ascii="仿宋_GB2312" w:hAnsi="仿宋_GB2312" w:eastAsia="仿宋_GB2312"/>
                <w:b w:val="0"/>
                <w:color w:val="000000"/>
                <w:sz w:val="32"/>
              </w:rPr>
              <w:t>认证周期壁垒</w:t>
            </w:r>
          </w:p>
        </w:tc>
        <w:tc>
          <w:tcPr>
            <w:tcW w:type="dxa" w:w="3118"/>
          </w:tcPr>
          <w:p>
            <w:pPr>
              <w:spacing w:lineRule="exact" w:line="600"/>
              <w:jc w:val="center"/>
            </w:pPr>
            <w:r/>
            <w:r>
              <w:rPr>
                <w:rFonts w:ascii="仿宋_GB2312" w:hAnsi="仿宋_GB2312" w:eastAsia="仿宋_GB2312"/>
                <w:b w:val="0"/>
                <w:color w:val="000000"/>
                <w:sz w:val="32"/>
              </w:rPr>
              <w:t>数年</w:t>
            </w:r>
          </w:p>
        </w:tc>
        <w:tc>
          <w:tcPr>
            <w:tcW w:type="dxa" w:w="3402"/>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（一）集群规模与企业矩阵</w:t>
      </w:r>
    </w:p>
    <w:p>
      <w:pPr>
        <w:spacing w:lineRule="exact" w:line="600" w:before="0" w:after="0"/>
        <w:ind w:firstLine="420"/>
        <w:jc w:val="both"/>
      </w:pPr>
      <w:r>
        <w:rPr>
          <w:rFonts w:ascii="仿宋_GB2312" w:hAnsi="仿宋_GB2312" w:eastAsia="仿宋_GB2312"/>
          <w:b w:val="0"/>
          <w:color w:val="000000"/>
          <w:sz w:val="32"/>
        </w:rPr>
        <w:t>乐陵体育产业拥有泰山体育、友谊体育等制造业企业18家，乾亿健康、勇剑体育等体育健身、文化、工程类企业16家，合计34家（来源：乐陵市政府官网）。泰山（国际）产业园2019年启动、2021年全面建成，集聚以泰山体育为链主的上下游配套企业30余家，园区从业人员约5000人，2025年实现销售收入超百亿元（来源：山东省发展改革委2026-05-06）。</w:t>
      </w:r>
    </w:p>
    <w:p>
      <w:pPr>
        <w:spacing w:lineRule="exact" w:line="600" w:before="120" w:after="120"/>
        <w:ind w:firstLine="420"/>
        <w:jc w:val="left"/>
      </w:pPr>
      <w:r>
        <w:rPr>
          <w:rFonts w:ascii="楷体_GB2312" w:hAnsi="楷体_GB2312" w:eastAsia="楷体_GB2312"/>
          <w:b w:val="0"/>
          <w:color w:val="000000"/>
          <w:sz w:val="32"/>
        </w:rPr>
        <w:t>（二）链主企业：泰山体育产业集团</w:t>
      </w:r>
    </w:p>
    <w:p>
      <w:pPr>
        <w:spacing w:lineRule="exact" w:line="600" w:before="0" w:after="0"/>
        <w:ind w:firstLine="420"/>
        <w:jc w:val="both"/>
      </w:pPr>
      <w:r>
        <w:rPr>
          <w:rFonts w:ascii="仿宋_GB2312" w:hAnsi="仿宋_GB2312" w:eastAsia="仿宋_GB2312"/>
          <w:b w:val="0"/>
          <w:color w:val="000000"/>
          <w:sz w:val="32"/>
        </w:rPr>
        <w:t>泰山体育产业集团成立于1998年（前身1978年乐陵县泰山体育器材厂），法定代表人卞志良，注册资本1.6亿元，地址乐陵市经济技术开发区泰山体育路1号。2023年主营业务收入112.47亿元、净利润6.84亿元（来源：快懂百科）；2025年营业收入达117.64亿元，品牌价值263亿元（来源：百度百科）。是国家制造业单项冠军示范企业、国家企业技术中心、国家技术创新示范企业。</w:t>
      </w:r>
    </w:p>
    <w:p>
      <w:pPr>
        <w:spacing w:lineRule="exact" w:line="600" w:before="120" w:after="120"/>
        <w:ind w:firstLine="420"/>
        <w:jc w:val="left"/>
      </w:pPr>
      <w:r>
        <w:rPr>
          <w:rFonts w:ascii="楷体_GB2312" w:hAnsi="楷体_GB2312" w:eastAsia="楷体_GB2312"/>
          <w:b w:val="0"/>
          <w:color w:val="000000"/>
          <w:sz w:val="32"/>
        </w:rPr>
        <w:t>（三）骨干企业：友谊体育与泰山器材</w:t>
      </w:r>
    </w:p>
    <w:p>
      <w:pPr>
        <w:spacing w:lineRule="exact" w:line="600" w:before="0" w:after="0"/>
        <w:ind w:firstLine="420"/>
        <w:jc w:val="both"/>
      </w:pPr>
      <w:r>
        <w:rPr>
          <w:rFonts w:ascii="仿宋_GB2312" w:hAnsi="仿宋_GB2312" w:eastAsia="仿宋_GB2312"/>
          <w:b w:val="0"/>
          <w:color w:val="000000"/>
          <w:sz w:val="32"/>
        </w:rPr>
        <w:t>乐陵市友谊体育器材有限责任公司创办于1988年，专注射箭、射击器材与服装，是世界六大专业射箭生产商之一、亚运会及全运会射箭器材独家供应商，自主研发200多种高科技射箭器材及配件，2023年杭州亚运会供应80多种、2万余件产品（来源：经济日报2024-08）。山东泰山体育器材有限公司为泰山体育子公司（2010年成立），授权专利221项、100项产品获国际认证，占中国竞技体育市场90%以上（来源：泰山体育官网）。</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企业</w:t>
            </w:r>
          </w:p>
        </w:tc>
        <w:tc>
          <w:tcPr>
            <w:tcW w:type="dxa" w:w="3118"/>
          </w:tcPr>
          <w:p>
            <w:pPr>
              <w:spacing w:lineRule="exact" w:line="600"/>
              <w:jc w:val="center"/>
            </w:pPr>
            <w:r/>
            <w:r>
              <w:rPr>
                <w:rFonts w:ascii="黑体" w:hAnsi="黑体" w:eastAsia="黑体"/>
                <w:b/>
                <w:color w:val="000000"/>
                <w:sz w:val="32"/>
              </w:rPr>
              <w:t>主营</w:t>
            </w:r>
          </w:p>
        </w:tc>
        <w:tc>
          <w:tcPr>
            <w:tcW w:type="dxa" w:w="3685"/>
          </w:tcPr>
          <w:p>
            <w:pPr>
              <w:spacing w:lineRule="exact" w:line="600"/>
              <w:jc w:val="center"/>
            </w:pPr>
            <w:r/>
            <w:r>
              <w:rPr>
                <w:rFonts w:ascii="黑体" w:hAnsi="黑体" w:eastAsia="黑体"/>
                <w:b/>
                <w:color w:val="000000"/>
                <w:sz w:val="32"/>
              </w:rPr>
              <w:t>关键数据</w:t>
            </w:r>
          </w:p>
        </w:tc>
      </w:tr>
      <w:tr>
        <w:tc>
          <w:tcPr>
            <w:tcW w:type="dxa" w:w="2268"/>
          </w:tcPr>
          <w:p>
            <w:pPr>
              <w:spacing w:lineRule="exact" w:line="600"/>
              <w:jc w:val="center"/>
            </w:pPr>
            <w:r/>
            <w:r>
              <w:rPr>
                <w:rFonts w:ascii="仿宋_GB2312" w:hAnsi="仿宋_GB2312" w:eastAsia="仿宋_GB2312"/>
                <w:b w:val="0"/>
                <w:color w:val="000000"/>
                <w:sz w:val="32"/>
              </w:rPr>
              <w:t>泰山体育产业集团</w:t>
            </w:r>
          </w:p>
        </w:tc>
        <w:tc>
          <w:tcPr>
            <w:tcW w:type="dxa" w:w="3118"/>
          </w:tcPr>
          <w:p>
            <w:pPr>
              <w:spacing w:lineRule="exact" w:line="600"/>
              <w:jc w:val="center"/>
            </w:pPr>
            <w:r/>
            <w:r>
              <w:rPr>
                <w:rFonts w:ascii="仿宋_GB2312" w:hAnsi="仿宋_GB2312" w:eastAsia="仿宋_GB2312"/>
                <w:b w:val="0"/>
                <w:color w:val="000000"/>
                <w:sz w:val="32"/>
              </w:rPr>
              <w:t>竞技器材/赛事服务</w:t>
            </w:r>
          </w:p>
        </w:tc>
        <w:tc>
          <w:tcPr>
            <w:tcW w:type="dxa" w:w="3685"/>
          </w:tcPr>
          <w:p>
            <w:pPr>
              <w:spacing w:lineRule="exact" w:line="600"/>
              <w:jc w:val="center"/>
            </w:pPr>
            <w:r/>
            <w:r>
              <w:rPr>
                <w:rFonts w:ascii="仿宋_GB2312" w:hAnsi="仿宋_GB2312" w:eastAsia="仿宋_GB2312"/>
                <w:b w:val="0"/>
                <w:color w:val="000000"/>
                <w:sz w:val="32"/>
              </w:rPr>
              <w:t>2025营收117.64亿，品牌263亿</w:t>
            </w:r>
          </w:p>
        </w:tc>
      </w:tr>
      <w:tr>
        <w:tc>
          <w:tcPr>
            <w:tcW w:type="dxa" w:w="2268"/>
          </w:tcPr>
          <w:p>
            <w:pPr>
              <w:spacing w:lineRule="exact" w:line="600"/>
              <w:jc w:val="center"/>
            </w:pPr>
            <w:r/>
            <w:r>
              <w:rPr>
                <w:rFonts w:ascii="仿宋_GB2312" w:hAnsi="仿宋_GB2312" w:eastAsia="仿宋_GB2312"/>
                <w:b w:val="0"/>
                <w:color w:val="000000"/>
                <w:sz w:val="32"/>
              </w:rPr>
              <w:t>友谊体育器材</w:t>
            </w:r>
          </w:p>
        </w:tc>
        <w:tc>
          <w:tcPr>
            <w:tcW w:type="dxa" w:w="3118"/>
          </w:tcPr>
          <w:p>
            <w:pPr>
              <w:spacing w:lineRule="exact" w:line="600"/>
              <w:jc w:val="center"/>
            </w:pPr>
            <w:r/>
            <w:r>
              <w:rPr>
                <w:rFonts w:ascii="仿宋_GB2312" w:hAnsi="仿宋_GB2312" w:eastAsia="仿宋_GB2312"/>
                <w:b w:val="0"/>
                <w:color w:val="000000"/>
                <w:sz w:val="32"/>
              </w:rPr>
              <w:t>射箭射击器材服装</w:t>
            </w:r>
          </w:p>
        </w:tc>
        <w:tc>
          <w:tcPr>
            <w:tcW w:type="dxa" w:w="3685"/>
          </w:tcPr>
          <w:p>
            <w:pPr>
              <w:spacing w:lineRule="exact" w:line="600"/>
              <w:jc w:val="center"/>
            </w:pPr>
            <w:r/>
            <w:r>
              <w:rPr>
                <w:rFonts w:ascii="仿宋_GB2312" w:hAnsi="仿宋_GB2312" w:eastAsia="仿宋_GB2312"/>
                <w:b w:val="0"/>
                <w:color w:val="000000"/>
                <w:sz w:val="32"/>
              </w:rPr>
              <w:t>年产20万套，亚运独家供应</w:t>
            </w:r>
          </w:p>
        </w:tc>
      </w:tr>
      <w:tr>
        <w:tc>
          <w:tcPr>
            <w:tcW w:type="dxa" w:w="2268"/>
          </w:tcPr>
          <w:p>
            <w:pPr>
              <w:spacing w:lineRule="exact" w:line="600"/>
              <w:jc w:val="center"/>
            </w:pPr>
            <w:r/>
            <w:r>
              <w:rPr>
                <w:rFonts w:ascii="仿宋_GB2312" w:hAnsi="仿宋_GB2312" w:eastAsia="仿宋_GB2312"/>
                <w:b w:val="0"/>
                <w:color w:val="000000"/>
                <w:sz w:val="32"/>
              </w:rPr>
              <w:t>山东泰山体育器材</w:t>
            </w:r>
          </w:p>
        </w:tc>
        <w:tc>
          <w:tcPr>
            <w:tcW w:type="dxa" w:w="3118"/>
          </w:tcPr>
          <w:p>
            <w:pPr>
              <w:spacing w:lineRule="exact" w:line="600"/>
              <w:jc w:val="center"/>
            </w:pPr>
            <w:r/>
            <w:r>
              <w:rPr>
                <w:rFonts w:ascii="仿宋_GB2312" w:hAnsi="仿宋_GB2312" w:eastAsia="仿宋_GB2312"/>
                <w:b w:val="0"/>
                <w:color w:val="000000"/>
                <w:sz w:val="32"/>
              </w:rPr>
              <w:t>竞技体操田径器材</w:t>
            </w:r>
          </w:p>
        </w:tc>
        <w:tc>
          <w:tcPr>
            <w:tcW w:type="dxa" w:w="3685"/>
          </w:tcPr>
          <w:p>
            <w:pPr>
              <w:spacing w:lineRule="exact" w:line="600"/>
              <w:jc w:val="center"/>
            </w:pPr>
            <w:r/>
            <w:r>
              <w:rPr>
                <w:rFonts w:ascii="仿宋_GB2312" w:hAnsi="仿宋_GB2312" w:eastAsia="仿宋_GB2312"/>
                <w:b w:val="0"/>
                <w:color w:val="000000"/>
                <w:sz w:val="32"/>
              </w:rPr>
              <w:t>占竞技市场90%+，专利221项</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（一）国家级研发平台集聚</w:t>
      </w:r>
    </w:p>
    <w:p>
      <w:pPr>
        <w:spacing w:lineRule="exact" w:line="600" w:before="0" w:after="0"/>
        <w:ind w:firstLine="420"/>
        <w:jc w:val="both"/>
      </w:pPr>
      <w:r>
        <w:rPr>
          <w:rFonts w:ascii="仿宋_GB2312" w:hAnsi="仿宋_GB2312" w:eastAsia="仿宋_GB2312"/>
          <w:b w:val="0"/>
          <w:color w:val="000000"/>
          <w:sz w:val="32"/>
        </w:rPr>
        <w:t>乐陵建有全国唯一的国家体育用品工程技术研究中心、国家体育用品竞技器材检测实验室、国家认定企业技术中心，以及行业唯一的国家级工业设计中心、博士后科研工作站，省级以上技术平台达11个（来源：乐陵市政府官网、齐鲁网）。泰山体育在国内外设有研发人员1000多人，每年拿出销售收入的4%用于研发（来源：大众网/德州2024-05）。</w:t>
      </w:r>
    </w:p>
    <w:p>
      <w:pPr>
        <w:spacing w:lineRule="exact" w:line="600" w:before="120" w:after="120"/>
        <w:ind w:firstLine="420"/>
        <w:jc w:val="left"/>
      </w:pPr>
      <w:r>
        <w:rPr>
          <w:rFonts w:ascii="楷体_GB2312" w:hAnsi="楷体_GB2312" w:eastAsia="楷体_GB2312"/>
          <w:b w:val="0"/>
          <w:color w:val="000000"/>
          <w:sz w:val="32"/>
        </w:rPr>
        <w:t>（二）专利与标准化能力</w:t>
      </w:r>
    </w:p>
    <w:p>
      <w:pPr>
        <w:spacing w:lineRule="exact" w:line="600" w:before="0" w:after="0"/>
        <w:ind w:firstLine="420"/>
        <w:jc w:val="both"/>
      </w:pPr>
      <w:r>
        <w:rPr>
          <w:rFonts w:ascii="仿宋_GB2312" w:hAnsi="仿宋_GB2312" w:eastAsia="仿宋_GB2312"/>
          <w:b w:val="0"/>
          <w:color w:val="000000"/>
          <w:sz w:val="32"/>
        </w:rPr>
        <w:t>全市体育企业获国内外专利1000多项，参与制定国家标准30多项（来源：乐陵市政府）；后期升级为参与制定国际国内行业标准200多项（来源：香港商报2026）。泰山体育主持或参与制定国际国内标准90余项，成为全国体育标准化技术委员会等标准委员会主任/副主任单位，实现从做产品到定标准的跨越（来源：新华社瞭望2024）。</w:t>
      </w:r>
    </w:p>
    <w:p>
      <w:pPr>
        <w:spacing w:lineRule="exact" w:line="600" w:before="120" w:after="120"/>
        <w:ind w:firstLine="420"/>
        <w:jc w:val="left"/>
      </w:pPr>
      <w:r>
        <w:rPr>
          <w:rFonts w:ascii="楷体_GB2312" w:hAnsi="楷体_GB2312" w:eastAsia="楷体_GB2312"/>
          <w:b w:val="0"/>
          <w:color w:val="000000"/>
          <w:sz w:val="32"/>
        </w:rPr>
        <w:t>（三）关键技术突破</w:t>
      </w:r>
    </w:p>
    <w:p>
      <w:pPr>
        <w:spacing w:lineRule="exact" w:line="600" w:before="0" w:after="0"/>
        <w:ind w:firstLine="420"/>
        <w:jc w:val="both"/>
      </w:pPr>
      <w:r>
        <w:rPr>
          <w:rFonts w:ascii="仿宋_GB2312" w:hAnsi="仿宋_GB2312" w:eastAsia="仿宋_GB2312"/>
          <w:b w:val="0"/>
          <w:color w:val="000000"/>
          <w:sz w:val="32"/>
        </w:rPr>
        <w:t>泰山体育参与研制的国内首台雪蜡车亮相冬奥会，打破国际垄断；碳纤维体操产品填补世界空白；高端体育装备研发项目荣获省科技进步一等奖；自主研发的运动芯片可快速捕捉识别人体运动，运用于体测机和健身器材，方案成本与识别精度全国领先（来源：乐陵市政府、大众网2024-05）。友谊体育的陶碳弓片、石墨烯弓片、智能射箭报靶系统技术国际领先。</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402"/>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省级以上技术平台</w:t>
            </w:r>
          </w:p>
        </w:tc>
        <w:tc>
          <w:tcPr>
            <w:tcW w:type="dxa" w:w="3118"/>
          </w:tcPr>
          <w:p>
            <w:pPr>
              <w:spacing w:lineRule="exact" w:line="600"/>
              <w:jc w:val="center"/>
            </w:pPr>
            <w:r/>
            <w:r>
              <w:rPr>
                <w:rFonts w:ascii="仿宋_GB2312" w:hAnsi="仿宋_GB2312" w:eastAsia="仿宋_GB2312"/>
                <w:b w:val="0"/>
                <w:color w:val="000000"/>
                <w:sz w:val="32"/>
              </w:rPr>
              <w:t>11个</w:t>
            </w:r>
          </w:p>
        </w:tc>
        <w:tc>
          <w:tcPr>
            <w:tcW w:type="dxa" w:w="3402"/>
          </w:tcPr>
          <w:p>
            <w:pPr>
              <w:spacing w:lineRule="exact" w:line="600"/>
              <w:jc w:val="center"/>
            </w:pPr>
            <w:r/>
            <w:r>
              <w:rPr>
                <w:rFonts w:ascii="仿宋_GB2312" w:hAnsi="仿宋_GB2312" w:eastAsia="仿宋_GB2312"/>
                <w:b w:val="0"/>
                <w:color w:val="000000"/>
                <w:sz w:val="32"/>
              </w:rPr>
              <w:t>乐陵市政府</w:t>
            </w:r>
          </w:p>
        </w:tc>
      </w:tr>
      <w:tr>
        <w:tc>
          <w:tcPr>
            <w:tcW w:type="dxa" w:w="2551"/>
          </w:tcPr>
          <w:p>
            <w:pPr>
              <w:spacing w:lineRule="exact" w:line="600"/>
              <w:jc w:val="center"/>
            </w:pPr>
            <w:r/>
            <w:r>
              <w:rPr>
                <w:rFonts w:ascii="仿宋_GB2312" w:hAnsi="仿宋_GB2312" w:eastAsia="仿宋_GB2312"/>
                <w:b w:val="0"/>
                <w:color w:val="000000"/>
                <w:sz w:val="32"/>
              </w:rPr>
              <w:t>国内外专利</w:t>
            </w:r>
          </w:p>
        </w:tc>
        <w:tc>
          <w:tcPr>
            <w:tcW w:type="dxa" w:w="3118"/>
          </w:tcPr>
          <w:p>
            <w:pPr>
              <w:spacing w:lineRule="exact" w:line="600"/>
              <w:jc w:val="center"/>
            </w:pPr>
            <w:r/>
            <w:r>
              <w:rPr>
                <w:rFonts w:ascii="仿宋_GB2312" w:hAnsi="仿宋_GB2312" w:eastAsia="仿宋_GB2312"/>
                <w:b w:val="0"/>
                <w:color w:val="000000"/>
                <w:sz w:val="32"/>
              </w:rPr>
              <w:t>1000多项</w:t>
            </w:r>
          </w:p>
        </w:tc>
        <w:tc>
          <w:tcPr>
            <w:tcW w:type="dxa" w:w="3402"/>
          </w:tcPr>
          <w:p>
            <w:pPr>
              <w:spacing w:lineRule="exact" w:line="600"/>
              <w:jc w:val="center"/>
            </w:pPr>
            <w:r/>
            <w:r>
              <w:rPr>
                <w:rFonts w:ascii="仿宋_GB2312" w:hAnsi="仿宋_GB2312" w:eastAsia="仿宋_GB2312"/>
                <w:b w:val="0"/>
                <w:color w:val="000000"/>
                <w:sz w:val="32"/>
              </w:rPr>
              <w:t>乐陵市政府/泰山体育</w:t>
            </w:r>
          </w:p>
        </w:tc>
      </w:tr>
      <w:tr>
        <w:tc>
          <w:tcPr>
            <w:tcW w:type="dxa" w:w="2551"/>
          </w:tcPr>
          <w:p>
            <w:pPr>
              <w:spacing w:lineRule="exact" w:line="600"/>
              <w:jc w:val="center"/>
            </w:pPr>
            <w:r/>
            <w:r>
              <w:rPr>
                <w:rFonts w:ascii="仿宋_GB2312" w:hAnsi="仿宋_GB2312" w:eastAsia="仿宋_GB2312"/>
                <w:b w:val="0"/>
                <w:color w:val="000000"/>
                <w:sz w:val="32"/>
              </w:rPr>
              <w:t>参与制定标准</w:t>
            </w:r>
          </w:p>
        </w:tc>
        <w:tc>
          <w:tcPr>
            <w:tcW w:type="dxa" w:w="3118"/>
          </w:tcPr>
          <w:p>
            <w:pPr>
              <w:spacing w:lineRule="exact" w:line="600"/>
              <w:jc w:val="center"/>
            </w:pPr>
            <w:r/>
            <w:r>
              <w:rPr>
                <w:rFonts w:ascii="仿宋_GB2312" w:hAnsi="仿宋_GB2312" w:eastAsia="仿宋_GB2312"/>
                <w:b w:val="0"/>
                <w:color w:val="000000"/>
                <w:sz w:val="32"/>
              </w:rPr>
              <w:t>200多项</w:t>
            </w:r>
          </w:p>
        </w:tc>
        <w:tc>
          <w:tcPr>
            <w:tcW w:type="dxa" w:w="3402"/>
          </w:tcPr>
          <w:p>
            <w:pPr>
              <w:spacing w:lineRule="exact" w:line="600"/>
              <w:jc w:val="center"/>
            </w:pPr>
            <w:r/>
            <w:r>
              <w:rPr>
                <w:rFonts w:ascii="仿宋_GB2312" w:hAnsi="仿宋_GB2312" w:eastAsia="仿宋_GB2312"/>
                <w:b w:val="0"/>
                <w:color w:val="000000"/>
                <w:sz w:val="32"/>
              </w:rPr>
              <w:t>香港商报2026</w:t>
            </w:r>
          </w:p>
        </w:tc>
      </w:tr>
      <w:tr>
        <w:tc>
          <w:tcPr>
            <w:tcW w:type="dxa" w:w="2551"/>
          </w:tcPr>
          <w:p>
            <w:pPr>
              <w:spacing w:lineRule="exact" w:line="600"/>
              <w:jc w:val="center"/>
            </w:pPr>
            <w:r/>
            <w:r>
              <w:rPr>
                <w:rFonts w:ascii="仿宋_GB2312" w:hAnsi="仿宋_GB2312" w:eastAsia="仿宋_GB2312"/>
                <w:b w:val="0"/>
                <w:color w:val="000000"/>
                <w:sz w:val="32"/>
              </w:rPr>
              <w:t>研发人员</w:t>
            </w:r>
          </w:p>
        </w:tc>
        <w:tc>
          <w:tcPr>
            <w:tcW w:type="dxa" w:w="3118"/>
          </w:tcPr>
          <w:p>
            <w:pPr>
              <w:spacing w:lineRule="exact" w:line="600"/>
              <w:jc w:val="center"/>
            </w:pPr>
            <w:r/>
            <w:r>
              <w:rPr>
                <w:rFonts w:ascii="仿宋_GB2312" w:hAnsi="仿宋_GB2312" w:eastAsia="仿宋_GB2312"/>
                <w:b w:val="0"/>
                <w:color w:val="000000"/>
                <w:sz w:val="32"/>
              </w:rPr>
              <w:t>1000多人</w:t>
            </w:r>
          </w:p>
        </w:tc>
        <w:tc>
          <w:tcPr>
            <w:tcW w:type="dxa" w:w="3402"/>
          </w:tcPr>
          <w:p>
            <w:pPr>
              <w:spacing w:lineRule="exact" w:line="600"/>
              <w:jc w:val="center"/>
            </w:pPr>
            <w:r/>
            <w:r>
              <w:rPr>
                <w:rFonts w:ascii="仿宋_GB2312" w:hAnsi="仿宋_GB2312" w:eastAsia="仿宋_GB2312"/>
                <w:b w:val="0"/>
                <w:color w:val="000000"/>
                <w:sz w:val="32"/>
              </w:rPr>
              <w:t>大众网2024</w:t>
            </w:r>
          </w:p>
        </w:tc>
      </w:tr>
      <w:tr>
        <w:tc>
          <w:tcPr>
            <w:tcW w:type="dxa" w:w="2551"/>
          </w:tcPr>
          <w:p>
            <w:pPr>
              <w:spacing w:lineRule="exact" w:line="600"/>
              <w:jc w:val="center"/>
            </w:pPr>
            <w:r/>
            <w:r>
              <w:rPr>
                <w:rFonts w:ascii="仿宋_GB2312" w:hAnsi="仿宋_GB2312" w:eastAsia="仿宋_GB2312"/>
                <w:b w:val="0"/>
                <w:color w:val="000000"/>
                <w:sz w:val="32"/>
              </w:rPr>
              <w:t>研发投入占比</w:t>
            </w:r>
          </w:p>
        </w:tc>
        <w:tc>
          <w:tcPr>
            <w:tcW w:type="dxa" w:w="3118"/>
          </w:tcPr>
          <w:p>
            <w:pPr>
              <w:spacing w:lineRule="exact" w:line="600"/>
              <w:jc w:val="center"/>
            </w:pPr>
            <w:r/>
            <w:r>
              <w:rPr>
                <w:rFonts w:ascii="仿宋_GB2312" w:hAnsi="仿宋_GB2312" w:eastAsia="仿宋_GB2312"/>
                <w:b w:val="0"/>
                <w:color w:val="000000"/>
                <w:sz w:val="32"/>
              </w:rPr>
              <w:t>销售收入4%</w:t>
            </w:r>
          </w:p>
        </w:tc>
        <w:tc>
          <w:tcPr>
            <w:tcW w:type="dxa" w:w="3402"/>
          </w:tcPr>
          <w:p>
            <w:pPr>
              <w:spacing w:lineRule="exact" w:line="600"/>
              <w:jc w:val="center"/>
            </w:pPr>
            <w:r/>
            <w:r>
              <w:rPr>
                <w:rFonts w:ascii="仿宋_GB2312" w:hAnsi="仿宋_GB2312" w:eastAsia="仿宋_GB2312"/>
                <w:b w:val="0"/>
                <w:color w:val="000000"/>
                <w:sz w:val="32"/>
              </w:rPr>
              <w:t>大众网2024</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（一）成本结构与要素价格</w:t>
      </w:r>
    </w:p>
    <w:p>
      <w:pPr>
        <w:spacing w:lineRule="exact" w:line="600" w:before="0" w:after="0"/>
        <w:ind w:firstLine="420"/>
        <w:jc w:val="both"/>
      </w:pPr>
      <w:r>
        <w:rPr>
          <w:rFonts w:ascii="仿宋_GB2312" w:hAnsi="仿宋_GB2312" w:eastAsia="仿宋_GB2312"/>
          <w:b w:val="0"/>
          <w:color w:val="000000"/>
          <w:sz w:val="32"/>
        </w:rPr>
        <w:t>竞技器材以复合材料、金属结构、电子传感为核心成本项，碳纤维等高端原材料价格波动对毛利影响较大。乐陵通过产业园集中供热、标准化厂房（建成10万平方米超大规模单体厂房）降低制造与物流成本，园区集聚效应使骨干企业生产成本显著下降（来源：齐鲁网2022、香港商报2026）。</w:t>
      </w:r>
    </w:p>
    <w:p>
      <w:pPr>
        <w:spacing w:lineRule="exact" w:line="600" w:before="120" w:after="120"/>
        <w:ind w:firstLine="420"/>
        <w:jc w:val="left"/>
      </w:pPr>
      <w:r>
        <w:rPr>
          <w:rFonts w:ascii="楷体_GB2312" w:hAnsi="楷体_GB2312" w:eastAsia="楷体_GB2312"/>
          <w:b w:val="0"/>
          <w:color w:val="000000"/>
          <w:sz w:val="32"/>
        </w:rPr>
        <w:t>（二）盈利水平</w:t>
      </w:r>
    </w:p>
    <w:p>
      <w:pPr>
        <w:spacing w:lineRule="exact" w:line="600" w:before="0" w:after="0"/>
        <w:ind w:firstLine="420"/>
        <w:jc w:val="both"/>
      </w:pPr>
      <w:r>
        <w:rPr>
          <w:rFonts w:ascii="仿宋_GB2312" w:hAnsi="仿宋_GB2312" w:eastAsia="仿宋_GB2312"/>
          <w:b w:val="0"/>
          <w:color w:val="000000"/>
          <w:sz w:val="32"/>
        </w:rPr>
        <w:t>2023年上半年乐陵规上体育企业营业收入54.63亿元、同比增长6.24%，营业利润7.46亿元、同比增长12.85%，利润增速高于营收增速，盈利能力改善（来源：中国发展网2024-08）。泰山体育2023年净利润6.84亿元，净利率约6%；2021年全市体育产业利润总额13.1亿元、同比增长8.5%（来源：乐陵市政府、快懂百科）。</w:t>
      </w:r>
    </w:p>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用地方面，泰山（国际）产业园规划占地3885亩，基础设施水电气讯配套齐全；人才方面，与德州学院共建泰山体育与健康产业学院，建立30万平方米产学研实训基地，设深圳研发飞地并与中科院、山东大学合作（来源：齐鲁网2022）。要素供给总体充裕，但高端复合材料与芯片人才仍偏紧。</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402"/>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2023H1营业收入</w:t>
            </w:r>
          </w:p>
        </w:tc>
        <w:tc>
          <w:tcPr>
            <w:tcW w:type="dxa" w:w="3118"/>
          </w:tcPr>
          <w:p>
            <w:pPr>
              <w:spacing w:lineRule="exact" w:line="600"/>
              <w:jc w:val="center"/>
            </w:pPr>
            <w:r/>
            <w:r>
              <w:rPr>
                <w:rFonts w:ascii="仿宋_GB2312" w:hAnsi="仿宋_GB2312" w:eastAsia="仿宋_GB2312"/>
                <w:b w:val="0"/>
                <w:color w:val="000000"/>
                <w:sz w:val="32"/>
              </w:rPr>
              <w:t>54.63亿元（+6.24%）</w:t>
            </w:r>
          </w:p>
        </w:tc>
        <w:tc>
          <w:tcPr>
            <w:tcW w:type="dxa" w:w="3402"/>
          </w:tcPr>
          <w:p>
            <w:pPr>
              <w:spacing w:lineRule="exact" w:line="600"/>
              <w:jc w:val="center"/>
            </w:pPr>
            <w:r/>
            <w:r>
              <w:rPr>
                <w:rFonts w:ascii="仿宋_GB2312" w:hAnsi="仿宋_GB2312" w:eastAsia="仿宋_GB2312"/>
                <w:b w:val="0"/>
                <w:color w:val="000000"/>
                <w:sz w:val="32"/>
              </w:rPr>
              <w:t>中国发展网2024</w:t>
            </w:r>
          </w:p>
        </w:tc>
      </w:tr>
      <w:tr>
        <w:tc>
          <w:tcPr>
            <w:tcW w:type="dxa" w:w="2551"/>
          </w:tcPr>
          <w:p>
            <w:pPr>
              <w:spacing w:lineRule="exact" w:line="600"/>
              <w:jc w:val="center"/>
            </w:pPr>
            <w:r/>
            <w:r>
              <w:rPr>
                <w:rFonts w:ascii="仿宋_GB2312" w:hAnsi="仿宋_GB2312" w:eastAsia="仿宋_GB2312"/>
                <w:b w:val="0"/>
                <w:color w:val="000000"/>
                <w:sz w:val="32"/>
              </w:rPr>
              <w:t>2023H1营业利润</w:t>
            </w:r>
          </w:p>
        </w:tc>
        <w:tc>
          <w:tcPr>
            <w:tcW w:type="dxa" w:w="3118"/>
          </w:tcPr>
          <w:p>
            <w:pPr>
              <w:spacing w:lineRule="exact" w:line="600"/>
              <w:jc w:val="center"/>
            </w:pPr>
            <w:r/>
            <w:r>
              <w:rPr>
                <w:rFonts w:ascii="仿宋_GB2312" w:hAnsi="仿宋_GB2312" w:eastAsia="仿宋_GB2312"/>
                <w:b w:val="0"/>
                <w:color w:val="000000"/>
                <w:sz w:val="32"/>
              </w:rPr>
              <w:t>7.46亿元（+12.85%）</w:t>
            </w:r>
          </w:p>
        </w:tc>
        <w:tc>
          <w:tcPr>
            <w:tcW w:type="dxa" w:w="3402"/>
          </w:tcPr>
          <w:p>
            <w:pPr>
              <w:spacing w:lineRule="exact" w:line="600"/>
              <w:jc w:val="center"/>
            </w:pPr>
            <w:r/>
            <w:r>
              <w:rPr>
                <w:rFonts w:ascii="仿宋_GB2312" w:hAnsi="仿宋_GB2312" w:eastAsia="仿宋_GB2312"/>
                <w:b w:val="0"/>
                <w:color w:val="000000"/>
                <w:sz w:val="32"/>
              </w:rPr>
              <w:t>中国发展网2024</w:t>
            </w:r>
          </w:p>
        </w:tc>
      </w:tr>
      <w:tr>
        <w:tc>
          <w:tcPr>
            <w:tcW w:type="dxa" w:w="2551"/>
          </w:tcPr>
          <w:p>
            <w:pPr>
              <w:spacing w:lineRule="exact" w:line="600"/>
              <w:jc w:val="center"/>
            </w:pPr>
            <w:r/>
            <w:r>
              <w:rPr>
                <w:rFonts w:ascii="仿宋_GB2312" w:hAnsi="仿宋_GB2312" w:eastAsia="仿宋_GB2312"/>
                <w:b w:val="0"/>
                <w:color w:val="000000"/>
                <w:sz w:val="32"/>
              </w:rPr>
              <w:t>2021利润总额</w:t>
            </w:r>
          </w:p>
        </w:tc>
        <w:tc>
          <w:tcPr>
            <w:tcW w:type="dxa" w:w="3118"/>
          </w:tcPr>
          <w:p>
            <w:pPr>
              <w:spacing w:lineRule="exact" w:line="600"/>
              <w:jc w:val="center"/>
            </w:pPr>
            <w:r/>
            <w:r>
              <w:rPr>
                <w:rFonts w:ascii="仿宋_GB2312" w:hAnsi="仿宋_GB2312" w:eastAsia="仿宋_GB2312"/>
                <w:b w:val="0"/>
                <w:color w:val="000000"/>
                <w:sz w:val="32"/>
              </w:rPr>
              <w:t>13.1亿元（+8.5%）</w:t>
            </w:r>
          </w:p>
        </w:tc>
        <w:tc>
          <w:tcPr>
            <w:tcW w:type="dxa" w:w="3402"/>
          </w:tcPr>
          <w:p>
            <w:pPr>
              <w:spacing w:lineRule="exact" w:line="600"/>
              <w:jc w:val="center"/>
            </w:pPr>
            <w:r/>
            <w:r>
              <w:rPr>
                <w:rFonts w:ascii="仿宋_GB2312" w:hAnsi="仿宋_GB2312" w:eastAsia="仿宋_GB2312"/>
                <w:b w:val="0"/>
                <w:color w:val="000000"/>
                <w:sz w:val="32"/>
              </w:rPr>
              <w:t>乐陵市政府</w:t>
            </w:r>
          </w:p>
        </w:tc>
      </w:tr>
      <w:tr>
        <w:tc>
          <w:tcPr>
            <w:tcW w:type="dxa" w:w="2551"/>
          </w:tcPr>
          <w:p>
            <w:pPr>
              <w:spacing w:lineRule="exact" w:line="600"/>
              <w:jc w:val="center"/>
            </w:pPr>
            <w:r/>
            <w:r>
              <w:rPr>
                <w:rFonts w:ascii="仿宋_GB2312" w:hAnsi="仿宋_GB2312" w:eastAsia="仿宋_GB2312"/>
                <w:b w:val="0"/>
                <w:color w:val="000000"/>
                <w:sz w:val="32"/>
              </w:rPr>
              <w:t>产业园面积</w:t>
            </w:r>
          </w:p>
        </w:tc>
        <w:tc>
          <w:tcPr>
            <w:tcW w:type="dxa" w:w="3118"/>
          </w:tcPr>
          <w:p>
            <w:pPr>
              <w:spacing w:lineRule="exact" w:line="600"/>
              <w:jc w:val="center"/>
            </w:pPr>
            <w:r/>
            <w:r>
              <w:rPr>
                <w:rFonts w:ascii="仿宋_GB2312" w:hAnsi="仿宋_GB2312" w:eastAsia="仿宋_GB2312"/>
                <w:b w:val="0"/>
                <w:color w:val="000000"/>
                <w:sz w:val="32"/>
              </w:rPr>
              <w:t>3885亩</w:t>
            </w:r>
          </w:p>
        </w:tc>
        <w:tc>
          <w:tcPr>
            <w:tcW w:type="dxa" w:w="3402"/>
          </w:tcPr>
          <w:p>
            <w:pPr>
              <w:spacing w:lineRule="exact" w:line="600"/>
              <w:jc w:val="center"/>
            </w:pPr>
            <w:r/>
            <w:r>
              <w:rPr>
                <w:rFonts w:ascii="仿宋_GB2312" w:hAnsi="仿宋_GB2312" w:eastAsia="仿宋_GB2312"/>
                <w:b w:val="0"/>
                <w:color w:val="000000"/>
                <w:sz w:val="32"/>
              </w:rPr>
              <w:t>齐鲁网/乐陵市政府</w:t>
            </w:r>
          </w:p>
        </w:tc>
      </w:tr>
      <w:tr>
        <w:tc>
          <w:tcPr>
            <w:tcW w:type="dxa" w:w="2551"/>
          </w:tcPr>
          <w:p>
            <w:pPr>
              <w:spacing w:lineRule="exact" w:line="600"/>
              <w:jc w:val="center"/>
            </w:pPr>
            <w:r/>
            <w:r>
              <w:rPr>
                <w:rFonts w:ascii="仿宋_GB2312" w:hAnsi="仿宋_GB2312" w:eastAsia="仿宋_GB2312"/>
                <w:b w:val="0"/>
                <w:color w:val="000000"/>
                <w:sz w:val="32"/>
              </w:rPr>
              <w:t>标准化厂房</w:t>
            </w:r>
          </w:p>
        </w:tc>
        <w:tc>
          <w:tcPr>
            <w:tcW w:type="dxa" w:w="3118"/>
          </w:tcPr>
          <w:p>
            <w:pPr>
              <w:spacing w:lineRule="exact" w:line="600"/>
              <w:jc w:val="center"/>
            </w:pPr>
            <w:r/>
            <w:r>
              <w:rPr>
                <w:rFonts w:ascii="仿宋_GB2312" w:hAnsi="仿宋_GB2312" w:eastAsia="仿宋_GB2312"/>
                <w:b w:val="0"/>
                <w:color w:val="000000"/>
                <w:sz w:val="32"/>
              </w:rPr>
              <w:t>10万平方米</w:t>
            </w:r>
          </w:p>
        </w:tc>
        <w:tc>
          <w:tcPr>
            <w:tcW w:type="dxa" w:w="3402"/>
          </w:tcPr>
          <w:p>
            <w:pPr>
              <w:spacing w:lineRule="exact" w:line="600"/>
              <w:jc w:val="center"/>
            </w:pPr>
            <w:r/>
            <w:r>
              <w:rPr>
                <w:rFonts w:ascii="仿宋_GB2312" w:hAnsi="仿宋_GB2312" w:eastAsia="仿宋_GB2312"/>
                <w:b w:val="0"/>
                <w:color w:val="000000"/>
                <w:sz w:val="32"/>
              </w:rPr>
              <w:t>齐鲁网2022</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一是赛事经济持续放量，德州市近两年赛事拉动相关产业产值90亿元，乐陵承办公路自行车锦标赛等放大溢出效应（来源：新华社瞭望2024）；二是「体育+」融合（体医、体旅、体教）打开新空间；三是健康中国与健康消费长期上行，高端器材国产替代加速。</w:t>
      </w:r>
    </w:p>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一是国际品牌（如欧美竞技器材巨头）在部分高端单项仍具品牌优势；二是关键原材料如碳纤维预浸料、高端传感器对外依存度较高；三是与宁津商用健身、庆云路径器材相比，乐陵竞技器材民用转化仍需加强，C端品牌认知有待提升。</w:t>
      </w:r>
    </w:p>
    <w:p>
      <w:pPr>
        <w:spacing w:lineRule="exact" w:line="600" w:before="120" w:after="120"/>
        <w:ind w:firstLine="420"/>
        <w:jc w:val="left"/>
      </w:pPr>
      <w:r>
        <w:rPr>
          <w:rFonts w:ascii="楷体_GB2312" w:hAnsi="楷体_GB2312" w:eastAsia="楷体_GB2312"/>
          <w:b w:val="0"/>
          <w:color w:val="000000"/>
          <w:sz w:val="32"/>
        </w:rPr>
        <w:t>（三）潜在风险</w:t>
      </w:r>
    </w:p>
    <w:p>
      <w:pPr>
        <w:spacing w:lineRule="exact" w:line="600" w:before="0" w:after="0"/>
        <w:ind w:firstLine="420"/>
        <w:jc w:val="both"/>
      </w:pPr>
      <w:r>
        <w:rPr>
          <w:rFonts w:ascii="仿宋_GB2312" w:hAnsi="仿宋_GB2312" w:eastAsia="仿宋_GB2312"/>
          <w:b w:val="0"/>
          <w:color w:val="000000"/>
          <w:sz w:val="32"/>
        </w:rPr>
        <w:t>一是汇率与贸易壁垒风险，产品远销200多国，受国际认证更新及地缘政治影响；二是认证政策变化风险，国际单项协会认证标准趋严；三是需求周期性风险，大赛年与非大赛年订单波动。建议企业建立多市场、多品类对冲（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类别</w:t>
            </w:r>
          </w:p>
        </w:tc>
        <w:tc>
          <w:tcPr>
            <w:tcW w:type="dxa" w:w="4535"/>
          </w:tcPr>
          <w:p>
            <w:pPr>
              <w:spacing w:lineRule="exact" w:line="600"/>
              <w:jc w:val="center"/>
            </w:pPr>
            <w:r/>
            <w:r>
              <w:rPr>
                <w:rFonts w:ascii="黑体" w:hAnsi="黑体" w:eastAsia="黑体"/>
                <w:b/>
                <w:color w:val="000000"/>
                <w:sz w:val="32"/>
              </w:rPr>
              <w:t>要点</w:t>
            </w:r>
          </w:p>
        </w:tc>
        <w:tc>
          <w:tcPr>
            <w:tcW w:type="dxa" w:w="2551"/>
          </w:tcPr>
          <w:p>
            <w:pPr>
              <w:spacing w:lineRule="exact" w:line="600"/>
              <w:jc w:val="center"/>
            </w:pPr>
            <w:r/>
            <w:r>
              <w:rPr>
                <w:rFonts w:ascii="黑体" w:hAnsi="黑体" w:eastAsia="黑体"/>
                <w:b/>
                <w:color w:val="000000"/>
                <w:sz w:val="32"/>
              </w:rPr>
              <w:t>影响程度</w:t>
            </w:r>
          </w:p>
        </w:tc>
      </w:tr>
      <w:tr>
        <w:tc>
          <w:tcPr>
            <w:tcW w:type="dxa" w:w="1984"/>
          </w:tcPr>
          <w:p>
            <w:pPr>
              <w:spacing w:lineRule="exact" w:line="600"/>
              <w:jc w:val="center"/>
            </w:pPr>
            <w:r/>
            <w:r>
              <w:rPr>
                <w:rFonts w:ascii="仿宋_GB2312" w:hAnsi="仿宋_GB2312" w:eastAsia="仿宋_GB2312"/>
                <w:b w:val="0"/>
                <w:color w:val="000000"/>
                <w:sz w:val="32"/>
              </w:rPr>
              <w:t>机遇</w:t>
            </w:r>
          </w:p>
        </w:tc>
        <w:tc>
          <w:tcPr>
            <w:tcW w:type="dxa" w:w="4535"/>
          </w:tcPr>
          <w:p>
            <w:pPr>
              <w:spacing w:lineRule="exact" w:line="600"/>
              <w:jc w:val="center"/>
            </w:pPr>
            <w:r/>
            <w:r>
              <w:rPr>
                <w:rFonts w:ascii="仿宋_GB2312" w:hAnsi="仿宋_GB2312" w:eastAsia="仿宋_GB2312"/>
                <w:b w:val="0"/>
                <w:color w:val="000000"/>
                <w:sz w:val="32"/>
              </w:rPr>
              <w:t>赛事经济、体育+融合、国产替代</w:t>
            </w:r>
          </w:p>
        </w:tc>
        <w:tc>
          <w:tcPr>
            <w:tcW w:type="dxa" w:w="2551"/>
          </w:tcPr>
          <w:p>
            <w:pPr>
              <w:spacing w:lineRule="exact" w:line="600"/>
              <w:jc w:val="center"/>
            </w:pPr>
            <w:r/>
            <w:r>
              <w:rPr>
                <w:rFonts w:ascii="仿宋_GB2312" w:hAnsi="仿宋_GB2312" w:eastAsia="仿宋_GB2312"/>
                <w:b w:val="0"/>
                <w:color w:val="000000"/>
                <w:sz w:val="32"/>
              </w:rPr>
              <w:t>高</w:t>
            </w:r>
          </w:p>
        </w:tc>
      </w:tr>
      <w:tr>
        <w:tc>
          <w:tcPr>
            <w:tcW w:type="dxa" w:w="1984"/>
          </w:tcPr>
          <w:p>
            <w:pPr>
              <w:spacing w:lineRule="exact" w:line="600"/>
              <w:jc w:val="center"/>
            </w:pPr>
            <w:r/>
            <w:r>
              <w:rPr>
                <w:rFonts w:ascii="仿宋_GB2312" w:hAnsi="仿宋_GB2312" w:eastAsia="仿宋_GB2312"/>
                <w:b w:val="0"/>
                <w:color w:val="000000"/>
                <w:sz w:val="32"/>
              </w:rPr>
              <w:t>挑战</w:t>
            </w:r>
          </w:p>
        </w:tc>
        <w:tc>
          <w:tcPr>
            <w:tcW w:type="dxa" w:w="4535"/>
          </w:tcPr>
          <w:p>
            <w:pPr>
              <w:spacing w:lineRule="exact" w:line="600"/>
              <w:jc w:val="center"/>
            </w:pPr>
            <w:r/>
            <w:r>
              <w:rPr>
                <w:rFonts w:ascii="仿宋_GB2312" w:hAnsi="仿宋_GB2312" w:eastAsia="仿宋_GB2312"/>
                <w:b w:val="0"/>
                <w:color w:val="000000"/>
                <w:sz w:val="32"/>
              </w:rPr>
              <w:t>国际品牌、原材料依赖、C端转化</w:t>
            </w:r>
          </w:p>
        </w:tc>
        <w:tc>
          <w:tcPr>
            <w:tcW w:type="dxa" w:w="2551"/>
          </w:tcPr>
          <w:p>
            <w:pPr>
              <w:spacing w:lineRule="exact" w:line="600"/>
              <w:jc w:val="center"/>
            </w:pPr>
            <w:r/>
            <w:r>
              <w:rPr>
                <w:rFonts w:ascii="仿宋_GB2312" w:hAnsi="仿宋_GB2312" w:eastAsia="仿宋_GB2312"/>
                <w:b w:val="0"/>
                <w:color w:val="000000"/>
                <w:sz w:val="32"/>
              </w:rPr>
              <w:t>中高</w:t>
            </w:r>
          </w:p>
        </w:tc>
      </w:tr>
      <w:tr>
        <w:tc>
          <w:tcPr>
            <w:tcW w:type="dxa" w:w="1984"/>
          </w:tcPr>
          <w:p>
            <w:pPr>
              <w:spacing w:lineRule="exact" w:line="600"/>
              <w:jc w:val="center"/>
            </w:pPr>
            <w:r/>
            <w:r>
              <w:rPr>
                <w:rFonts w:ascii="仿宋_GB2312" w:hAnsi="仿宋_GB2312" w:eastAsia="仿宋_GB2312"/>
                <w:b w:val="0"/>
                <w:color w:val="000000"/>
                <w:sz w:val="32"/>
              </w:rPr>
              <w:t>风险</w:t>
            </w:r>
          </w:p>
        </w:tc>
        <w:tc>
          <w:tcPr>
            <w:tcW w:type="dxa" w:w="4535"/>
          </w:tcPr>
          <w:p>
            <w:pPr>
              <w:spacing w:lineRule="exact" w:line="600"/>
              <w:jc w:val="center"/>
            </w:pPr>
            <w:r/>
            <w:r>
              <w:rPr>
                <w:rFonts w:ascii="仿宋_GB2312" w:hAnsi="仿宋_GB2312" w:eastAsia="仿宋_GB2312"/>
                <w:b w:val="0"/>
                <w:color w:val="000000"/>
                <w:sz w:val="32"/>
              </w:rPr>
              <w:t>汇率贸易壁垒、认证变更、周期波动</w:t>
            </w:r>
          </w:p>
        </w:tc>
        <w:tc>
          <w:tcPr>
            <w:tcW w:type="dxa" w:w="2551"/>
          </w:tcPr>
          <w:p>
            <w:pPr>
              <w:spacing w:lineRule="exact" w:line="600"/>
              <w:jc w:val="center"/>
            </w:pPr>
            <w:r/>
            <w:r>
              <w:rPr>
                <w:rFonts w:ascii="仿宋_GB2312" w:hAnsi="仿宋_GB2312" w:eastAsia="仿宋_GB2312"/>
                <w:b w:val="0"/>
                <w:color w:val="000000"/>
                <w:sz w:val="32"/>
              </w:rPr>
              <w:t>中</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（一）智能化升级</w:t>
      </w:r>
    </w:p>
    <w:p>
      <w:pPr>
        <w:spacing w:lineRule="exact" w:line="600" w:before="0" w:after="0"/>
        <w:ind w:firstLine="420"/>
        <w:jc w:val="both"/>
      </w:pPr>
      <w:r>
        <w:rPr>
          <w:rFonts w:ascii="仿宋_GB2312" w:hAnsi="仿宋_GB2312" w:eastAsia="仿宋_GB2312"/>
          <w:b w:val="0"/>
          <w:color w:val="000000"/>
          <w:sz w:val="32"/>
        </w:rPr>
        <w:t>依托年产200万套家庭智能健身包、年产12万辆超轻型碳纤维自行车等智能化项目，推动竞技器材向「数据+服务」延伸。泰山体育研发的运动芯片、智能运动垫可实时采集运动轨迹、力度、频次，通过数据优化训练方案（来源：香港商报2026）。</w:t>
      </w:r>
    </w:p>
    <w:p>
      <w:pPr>
        <w:spacing w:lineRule="exact" w:line="600" w:before="120" w:after="120"/>
        <w:ind w:firstLine="420"/>
        <w:jc w:val="left"/>
      </w:pPr>
      <w:r>
        <w:rPr>
          <w:rFonts w:ascii="楷体_GB2312" w:hAnsi="楷体_GB2312" w:eastAsia="楷体_GB2312"/>
          <w:b w:val="0"/>
          <w:color w:val="000000"/>
          <w:sz w:val="32"/>
        </w:rPr>
        <w:t>（二）标准化与品牌化</w:t>
      </w:r>
    </w:p>
    <w:p>
      <w:pPr>
        <w:spacing w:lineRule="exact" w:line="600" w:before="0" w:after="0"/>
        <w:ind w:firstLine="420"/>
        <w:jc w:val="both"/>
      </w:pPr>
      <w:r>
        <w:rPr>
          <w:rFonts w:ascii="仿宋_GB2312" w:hAnsi="仿宋_GB2312" w:eastAsia="仿宋_GB2312"/>
          <w:b w:val="0"/>
          <w:color w:val="000000"/>
          <w:sz w:val="32"/>
        </w:rPr>
        <w:t>继续以「乐陵标准」嵌入全球产业链，参与制定更多国际国内标准，巩固认证数量全球第一地位。推动奥运科技成果大众化，通过超级工厂店网络（目标2800个县域）实现品牌下沉（来源：香港商报2026）。</w:t>
      </w:r>
    </w:p>
    <w:p>
      <w:pPr>
        <w:spacing w:lineRule="exact" w:line="600" w:before="120" w:after="120"/>
        <w:ind w:firstLine="420"/>
        <w:jc w:val="left"/>
      </w:pPr>
      <w:r>
        <w:rPr>
          <w:rFonts w:ascii="楷体_GB2312" w:hAnsi="楷体_GB2312" w:eastAsia="楷体_GB2312"/>
          <w:b w:val="0"/>
          <w:color w:val="000000"/>
          <w:sz w:val="32"/>
        </w:rPr>
        <w:t>（三）服务化延伸</w:t>
      </w:r>
    </w:p>
    <w:p>
      <w:pPr>
        <w:spacing w:lineRule="exact" w:line="600" w:before="0" w:after="0"/>
        <w:ind w:firstLine="420"/>
        <w:jc w:val="both"/>
      </w:pPr>
      <w:r>
        <w:rPr>
          <w:rFonts w:ascii="仿宋_GB2312" w:hAnsi="仿宋_GB2312" w:eastAsia="仿宋_GB2312"/>
          <w:b w:val="0"/>
          <w:color w:val="000000"/>
          <w:sz w:val="32"/>
        </w:rPr>
        <w:t>由器材制造商升级为全球体育健康一站式解决方案服务商，业务拓展至体育公园、全民健身、校园体育、军警消防、青少年体适能等九大场景（来源：泰山体育官网）。预计三年内乐陵体育产业产值再增约280亿元、税收增4.2亿元（来源：大众网2024-05）。</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重点项目</w:t>
            </w:r>
          </w:p>
        </w:tc>
        <w:tc>
          <w:tcPr>
            <w:tcW w:type="dxa" w:w="3118"/>
          </w:tcPr>
          <w:p>
            <w:pPr>
              <w:spacing w:lineRule="exact" w:line="600"/>
              <w:jc w:val="center"/>
            </w:pPr>
            <w:r/>
            <w:r>
              <w:rPr>
                <w:rFonts w:ascii="黑体" w:hAnsi="黑体" w:eastAsia="黑体"/>
                <w:b/>
                <w:color w:val="000000"/>
                <w:sz w:val="32"/>
              </w:rPr>
              <w:t>预期</w:t>
            </w:r>
          </w:p>
        </w:tc>
      </w:tr>
      <w:tr>
        <w:tc>
          <w:tcPr>
            <w:tcW w:type="dxa" w:w="2268"/>
          </w:tcPr>
          <w:p>
            <w:pPr>
              <w:spacing w:lineRule="exact" w:line="600"/>
              <w:jc w:val="center"/>
            </w:pPr>
            <w:r/>
            <w:r>
              <w:rPr>
                <w:rFonts w:ascii="仿宋_GB2312" w:hAnsi="仿宋_GB2312" w:eastAsia="仿宋_GB2312"/>
                <w:b w:val="0"/>
                <w:color w:val="000000"/>
                <w:sz w:val="32"/>
              </w:rPr>
              <w:t>智能化</w:t>
            </w:r>
          </w:p>
        </w:tc>
        <w:tc>
          <w:tcPr>
            <w:tcW w:type="dxa" w:w="3685"/>
          </w:tcPr>
          <w:p>
            <w:pPr>
              <w:spacing w:lineRule="exact" w:line="600"/>
              <w:jc w:val="center"/>
            </w:pPr>
            <w:r/>
            <w:r>
              <w:rPr>
                <w:rFonts w:ascii="仿宋_GB2312" w:hAnsi="仿宋_GB2312" w:eastAsia="仿宋_GB2312"/>
                <w:b w:val="0"/>
                <w:color w:val="000000"/>
                <w:sz w:val="32"/>
              </w:rPr>
              <w:t>智能健身包200万套/年</w:t>
            </w:r>
          </w:p>
        </w:tc>
        <w:tc>
          <w:tcPr>
            <w:tcW w:type="dxa" w:w="3118"/>
          </w:tcPr>
          <w:p>
            <w:pPr>
              <w:spacing w:lineRule="exact" w:line="600"/>
              <w:jc w:val="center"/>
            </w:pPr>
            <w:r/>
            <w:r>
              <w:rPr>
                <w:rFonts w:ascii="仿宋_GB2312" w:hAnsi="仿宋_GB2312" w:eastAsia="仿宋_GB2312"/>
                <w:b w:val="0"/>
                <w:color w:val="000000"/>
                <w:sz w:val="32"/>
              </w:rPr>
              <w:t>数据服务增值</w:t>
            </w:r>
          </w:p>
        </w:tc>
      </w:tr>
      <w:tr>
        <w:tc>
          <w:tcPr>
            <w:tcW w:type="dxa" w:w="2268"/>
          </w:tcPr>
          <w:p>
            <w:pPr>
              <w:spacing w:lineRule="exact" w:line="600"/>
              <w:jc w:val="center"/>
            </w:pPr>
            <w:r/>
            <w:r>
              <w:rPr>
                <w:rFonts w:ascii="仿宋_GB2312" w:hAnsi="仿宋_GB2312" w:eastAsia="仿宋_GB2312"/>
                <w:b w:val="0"/>
                <w:color w:val="000000"/>
                <w:sz w:val="32"/>
              </w:rPr>
              <w:t>标准化</w:t>
            </w:r>
          </w:p>
        </w:tc>
        <w:tc>
          <w:tcPr>
            <w:tcW w:type="dxa" w:w="3685"/>
          </w:tcPr>
          <w:p>
            <w:pPr>
              <w:spacing w:lineRule="exact" w:line="600"/>
              <w:jc w:val="center"/>
            </w:pPr>
            <w:r/>
            <w:r>
              <w:rPr>
                <w:rFonts w:ascii="仿宋_GB2312" w:hAnsi="仿宋_GB2312" w:eastAsia="仿宋_GB2312"/>
                <w:b w:val="0"/>
                <w:color w:val="000000"/>
                <w:sz w:val="32"/>
              </w:rPr>
              <w:t>参与国际标准制定</w:t>
            </w:r>
          </w:p>
        </w:tc>
        <w:tc>
          <w:tcPr>
            <w:tcW w:type="dxa" w:w="3118"/>
          </w:tcPr>
          <w:p>
            <w:pPr>
              <w:spacing w:lineRule="exact" w:line="600"/>
              <w:jc w:val="center"/>
            </w:pPr>
            <w:r/>
            <w:r>
              <w:rPr>
                <w:rFonts w:ascii="仿宋_GB2312" w:hAnsi="仿宋_GB2312" w:eastAsia="仿宋_GB2312"/>
                <w:b w:val="0"/>
                <w:color w:val="000000"/>
                <w:sz w:val="32"/>
              </w:rPr>
              <w:t>巩固认证第一</w:t>
            </w:r>
          </w:p>
        </w:tc>
      </w:tr>
      <w:tr>
        <w:tc>
          <w:tcPr>
            <w:tcW w:type="dxa" w:w="2268"/>
          </w:tcPr>
          <w:p>
            <w:pPr>
              <w:spacing w:lineRule="exact" w:line="600"/>
              <w:jc w:val="center"/>
            </w:pPr>
            <w:r/>
            <w:r>
              <w:rPr>
                <w:rFonts w:ascii="仿宋_GB2312" w:hAnsi="仿宋_GB2312" w:eastAsia="仿宋_GB2312"/>
                <w:b w:val="0"/>
                <w:color w:val="000000"/>
                <w:sz w:val="32"/>
              </w:rPr>
              <w:t>服务化</w:t>
            </w:r>
          </w:p>
        </w:tc>
        <w:tc>
          <w:tcPr>
            <w:tcW w:type="dxa" w:w="3685"/>
          </w:tcPr>
          <w:p>
            <w:pPr>
              <w:spacing w:lineRule="exact" w:line="600"/>
              <w:jc w:val="center"/>
            </w:pPr>
            <w:r/>
            <w:r>
              <w:rPr>
                <w:rFonts w:ascii="仿宋_GB2312" w:hAnsi="仿宋_GB2312" w:eastAsia="仿宋_GB2312"/>
                <w:b w:val="0"/>
                <w:color w:val="000000"/>
                <w:sz w:val="32"/>
              </w:rPr>
              <w:t>九大场景解决方案</w:t>
            </w:r>
          </w:p>
        </w:tc>
        <w:tc>
          <w:tcPr>
            <w:tcW w:type="dxa" w:w="3118"/>
          </w:tcPr>
          <w:p>
            <w:pPr>
              <w:spacing w:lineRule="exact" w:line="600"/>
              <w:jc w:val="center"/>
            </w:pPr>
            <w:r/>
            <w:r>
              <w:rPr>
                <w:rFonts w:ascii="仿宋_GB2312" w:hAnsi="仿宋_GB2312" w:eastAsia="仿宋_GB2312"/>
                <w:b w:val="0"/>
                <w:color w:val="000000"/>
                <w:sz w:val="32"/>
              </w:rPr>
              <w:t>三年产值+280亿</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（一）产能扩建融资</w:t>
      </w:r>
    </w:p>
    <w:p>
      <w:pPr>
        <w:spacing w:lineRule="exact" w:line="600" w:before="0" w:after="0"/>
        <w:ind w:firstLine="420"/>
        <w:jc w:val="both"/>
      </w:pPr>
      <w:r>
        <w:rPr>
          <w:rFonts w:ascii="仿宋_GB2312" w:hAnsi="仿宋_GB2312" w:eastAsia="仿宋_GB2312"/>
          <w:b w:val="0"/>
          <w:color w:val="000000"/>
          <w:sz w:val="32"/>
        </w:rPr>
        <w:t>泰山（国际）产业园10个智能化单体项目中，年产2000万平方米人造草坪、12万辆碳纤维自行车、200万套智能健身包等仍需资本开支。友谊体育2025年一季度产值3200万元、出口增85%，扩产意愿强，存在设备与产线融资需求（来源：香港商报2026）。</w:t>
      </w:r>
    </w:p>
    <w:p>
      <w:pPr>
        <w:spacing w:lineRule="exact" w:line="600" w:before="120" w:after="120"/>
        <w:ind w:firstLine="420"/>
        <w:jc w:val="left"/>
      </w:pPr>
      <w:r>
        <w:rPr>
          <w:rFonts w:ascii="楷体_GB2312" w:hAnsi="楷体_GB2312" w:eastAsia="楷体_GB2312"/>
          <w:b w:val="0"/>
          <w:color w:val="000000"/>
          <w:sz w:val="32"/>
        </w:rPr>
        <w:t>（二）研发与平台融资</w:t>
      </w:r>
    </w:p>
    <w:p>
      <w:pPr>
        <w:spacing w:lineRule="exact" w:line="600" w:before="0" w:after="0"/>
        <w:ind w:firstLine="420"/>
        <w:jc w:val="both"/>
      </w:pPr>
      <w:r>
        <w:rPr>
          <w:rFonts w:ascii="仿宋_GB2312" w:hAnsi="仿宋_GB2312" w:eastAsia="仿宋_GB2312"/>
          <w:b w:val="0"/>
          <w:color w:val="000000"/>
          <w:sz w:val="32"/>
        </w:rPr>
        <w:t>创建国家高端体育装备技术创新中心、扩充研发人员规模、攻关碳纤维与传感器核心技术，需要中长期研发资金。泰山体育年研发投入占营收4%，配套企业研发强度提升空间大（来源：大众网2024-05）。</w:t>
      </w:r>
    </w:p>
    <w:p>
      <w:pPr>
        <w:spacing w:lineRule="exact" w:line="600" w:before="120" w:after="120"/>
        <w:ind w:firstLine="420"/>
        <w:jc w:val="left"/>
      </w:pPr>
      <w:r>
        <w:rPr>
          <w:rFonts w:ascii="楷体_GB2312" w:hAnsi="楷体_GB2312" w:eastAsia="楷体_GB2312"/>
          <w:b w:val="0"/>
          <w:color w:val="000000"/>
          <w:sz w:val="32"/>
        </w:rPr>
        <w:t>（三）并购与渠道融资</w:t>
      </w:r>
    </w:p>
    <w:p>
      <w:pPr>
        <w:spacing w:lineRule="exact" w:line="600" w:before="0" w:after="0"/>
        <w:ind w:firstLine="420"/>
        <w:jc w:val="both"/>
      </w:pPr>
      <w:r>
        <w:rPr>
          <w:rFonts w:ascii="仿宋_GB2312" w:hAnsi="仿宋_GB2312" w:eastAsia="仿宋_GB2312"/>
          <w:b w:val="0"/>
          <w:color w:val="000000"/>
          <w:sz w:val="32"/>
        </w:rPr>
        <w:t>为快速构建C端品牌与海外渠道，链主企业可能通过并购或设立海外代理机构扩张；超级工厂店2800县域网络建设亦需流动资金支持。建议综合运用产业基金、供应链金融与股权融资（行业共性研判）。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融资方向</w:t>
            </w:r>
          </w:p>
        </w:tc>
        <w:tc>
          <w:tcPr>
            <w:tcW w:type="dxa" w:w="3402"/>
          </w:tcPr>
          <w:p>
            <w:pPr>
              <w:spacing w:lineRule="exact" w:line="600"/>
              <w:jc w:val="center"/>
            </w:pPr>
            <w:r/>
            <w:r>
              <w:rPr>
                <w:rFonts w:ascii="黑体" w:hAnsi="黑体" w:eastAsia="黑体"/>
                <w:b/>
                <w:color w:val="000000"/>
                <w:sz w:val="32"/>
              </w:rPr>
              <w:t>规模特征</w:t>
            </w:r>
          </w:p>
        </w:tc>
        <w:tc>
          <w:tcPr>
            <w:tcW w:type="dxa" w:w="3402"/>
          </w:tcPr>
          <w:p>
            <w:pPr>
              <w:spacing w:lineRule="exact" w:line="600"/>
              <w:jc w:val="center"/>
            </w:pPr>
            <w:r/>
            <w:r>
              <w:rPr>
                <w:rFonts w:ascii="黑体" w:hAnsi="黑体" w:eastAsia="黑体"/>
                <w:b/>
                <w:color w:val="000000"/>
                <w:sz w:val="32"/>
              </w:rPr>
              <w:t>工具建议</w:t>
            </w:r>
          </w:p>
        </w:tc>
      </w:tr>
      <w:tr>
        <w:tc>
          <w:tcPr>
            <w:tcW w:type="dxa" w:w="2268"/>
          </w:tcPr>
          <w:p>
            <w:pPr>
              <w:spacing w:lineRule="exact" w:line="600"/>
              <w:jc w:val="center"/>
            </w:pPr>
            <w:r/>
            <w:r>
              <w:rPr>
                <w:rFonts w:ascii="仿宋_GB2312" w:hAnsi="仿宋_GB2312" w:eastAsia="仿宋_GB2312"/>
                <w:b w:val="0"/>
                <w:color w:val="000000"/>
                <w:sz w:val="32"/>
              </w:rPr>
              <w:t>产能扩建</w:t>
            </w:r>
          </w:p>
        </w:tc>
        <w:tc>
          <w:tcPr>
            <w:tcW w:type="dxa" w:w="3402"/>
          </w:tcPr>
          <w:p>
            <w:pPr>
              <w:spacing w:lineRule="exact" w:line="600"/>
              <w:jc w:val="center"/>
            </w:pPr>
            <w:r/>
            <w:r>
              <w:rPr>
                <w:rFonts w:ascii="仿宋_GB2312" w:hAnsi="仿宋_GB2312" w:eastAsia="仿宋_GB2312"/>
                <w:b w:val="0"/>
                <w:color w:val="000000"/>
                <w:sz w:val="32"/>
              </w:rPr>
              <w:t>亿元级项目</w:t>
            </w:r>
          </w:p>
        </w:tc>
        <w:tc>
          <w:tcPr>
            <w:tcW w:type="dxa" w:w="3402"/>
          </w:tcPr>
          <w:p>
            <w:pPr>
              <w:spacing w:lineRule="exact" w:line="600"/>
              <w:jc w:val="center"/>
            </w:pPr>
            <w:r/>
            <w:r>
              <w:rPr>
                <w:rFonts w:ascii="仿宋_GB2312" w:hAnsi="仿宋_GB2312" w:eastAsia="仿宋_GB2312"/>
                <w:b w:val="0"/>
                <w:color w:val="000000"/>
                <w:sz w:val="32"/>
              </w:rPr>
              <w:t>项目贷/产业基金</w:t>
            </w:r>
          </w:p>
        </w:tc>
      </w:tr>
      <w:tr>
        <w:tc>
          <w:tcPr>
            <w:tcW w:type="dxa" w:w="2268"/>
          </w:tcPr>
          <w:p>
            <w:pPr>
              <w:spacing w:lineRule="exact" w:line="600"/>
              <w:jc w:val="center"/>
            </w:pPr>
            <w:r/>
            <w:r>
              <w:rPr>
                <w:rFonts w:ascii="仿宋_GB2312" w:hAnsi="仿宋_GB2312" w:eastAsia="仿宋_GB2312"/>
                <w:b w:val="0"/>
                <w:color w:val="000000"/>
                <w:sz w:val="32"/>
              </w:rPr>
              <w:t>研发投入</w:t>
            </w:r>
          </w:p>
        </w:tc>
        <w:tc>
          <w:tcPr>
            <w:tcW w:type="dxa" w:w="3402"/>
          </w:tcPr>
          <w:p>
            <w:pPr>
              <w:spacing w:lineRule="exact" w:line="600"/>
              <w:jc w:val="center"/>
            </w:pPr>
            <w:r/>
            <w:r>
              <w:rPr>
                <w:rFonts w:ascii="仿宋_GB2312" w:hAnsi="仿宋_GB2312" w:eastAsia="仿宋_GB2312"/>
                <w:b w:val="0"/>
                <w:color w:val="000000"/>
                <w:sz w:val="32"/>
              </w:rPr>
              <w:t>千万级/年</w:t>
            </w:r>
          </w:p>
        </w:tc>
        <w:tc>
          <w:tcPr>
            <w:tcW w:type="dxa" w:w="3402"/>
          </w:tcPr>
          <w:p>
            <w:pPr>
              <w:spacing w:lineRule="exact" w:line="600"/>
              <w:jc w:val="center"/>
            </w:pPr>
            <w:r/>
            <w:r>
              <w:rPr>
                <w:rFonts w:ascii="仿宋_GB2312" w:hAnsi="仿宋_GB2312" w:eastAsia="仿宋_GB2312"/>
                <w:b w:val="0"/>
                <w:color w:val="000000"/>
                <w:sz w:val="32"/>
              </w:rPr>
              <w:t>研发贷/专项资金</w:t>
            </w:r>
          </w:p>
        </w:tc>
      </w:tr>
      <w:tr>
        <w:tc>
          <w:tcPr>
            <w:tcW w:type="dxa" w:w="2268"/>
          </w:tcPr>
          <w:p>
            <w:pPr>
              <w:spacing w:lineRule="exact" w:line="600"/>
              <w:jc w:val="center"/>
            </w:pPr>
            <w:r/>
            <w:r>
              <w:rPr>
                <w:rFonts w:ascii="仿宋_GB2312" w:hAnsi="仿宋_GB2312" w:eastAsia="仿宋_GB2312"/>
                <w:b w:val="0"/>
                <w:color w:val="000000"/>
                <w:sz w:val="32"/>
              </w:rPr>
              <w:t>渠道并购</w:t>
            </w:r>
          </w:p>
        </w:tc>
        <w:tc>
          <w:tcPr>
            <w:tcW w:type="dxa" w:w="3402"/>
          </w:tcPr>
          <w:p>
            <w:pPr>
              <w:spacing w:lineRule="exact" w:line="600"/>
              <w:jc w:val="center"/>
            </w:pPr>
            <w:r/>
            <w:r>
              <w:rPr>
                <w:rFonts w:ascii="仿宋_GB2312" w:hAnsi="仿宋_GB2312" w:eastAsia="仿宋_GB2312"/>
                <w:b w:val="0"/>
                <w:color w:val="000000"/>
                <w:sz w:val="32"/>
              </w:rPr>
              <w:t>中等规模</w:t>
            </w:r>
          </w:p>
        </w:tc>
        <w:tc>
          <w:tcPr>
            <w:tcW w:type="dxa" w:w="3402"/>
          </w:tcPr>
          <w:p>
            <w:pPr>
              <w:spacing w:lineRule="exact" w:line="600"/>
              <w:jc w:val="center"/>
            </w:pPr>
            <w:r/>
            <w:r>
              <w:rPr>
                <w:rFonts w:ascii="仿宋_GB2312" w:hAnsi="仿宋_GB2312" w:eastAsia="仿宋_GB2312"/>
                <w:b w:val="0"/>
                <w:color w:val="000000"/>
                <w:sz w:val="32"/>
              </w:rPr>
              <w:t>股权/并购贷</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泰山体育产业集团有限公司：成立于1998年（前身1978年乐陵县泰山体育器材厂），法定代表人卞志良，注册资本1.6亿元，地址乐陵市经济技术开发区泰山体育路1号；主营竞技体育器材与赛事综合服务，2023年主营业务收入112.47亿元、净利润6.84亿元，2025年营业收入117.64亿元，品牌价值263亿元；国家制造业单项冠军示范企业、国家企业技术中心；服务8届奥运会等2000余场赛事，国内外专利超1000项、200多项产品通过国际认证。来源：乐陵市政府、泰山体育官网、百度百科、快懂百科。</w:t>
      </w:r>
    </w:p>
    <w:p>
      <w:pPr>
        <w:spacing w:lineRule="exact" w:line="600" w:before="0" w:after="0"/>
        <w:ind w:firstLine="420"/>
        <w:jc w:val="both"/>
      </w:pPr>
      <w:r>
        <w:rPr>
          <w:rFonts w:ascii="仿宋_GB2312" w:hAnsi="仿宋_GB2312" w:eastAsia="仿宋_GB2312"/>
          <w:b w:val="0"/>
          <w:color w:val="000000"/>
          <w:sz w:val="32"/>
        </w:rPr>
        <w:t>乐陵市友谊体育器材有限责任公司：创办于1988年，专注射箭、射击器材与服装，是世界六大专业射箭生产商之一、亚运会及全运会射箭器材独家供应商；自主研发200多种高科技射箭器材及配件，年产射箭器材约20万套、销售额约1.5亿元；2023年杭州亚运会供应80多种、2万余件产品，2025年一季度产值3200万元、出口销售额同比增长85%，产品远销韩国、日本。来源：经济日报/央视网2024-08、香港商报2026-04。</w:t>
      </w:r>
    </w:p>
    <w:p>
      <w:pPr>
        <w:spacing w:lineRule="exact" w:line="600" w:before="0" w:after="0"/>
        <w:ind w:firstLine="420"/>
        <w:jc w:val="both"/>
      </w:pPr>
      <w:r>
        <w:rPr>
          <w:rFonts w:ascii="仿宋_GB2312" w:hAnsi="仿宋_GB2312" w:eastAsia="仿宋_GB2312"/>
          <w:b w:val="0"/>
          <w:color w:val="000000"/>
          <w:sz w:val="32"/>
        </w:rPr>
        <w:t>山东泰山体育器材有限公司：泰山体育产业集团旗下子公司，2010年7月成立，位于乐陵市经济技术开发区；主营竞技体操、田径、拳击、举摔柔、艺术体操等高端竞技器材及辅助训练器材，占中国竞技体育市场90%以上；授权专利221项、100项产品获国际认证、主持或参与制定国家标准19项、软件著作权18项、发明专利38项，服务国内外大型赛事2000余场。来源：泰山体育官网。</w:t>
      </w:r>
    </w:p>
    <w:p>
      <w:pPr>
        <w:spacing w:lineRule="exact" w:line="600" w:before="0" w:after="0"/>
        <w:jc w:val="left"/>
      </w:pPr>
      <w:r>
        <w:rPr>
          <w:rFonts w:ascii="仿宋_GB2312" w:hAnsi="仿宋_GB2312" w:eastAsia="仿宋_GB2312"/>
          <w:b w:val="0"/>
          <w:color w:val="000000"/>
          <w:sz w:val="28"/>
        </w:rPr>
        <w:t>主要数据来源：德州市人民政府官网《关于支持体育产业高质量发展的建议》答复（2023年规上产值95.51亿元）；乐陵市人民政府官网「体育产业」专题（总产值、企业数、技术平台）；山东省发展改革委《泰山体育产业集团乐陵泰山体育(国际)产业园》园区推介（2026-05-06）；新华社《瞭望》新闻周刊《百亿体育产业崛起德州》（2024-05-06）；中国发展网《中国制造走红巴黎奥运，乐陵这座小城出圈了》（2024-08）；经济日报/央视网《巴黎奥运这些名场面，背后都有中国造》（2024-08-11）；齐鲁网闪电新闻、经济导报关于乐陵国家体育产业基地报道（2022-09）；香港商报《山东乐陵：以体育全产业链激活县域经济新动能》（2026-04-28）；泰山体育产业集团官网（企业简介、泰山器材、研发平台）；百度百科/快懂百科「泰山体育产业集团有限公司」词条</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