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山东菏泽牡丹区（绿色休闲食品）特色产业集群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肉制品与酱卤休闲食品加工行业深度分析报告</w:t>
      </w:r>
    </w:p>
    <w:p>
      <w:pPr>
        <w:spacing w:lineRule="exact" w:line="600" w:before="0" w:after="0"/>
        <w:jc w:val="left"/>
      </w:pPr>
      <w:r>
        <w:rPr>
          <w:rFonts w:ascii="仿宋_GB2312" w:hAnsi="仿宋_GB2312" w:eastAsia="仿宋_GB2312"/>
          <w:b w:val="0"/>
          <w:color w:val="000000"/>
          <w:sz w:val="28"/>
        </w:rPr>
        <w:t>本报告聚焦沙土镇绿色休闲食品产业园的肉制品、酱卤与预制菜加工环节，数据来源于牡丹区政府官网、菏泽广电、大众日报等公开报道。数据截至2024年，部分细分领域公开统计有限，已标注共性研判。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肉制品与酱卤休闲食品加工是牡丹区沙土休闲食品特色产业园的重要增长极。沙土镇已聚集食品加工类企业100余家，形成果蔬、肉类、面点、预制菜四大门类600余个加工品种，2024年全镇食品加工产值突破70亿元、税收2.1亿元。代表企业虎运食品投资4.5亿元建设国家级鲁西黄牛保种中心，实现年出栏优质种牛5万头、年加工牛肉制品1.8万吨，推动传统养殖向高端肉制品升级；盛鑫源食品与米村拌饭、海底捞等头部餐饮连锁建立长期合作，深耕脱水蔬菜与预制菜。在「龙头企业+合作社+农户+基地」模式带动下，肉制品加工向标准化、品牌化、预制化延伸，成为乡村产业振兴与县域经济的重要支撑。</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沙土镇食品加工产值</w:t>
            </w:r>
          </w:p>
        </w:tc>
        <w:tc>
          <w:tcPr>
            <w:tcW w:type="dxa" w:w="2835"/>
          </w:tcPr>
          <w:p>
            <w:pPr>
              <w:spacing w:lineRule="exact" w:line="600"/>
              <w:jc w:val="center"/>
            </w:pPr>
            <w:r/>
            <w:r>
              <w:rPr>
                <w:rFonts w:ascii="仿宋_GB2312" w:hAnsi="仿宋_GB2312" w:eastAsia="仿宋_GB2312"/>
                <w:b w:val="0"/>
                <w:color w:val="000000"/>
                <w:sz w:val="32"/>
              </w:rPr>
              <w:t>突破70亿元</w:t>
            </w:r>
          </w:p>
        </w:tc>
        <w:tc>
          <w:tcPr>
            <w:tcW w:type="dxa" w:w="3118"/>
          </w:tcPr>
          <w:p>
            <w:pPr>
              <w:spacing w:lineRule="exact" w:line="600"/>
              <w:jc w:val="center"/>
            </w:pPr>
            <w:r/>
            <w:r>
              <w:rPr>
                <w:rFonts w:ascii="仿宋_GB2312" w:hAnsi="仿宋_GB2312" w:eastAsia="仿宋_GB2312"/>
                <w:b w:val="0"/>
                <w:color w:val="000000"/>
                <w:sz w:val="32"/>
              </w:rPr>
              <w:t>菏泽广电，2024</w:t>
            </w:r>
          </w:p>
        </w:tc>
      </w:tr>
      <w:tr>
        <w:tc>
          <w:tcPr>
            <w:tcW w:type="dxa" w:w="2835"/>
          </w:tcPr>
          <w:p>
            <w:pPr>
              <w:spacing w:lineRule="exact" w:line="600"/>
              <w:jc w:val="center"/>
            </w:pPr>
            <w:r/>
            <w:r>
              <w:rPr>
                <w:rFonts w:ascii="仿宋_GB2312" w:hAnsi="仿宋_GB2312" w:eastAsia="仿宋_GB2312"/>
                <w:b w:val="0"/>
                <w:color w:val="000000"/>
                <w:sz w:val="32"/>
              </w:rPr>
              <w:t>沙土休闲食品园产值</w:t>
            </w:r>
          </w:p>
        </w:tc>
        <w:tc>
          <w:tcPr>
            <w:tcW w:type="dxa" w:w="2835"/>
          </w:tcPr>
          <w:p>
            <w:pPr>
              <w:spacing w:lineRule="exact" w:line="600"/>
              <w:jc w:val="center"/>
            </w:pPr>
            <w:r/>
            <w:r>
              <w:rPr>
                <w:rFonts w:ascii="仿宋_GB2312" w:hAnsi="仿宋_GB2312" w:eastAsia="仿宋_GB2312"/>
                <w:b w:val="0"/>
                <w:color w:val="000000"/>
                <w:sz w:val="32"/>
              </w:rPr>
              <w:t>突破60亿元</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全镇税收</w:t>
            </w:r>
          </w:p>
        </w:tc>
        <w:tc>
          <w:tcPr>
            <w:tcW w:type="dxa" w:w="2835"/>
          </w:tcPr>
          <w:p>
            <w:pPr>
              <w:spacing w:lineRule="exact" w:line="600"/>
              <w:jc w:val="center"/>
            </w:pPr>
            <w:r/>
            <w:r>
              <w:rPr>
                <w:rFonts w:ascii="仿宋_GB2312" w:hAnsi="仿宋_GB2312" w:eastAsia="仿宋_GB2312"/>
                <w:b w:val="0"/>
                <w:color w:val="000000"/>
                <w:sz w:val="32"/>
              </w:rPr>
              <w:t>2.1亿元</w:t>
            </w:r>
          </w:p>
        </w:tc>
        <w:tc>
          <w:tcPr>
            <w:tcW w:type="dxa" w:w="3118"/>
          </w:tcPr>
          <w:p>
            <w:pPr>
              <w:spacing w:lineRule="exact" w:line="600"/>
              <w:jc w:val="center"/>
            </w:pPr>
            <w:r/>
            <w:r>
              <w:rPr>
                <w:rFonts w:ascii="仿宋_GB2312" w:hAnsi="仿宋_GB2312" w:eastAsia="仿宋_GB2312"/>
                <w:b w:val="0"/>
                <w:color w:val="000000"/>
                <w:sz w:val="32"/>
              </w:rPr>
              <w:t>牡丹区发布，2024</w:t>
            </w:r>
          </w:p>
        </w:tc>
      </w:tr>
      <w:tr>
        <w:tc>
          <w:tcPr>
            <w:tcW w:type="dxa" w:w="2835"/>
          </w:tcPr>
          <w:p>
            <w:pPr>
              <w:spacing w:lineRule="exact" w:line="600"/>
              <w:jc w:val="center"/>
            </w:pPr>
            <w:r/>
            <w:r>
              <w:rPr>
                <w:rFonts w:ascii="仿宋_GB2312" w:hAnsi="仿宋_GB2312" w:eastAsia="仿宋_GB2312"/>
                <w:b w:val="0"/>
                <w:color w:val="000000"/>
                <w:sz w:val="32"/>
              </w:rPr>
              <w:t>虎运年出栏种牛</w:t>
            </w:r>
          </w:p>
        </w:tc>
        <w:tc>
          <w:tcPr>
            <w:tcW w:type="dxa" w:w="2835"/>
          </w:tcPr>
          <w:p>
            <w:pPr>
              <w:spacing w:lineRule="exact" w:line="600"/>
              <w:jc w:val="center"/>
            </w:pPr>
            <w:r/>
            <w:r>
              <w:rPr>
                <w:rFonts w:ascii="仿宋_GB2312" w:hAnsi="仿宋_GB2312" w:eastAsia="仿宋_GB2312"/>
                <w:b w:val="0"/>
                <w:color w:val="000000"/>
                <w:sz w:val="32"/>
              </w:rPr>
              <w:t>5万头</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虎运年加工牛肉</w:t>
            </w:r>
          </w:p>
        </w:tc>
        <w:tc>
          <w:tcPr>
            <w:tcW w:type="dxa" w:w="2835"/>
          </w:tcPr>
          <w:p>
            <w:pPr>
              <w:spacing w:lineRule="exact" w:line="600"/>
              <w:jc w:val="center"/>
            </w:pPr>
            <w:r/>
            <w:r>
              <w:rPr>
                <w:rFonts w:ascii="仿宋_GB2312" w:hAnsi="仿宋_GB2312" w:eastAsia="仿宋_GB2312"/>
                <w:b w:val="0"/>
                <w:color w:val="000000"/>
                <w:sz w:val="32"/>
              </w:rPr>
              <w:t>1.8万吨</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食品加工企业</w:t>
            </w:r>
          </w:p>
        </w:tc>
        <w:tc>
          <w:tcPr>
            <w:tcW w:type="dxa" w:w="2835"/>
          </w:tcPr>
          <w:p>
            <w:pPr>
              <w:spacing w:lineRule="exact" w:line="600"/>
              <w:jc w:val="center"/>
            </w:pPr>
            <w:r/>
            <w:r>
              <w:rPr>
                <w:rFonts w:ascii="仿宋_GB2312" w:hAnsi="仿宋_GB2312" w:eastAsia="仿宋_GB2312"/>
                <w:b w:val="0"/>
                <w:color w:val="000000"/>
                <w:sz w:val="32"/>
              </w:rPr>
              <w:t>100余家</w:t>
            </w:r>
          </w:p>
        </w:tc>
        <w:tc>
          <w:tcPr>
            <w:tcW w:type="dxa" w:w="3118"/>
          </w:tcPr>
          <w:p>
            <w:pPr>
              <w:spacing w:lineRule="exact" w:line="600"/>
              <w:jc w:val="center"/>
            </w:pPr>
            <w:r/>
            <w:r>
              <w:rPr>
                <w:rFonts w:ascii="仿宋_GB2312" w:hAnsi="仿宋_GB2312" w:eastAsia="仿宋_GB2312"/>
                <w:b w:val="0"/>
                <w:color w:val="000000"/>
                <w:sz w:val="32"/>
              </w:rPr>
              <w:t>沙土镇，2024</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2835"/>
          </w:tcPr>
          <w:p>
            <w:pPr>
              <w:spacing w:lineRule="exact" w:line="600"/>
              <w:jc w:val="center"/>
            </w:pPr>
            <w:r/>
            <w:r>
              <w:rPr>
                <w:rFonts w:ascii="仿宋_GB2312" w:hAnsi="仿宋_GB2312" w:eastAsia="仿宋_GB2312"/>
                <w:b w:val="0"/>
                <w:color w:val="000000"/>
                <w:sz w:val="32"/>
              </w:rPr>
              <w:t>10余国</w:t>
            </w:r>
          </w:p>
        </w:tc>
        <w:tc>
          <w:tcPr>
            <w:tcW w:type="dxa" w:w="3118"/>
          </w:tcPr>
          <w:p>
            <w:pPr>
              <w:spacing w:lineRule="exact" w:line="600"/>
              <w:jc w:val="center"/>
            </w:pPr>
            <w:r/>
            <w:r>
              <w:rPr>
                <w:rFonts w:ascii="仿宋_GB2312" w:hAnsi="仿宋_GB2312" w:eastAsia="仿宋_GB2312"/>
                <w:b w:val="0"/>
                <w:color w:val="000000"/>
                <w:sz w:val="32"/>
              </w:rPr>
              <w:t>牡丹区政府，2024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国家实施乡村振兴战略与农产品加工业提升行动，鼓励「农头工尾」「粮头食尾」延伸产业链、提升附加值。农业农村部开展农业产业化国家重点龙头企业监测，牡丹区佳美食品2024年跻身国家级重点龙头企业，实现全区「零」的突破（来源：牡丹区政府、农业农村部，2024）。</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牡丹区将绿色休闲食品作为特色主导产业，依托沙土镇农副产品资源打造休闲食品特色产业园，重点布局休闲食品、功能食品、预制菜、宠物食品，致力建成国家绿色食品产业集群（来源：牡丹区政府官网，2024）。</w:t>
      </w:r>
    </w:p>
    <w:p>
      <w:pPr>
        <w:spacing w:lineRule="exact" w:line="600" w:before="120" w:after="120"/>
        <w:ind w:firstLine="420"/>
        <w:jc w:val="left"/>
      </w:pPr>
      <w:r>
        <w:rPr>
          <w:rFonts w:ascii="楷体_GB2312" w:hAnsi="楷体_GB2312" w:eastAsia="楷体_GB2312"/>
          <w:b w:val="0"/>
          <w:color w:val="000000"/>
          <w:sz w:val="32"/>
        </w:rPr>
        <w:t>（三）产业基础与规模</w:t>
      </w:r>
    </w:p>
    <w:p>
      <w:pPr>
        <w:spacing w:lineRule="exact" w:line="600" w:before="0" w:after="0"/>
        <w:ind w:firstLine="420"/>
        <w:jc w:val="both"/>
      </w:pPr>
      <w:r>
        <w:rPr>
          <w:rFonts w:ascii="仿宋_GB2312" w:hAnsi="仿宋_GB2312" w:eastAsia="仿宋_GB2312"/>
          <w:b w:val="0"/>
          <w:color w:val="000000"/>
          <w:sz w:val="32"/>
        </w:rPr>
        <w:t>沙土镇聚集食品加工类企业100余家，其中国家级农业产业化重点龙头企业1家、省级4家、科技型中小企业17家、省级专精特新5家，产品远销30多个国家和地区；2024年全镇税收2.1亿元、一般公共预算收入1.1亿元（来源：牡丹区发布、菏泽广电，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食品加工企业</w:t>
            </w:r>
          </w:p>
        </w:tc>
        <w:tc>
          <w:tcPr>
            <w:tcW w:type="dxa" w:w="3118"/>
          </w:tcPr>
          <w:p>
            <w:pPr>
              <w:spacing w:lineRule="exact" w:line="600"/>
              <w:jc w:val="center"/>
            </w:pPr>
            <w:r/>
            <w:r>
              <w:rPr>
                <w:rFonts w:ascii="仿宋_GB2312" w:hAnsi="仿宋_GB2312" w:eastAsia="仿宋_GB2312"/>
                <w:b w:val="0"/>
                <w:color w:val="000000"/>
                <w:sz w:val="32"/>
              </w:rPr>
              <w:t>100余家</w:t>
            </w:r>
          </w:p>
        </w:tc>
        <w:tc>
          <w:tcPr>
            <w:tcW w:type="dxa" w:w="3118"/>
          </w:tcPr>
          <w:p>
            <w:pPr>
              <w:spacing w:lineRule="exact" w:line="600"/>
              <w:jc w:val="center"/>
            </w:pPr>
            <w:r/>
            <w:r>
              <w:rPr>
                <w:rFonts w:ascii="仿宋_GB2312" w:hAnsi="仿宋_GB2312" w:eastAsia="仿宋_GB2312"/>
                <w:b w:val="0"/>
                <w:color w:val="000000"/>
                <w:sz w:val="32"/>
              </w:rPr>
              <w:t>沙土镇/牡丹区，2024</w:t>
            </w:r>
          </w:p>
        </w:tc>
      </w:tr>
      <w:tr>
        <w:tc>
          <w:tcPr>
            <w:tcW w:type="dxa" w:w="2835"/>
          </w:tcPr>
          <w:p>
            <w:pPr>
              <w:spacing w:lineRule="exact" w:line="600"/>
              <w:jc w:val="center"/>
            </w:pPr>
            <w:r/>
            <w:r>
              <w:rPr>
                <w:rFonts w:ascii="仿宋_GB2312" w:hAnsi="仿宋_GB2312" w:eastAsia="仿宋_GB2312"/>
                <w:b w:val="0"/>
                <w:color w:val="000000"/>
                <w:sz w:val="32"/>
              </w:rPr>
              <w:t>国家级龙头</w:t>
            </w:r>
          </w:p>
        </w:tc>
        <w:tc>
          <w:tcPr>
            <w:tcW w:type="dxa" w:w="3118"/>
          </w:tcPr>
          <w:p>
            <w:pPr>
              <w:spacing w:lineRule="exact" w:line="600"/>
              <w:jc w:val="center"/>
            </w:pPr>
            <w:r/>
            <w:r>
              <w:rPr>
                <w:rFonts w:ascii="仿宋_GB2312" w:hAnsi="仿宋_GB2312" w:eastAsia="仿宋_GB2312"/>
                <w:b w:val="0"/>
                <w:color w:val="000000"/>
                <w:sz w:val="32"/>
              </w:rPr>
              <w:t>1家（佳美）</w:t>
            </w:r>
          </w:p>
        </w:tc>
        <w:tc>
          <w:tcPr>
            <w:tcW w:type="dxa" w:w="3118"/>
          </w:tcPr>
          <w:p>
            <w:pPr>
              <w:spacing w:lineRule="exact" w:line="600"/>
              <w:jc w:val="center"/>
            </w:pPr>
            <w:r/>
            <w:r>
              <w:rPr>
                <w:rFonts w:ascii="仿宋_GB2312" w:hAnsi="仿宋_GB2312" w:eastAsia="仿宋_GB2312"/>
                <w:b w:val="0"/>
                <w:color w:val="000000"/>
                <w:sz w:val="32"/>
              </w:rPr>
              <w:t>农业农村部，2024</w:t>
            </w:r>
          </w:p>
        </w:tc>
      </w:tr>
      <w:tr>
        <w:tc>
          <w:tcPr>
            <w:tcW w:type="dxa" w:w="2835"/>
          </w:tcPr>
          <w:p>
            <w:pPr>
              <w:spacing w:lineRule="exact" w:line="600"/>
              <w:jc w:val="center"/>
            </w:pPr>
            <w:r/>
            <w:r>
              <w:rPr>
                <w:rFonts w:ascii="仿宋_GB2312" w:hAnsi="仿宋_GB2312" w:eastAsia="仿宋_GB2312"/>
                <w:b w:val="0"/>
                <w:color w:val="000000"/>
                <w:sz w:val="32"/>
              </w:rPr>
              <w:t>省级龙头</w:t>
            </w:r>
          </w:p>
        </w:tc>
        <w:tc>
          <w:tcPr>
            <w:tcW w:type="dxa" w:w="3118"/>
          </w:tcPr>
          <w:p>
            <w:pPr>
              <w:spacing w:lineRule="exact" w:line="600"/>
              <w:jc w:val="center"/>
            </w:pPr>
            <w:r/>
            <w:r>
              <w:rPr>
                <w:rFonts w:ascii="仿宋_GB2312" w:hAnsi="仿宋_GB2312" w:eastAsia="仿宋_GB2312"/>
                <w:b w:val="0"/>
                <w:color w:val="000000"/>
                <w:sz w:val="32"/>
              </w:rPr>
              <w:t>4家</w:t>
            </w:r>
          </w:p>
        </w:tc>
        <w:tc>
          <w:tcPr>
            <w:tcW w:type="dxa" w:w="3118"/>
          </w:tcPr>
          <w:p>
            <w:pPr>
              <w:spacing w:lineRule="exact" w:line="600"/>
              <w:jc w:val="center"/>
            </w:pPr>
            <w:r/>
            <w:r>
              <w:rPr>
                <w:rFonts w:ascii="仿宋_GB2312" w:hAnsi="仿宋_GB2312" w:eastAsia="仿宋_GB2312"/>
                <w:b w:val="0"/>
                <w:color w:val="000000"/>
                <w:sz w:val="32"/>
              </w:rPr>
              <w:t>牡丹区发布，2024</w:t>
            </w:r>
          </w:p>
        </w:tc>
      </w:tr>
      <w:tr>
        <w:tc>
          <w:tcPr>
            <w:tcW w:type="dxa" w:w="2835"/>
          </w:tcPr>
          <w:p>
            <w:pPr>
              <w:spacing w:lineRule="exact" w:line="600"/>
              <w:jc w:val="center"/>
            </w:pPr>
            <w:r/>
            <w:r>
              <w:rPr>
                <w:rFonts w:ascii="仿宋_GB2312" w:hAnsi="仿宋_GB2312" w:eastAsia="仿宋_GB2312"/>
                <w:b w:val="0"/>
                <w:color w:val="000000"/>
                <w:sz w:val="32"/>
              </w:rPr>
              <w:t>科技型中小/专精特新</w:t>
            </w:r>
          </w:p>
        </w:tc>
        <w:tc>
          <w:tcPr>
            <w:tcW w:type="dxa" w:w="3118"/>
          </w:tcPr>
          <w:p>
            <w:pPr>
              <w:spacing w:lineRule="exact" w:line="600"/>
              <w:jc w:val="center"/>
            </w:pPr>
            <w:r/>
            <w:r>
              <w:rPr>
                <w:rFonts w:ascii="仿宋_GB2312" w:hAnsi="仿宋_GB2312" w:eastAsia="仿宋_GB2312"/>
                <w:b w:val="0"/>
                <w:color w:val="000000"/>
                <w:sz w:val="32"/>
              </w:rPr>
              <w:t>17家/5家</w:t>
            </w:r>
          </w:p>
        </w:tc>
        <w:tc>
          <w:tcPr>
            <w:tcW w:type="dxa" w:w="3118"/>
          </w:tcPr>
          <w:p>
            <w:pPr>
              <w:spacing w:lineRule="exact" w:line="600"/>
              <w:jc w:val="center"/>
            </w:pPr>
            <w:r/>
            <w:r>
              <w:rPr>
                <w:rFonts w:ascii="仿宋_GB2312" w:hAnsi="仿宋_GB2312" w:eastAsia="仿宋_GB2312"/>
                <w:b w:val="0"/>
                <w:color w:val="000000"/>
                <w:sz w:val="32"/>
              </w:rPr>
              <w:t>牡丹区发布，2024</w:t>
            </w:r>
          </w:p>
        </w:tc>
      </w:tr>
      <w:tr>
        <w:tc>
          <w:tcPr>
            <w:tcW w:type="dxa" w:w="2835"/>
          </w:tcPr>
          <w:p>
            <w:pPr>
              <w:spacing w:lineRule="exact" w:line="600"/>
              <w:jc w:val="center"/>
            </w:pPr>
            <w:r/>
            <w:r>
              <w:rPr>
                <w:rFonts w:ascii="仿宋_GB2312" w:hAnsi="仿宋_GB2312" w:eastAsia="仿宋_GB2312"/>
                <w:b w:val="0"/>
                <w:color w:val="000000"/>
                <w:sz w:val="32"/>
              </w:rPr>
              <w:t>全镇产值</w:t>
            </w:r>
          </w:p>
        </w:tc>
        <w:tc>
          <w:tcPr>
            <w:tcW w:type="dxa" w:w="3118"/>
          </w:tcPr>
          <w:p>
            <w:pPr>
              <w:spacing w:lineRule="exact" w:line="600"/>
              <w:jc w:val="center"/>
            </w:pPr>
            <w:r/>
            <w:r>
              <w:rPr>
                <w:rFonts w:ascii="仿宋_GB2312" w:hAnsi="仿宋_GB2312" w:eastAsia="仿宋_GB2312"/>
                <w:b w:val="0"/>
                <w:color w:val="000000"/>
                <w:sz w:val="32"/>
              </w:rPr>
              <w:t>突破70亿元</w:t>
            </w:r>
          </w:p>
        </w:tc>
        <w:tc>
          <w:tcPr>
            <w:tcW w:type="dxa" w:w="3118"/>
          </w:tcPr>
          <w:p>
            <w:pPr>
              <w:spacing w:lineRule="exact" w:line="600"/>
              <w:jc w:val="center"/>
            </w:pPr>
            <w:r/>
            <w:r>
              <w:rPr>
                <w:rFonts w:ascii="仿宋_GB2312" w:hAnsi="仿宋_GB2312" w:eastAsia="仿宋_GB2312"/>
                <w:b w:val="0"/>
                <w:color w:val="000000"/>
                <w:sz w:val="32"/>
              </w:rPr>
              <w:t>菏泽广电，2024</w:t>
            </w:r>
          </w:p>
        </w:tc>
      </w:tr>
      <w:tr>
        <w:tc>
          <w:tcPr>
            <w:tcW w:type="dxa" w:w="2835"/>
          </w:tcPr>
          <w:p>
            <w:pPr>
              <w:spacing w:lineRule="exact" w:line="600"/>
              <w:jc w:val="center"/>
            </w:pPr>
            <w:r/>
            <w:r>
              <w:rPr>
                <w:rFonts w:ascii="仿宋_GB2312" w:hAnsi="仿宋_GB2312" w:eastAsia="仿宋_GB2312"/>
                <w:b w:val="0"/>
                <w:color w:val="000000"/>
                <w:sz w:val="32"/>
              </w:rPr>
              <w:t>全镇税收</w:t>
            </w:r>
          </w:p>
        </w:tc>
        <w:tc>
          <w:tcPr>
            <w:tcW w:type="dxa" w:w="3118"/>
          </w:tcPr>
          <w:p>
            <w:pPr>
              <w:spacing w:lineRule="exact" w:line="600"/>
              <w:jc w:val="center"/>
            </w:pPr>
            <w:r/>
            <w:r>
              <w:rPr>
                <w:rFonts w:ascii="仿宋_GB2312" w:hAnsi="仿宋_GB2312" w:eastAsia="仿宋_GB2312"/>
                <w:b w:val="0"/>
                <w:color w:val="000000"/>
                <w:sz w:val="32"/>
              </w:rPr>
              <w:t>2.1亿元</w:t>
            </w:r>
          </w:p>
        </w:tc>
        <w:tc>
          <w:tcPr>
            <w:tcW w:type="dxa" w:w="3118"/>
          </w:tcPr>
          <w:p>
            <w:pPr>
              <w:spacing w:lineRule="exact" w:line="600"/>
              <w:jc w:val="center"/>
            </w:pPr>
            <w:r/>
            <w:r>
              <w:rPr>
                <w:rFonts w:ascii="仿宋_GB2312" w:hAnsi="仿宋_GB2312" w:eastAsia="仿宋_GB2312"/>
                <w:b w:val="0"/>
                <w:color w:val="000000"/>
                <w:sz w:val="32"/>
              </w:rPr>
              <w:t>牡丹区发布，2024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（一）上游养殖与原料</w:t>
      </w:r>
    </w:p>
    <w:p>
      <w:pPr>
        <w:spacing w:lineRule="exact" w:line="600" w:before="0" w:after="0"/>
        <w:ind w:firstLine="420"/>
        <w:jc w:val="both"/>
      </w:pPr>
      <w:r>
        <w:rPr>
          <w:rFonts w:ascii="仿宋_GB2312" w:hAnsi="仿宋_GB2312" w:eastAsia="仿宋_GB2312"/>
          <w:b w:val="0"/>
          <w:color w:val="000000"/>
          <w:sz w:val="32"/>
        </w:rPr>
        <w:t>以鲁西黄牛等畜禽养殖为基础。虎运食品投资4.5亿元建设国家级鲁西黄牛保种中心，构建「数字化种质资源库+智能化繁育体系」，实现年出栏优质种牛5万头，带动周边农户规模化养殖（来源：牡丹区政府官网，2024）。</w:t>
      </w:r>
    </w:p>
    <w:p>
      <w:pPr>
        <w:spacing w:lineRule="exact" w:line="600" w:before="120" w:after="120"/>
        <w:ind w:firstLine="420"/>
        <w:jc w:val="left"/>
      </w:pPr>
      <w:r>
        <w:rPr>
          <w:rFonts w:ascii="楷体_GB2312" w:hAnsi="楷体_GB2312" w:eastAsia="楷体_GB2312"/>
          <w:b w:val="0"/>
          <w:color w:val="000000"/>
          <w:sz w:val="32"/>
        </w:rPr>
        <w:t>（二）中游加工制造</w:t>
      </w:r>
    </w:p>
    <w:p>
      <w:pPr>
        <w:spacing w:lineRule="exact" w:line="600" w:before="0" w:after="0"/>
        <w:ind w:firstLine="420"/>
        <w:jc w:val="both"/>
      </w:pPr>
      <w:r>
        <w:rPr>
          <w:rFonts w:ascii="仿宋_GB2312" w:hAnsi="仿宋_GB2312" w:eastAsia="仿宋_GB2312"/>
          <w:b w:val="0"/>
          <w:color w:val="000000"/>
          <w:sz w:val="32"/>
        </w:rPr>
        <w:t>中游为屠宰、分割、酱卤、腌制、脱水与预制菜制造。盛鑫源食品从事脱水蔬菜与预制菜，与米村拌饭、海底捞等头部餐饮连锁长期合作；园区形成涵盖果蔬、肉类、面点、预制菜四大门类600余个品种的全品类矩阵（来源：牡丹区政府、沙土镇报道，2024）。</w:t>
      </w:r>
    </w:p>
    <w:p>
      <w:pPr>
        <w:spacing w:lineRule="exact" w:line="600" w:before="120" w:after="120"/>
        <w:ind w:firstLine="420"/>
        <w:jc w:val="left"/>
      </w:pPr>
      <w:r>
        <w:rPr>
          <w:rFonts w:ascii="楷体_GB2312" w:hAnsi="楷体_GB2312" w:eastAsia="楷体_GB2312"/>
          <w:b w:val="0"/>
          <w:color w:val="000000"/>
          <w:sz w:val="32"/>
        </w:rPr>
        <w:t>（三）下游流通与终端</w:t>
      </w:r>
    </w:p>
    <w:p>
      <w:pPr>
        <w:spacing w:lineRule="exact" w:line="600" w:before="0" w:after="0"/>
        <w:ind w:firstLine="420"/>
        <w:jc w:val="both"/>
      </w:pPr>
      <w:r>
        <w:rPr>
          <w:rFonts w:ascii="仿宋_GB2312" w:hAnsi="仿宋_GB2312" w:eastAsia="仿宋_GB2312"/>
          <w:b w:val="0"/>
          <w:color w:val="000000"/>
          <w:sz w:val="32"/>
        </w:rPr>
        <w:t>产品通过商超、电商、餐饮供应链与出口外销。沙土镇食品远销欧美、日韩等10余国；冷链物流体系与食品检测中心协同赋能高效流通（来源：牡丹区政府官网、菏泽广电，2024）。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内容/企业</w:t>
            </w:r>
          </w:p>
        </w:tc>
        <w:tc>
          <w:tcPr>
            <w:tcW w:type="dxa" w:w="3118"/>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上游养殖</w:t>
            </w:r>
          </w:p>
        </w:tc>
        <w:tc>
          <w:tcPr>
            <w:tcW w:type="dxa" w:w="3685"/>
          </w:tcPr>
          <w:p>
            <w:pPr>
              <w:spacing w:lineRule="exact" w:line="600"/>
              <w:jc w:val="center"/>
            </w:pPr>
            <w:r/>
            <w:r>
              <w:rPr>
                <w:rFonts w:ascii="仿宋_GB2312" w:hAnsi="仿宋_GB2312" w:eastAsia="仿宋_GB2312"/>
                <w:b w:val="0"/>
                <w:color w:val="000000"/>
                <w:sz w:val="32"/>
              </w:rPr>
              <w:t>鲁西黄牛（虎运）</w:t>
            </w:r>
          </w:p>
        </w:tc>
        <w:tc>
          <w:tcPr>
            <w:tcW w:type="dxa" w:w="3118"/>
          </w:tcPr>
          <w:p>
            <w:pPr>
              <w:spacing w:lineRule="exact" w:line="600"/>
              <w:jc w:val="center"/>
            </w:pPr>
            <w:r/>
            <w:r>
              <w:rPr>
                <w:rFonts w:ascii="仿宋_GB2312" w:hAnsi="仿宋_GB2312" w:eastAsia="仿宋_GB2312"/>
                <w:b w:val="0"/>
                <w:color w:val="000000"/>
                <w:sz w:val="32"/>
              </w:rPr>
              <w:t>年出栏5万头</w:t>
            </w:r>
          </w:p>
        </w:tc>
      </w:tr>
      <w:tr>
        <w:tc>
          <w:tcPr>
            <w:tcW w:type="dxa" w:w="2268"/>
          </w:tcPr>
          <w:p>
            <w:pPr>
              <w:spacing w:lineRule="exact" w:line="600"/>
              <w:jc w:val="center"/>
            </w:pPr>
            <w:r/>
            <w:r>
              <w:rPr>
                <w:rFonts w:ascii="仿宋_GB2312" w:hAnsi="仿宋_GB2312" w:eastAsia="仿宋_GB2312"/>
                <w:b w:val="0"/>
                <w:color w:val="000000"/>
                <w:sz w:val="32"/>
              </w:rPr>
              <w:t>中游加工</w:t>
            </w:r>
          </w:p>
        </w:tc>
        <w:tc>
          <w:tcPr>
            <w:tcW w:type="dxa" w:w="3685"/>
          </w:tcPr>
          <w:p>
            <w:pPr>
              <w:spacing w:lineRule="exact" w:line="600"/>
              <w:jc w:val="center"/>
            </w:pPr>
            <w:r/>
            <w:r>
              <w:rPr>
                <w:rFonts w:ascii="仿宋_GB2312" w:hAnsi="仿宋_GB2312" w:eastAsia="仿宋_GB2312"/>
                <w:b w:val="0"/>
                <w:color w:val="000000"/>
                <w:sz w:val="32"/>
              </w:rPr>
              <w:t>肉制品/预制菜（盛鑫源）</w:t>
            </w:r>
          </w:p>
        </w:tc>
        <w:tc>
          <w:tcPr>
            <w:tcW w:type="dxa" w:w="3118"/>
          </w:tcPr>
          <w:p>
            <w:pPr>
              <w:spacing w:lineRule="exact" w:line="600"/>
              <w:jc w:val="center"/>
            </w:pPr>
            <w:r/>
            <w:r>
              <w:rPr>
                <w:rFonts w:ascii="仿宋_GB2312" w:hAnsi="仿宋_GB2312" w:eastAsia="仿宋_GB2312"/>
                <w:b w:val="0"/>
                <w:color w:val="000000"/>
                <w:sz w:val="32"/>
              </w:rPr>
              <w:t>与海底捞/米村拌饭合作</w:t>
            </w:r>
          </w:p>
        </w:tc>
      </w:tr>
      <w:tr>
        <w:tc>
          <w:tcPr>
            <w:tcW w:type="dxa" w:w="2268"/>
          </w:tcPr>
          <w:p>
            <w:pPr>
              <w:spacing w:lineRule="exact" w:line="600"/>
              <w:jc w:val="center"/>
            </w:pPr>
            <w:r/>
            <w:r>
              <w:rPr>
                <w:rFonts w:ascii="仿宋_GB2312" w:hAnsi="仿宋_GB2312" w:eastAsia="仿宋_GB2312"/>
                <w:b w:val="0"/>
                <w:color w:val="000000"/>
                <w:sz w:val="32"/>
              </w:rPr>
              <w:t>品类矩阵</w:t>
            </w:r>
          </w:p>
        </w:tc>
        <w:tc>
          <w:tcPr>
            <w:tcW w:type="dxa" w:w="3685"/>
          </w:tcPr>
          <w:p>
            <w:pPr>
              <w:spacing w:lineRule="exact" w:line="600"/>
              <w:jc w:val="center"/>
            </w:pPr>
            <w:r/>
            <w:r>
              <w:rPr>
                <w:rFonts w:ascii="仿宋_GB2312" w:hAnsi="仿宋_GB2312" w:eastAsia="仿宋_GB2312"/>
                <w:b w:val="0"/>
                <w:color w:val="000000"/>
                <w:sz w:val="32"/>
              </w:rPr>
              <w:t>四大门类600余品种</w:t>
            </w:r>
          </w:p>
        </w:tc>
        <w:tc>
          <w:tcPr>
            <w:tcW w:type="dxa" w:w="3118"/>
          </w:tcPr>
          <w:p>
            <w:pPr>
              <w:spacing w:lineRule="exact" w:line="600"/>
              <w:jc w:val="center"/>
            </w:pPr>
            <w:r/>
            <w:r>
              <w:rPr>
                <w:rFonts w:ascii="仿宋_GB2312" w:hAnsi="仿宋_GB2312" w:eastAsia="仿宋_GB2312"/>
                <w:b w:val="0"/>
                <w:color w:val="000000"/>
                <w:sz w:val="32"/>
              </w:rPr>
              <w:t>沙土产业园</w:t>
            </w:r>
          </w:p>
        </w:tc>
      </w:tr>
      <w:tr>
        <w:tc>
          <w:tcPr>
            <w:tcW w:type="dxa" w:w="2268"/>
          </w:tcPr>
          <w:p>
            <w:pPr>
              <w:spacing w:lineRule="exact" w:line="600"/>
              <w:jc w:val="center"/>
            </w:pPr>
            <w:r/>
            <w:r>
              <w:rPr>
                <w:rFonts w:ascii="仿宋_GB2312" w:hAnsi="仿宋_GB2312" w:eastAsia="仿宋_GB2312"/>
                <w:b w:val="0"/>
                <w:color w:val="000000"/>
                <w:sz w:val="32"/>
              </w:rPr>
              <w:t>下游流通</w:t>
            </w:r>
          </w:p>
        </w:tc>
        <w:tc>
          <w:tcPr>
            <w:tcW w:type="dxa" w:w="3685"/>
          </w:tcPr>
          <w:p>
            <w:pPr>
              <w:spacing w:lineRule="exact" w:line="600"/>
              <w:jc w:val="center"/>
            </w:pPr>
            <w:r/>
            <w:r>
              <w:rPr>
                <w:rFonts w:ascii="仿宋_GB2312" w:hAnsi="仿宋_GB2312" w:eastAsia="仿宋_GB2312"/>
                <w:b w:val="0"/>
                <w:color w:val="000000"/>
                <w:sz w:val="32"/>
              </w:rPr>
              <w:t>冷链+出口</w:t>
            </w:r>
          </w:p>
        </w:tc>
        <w:tc>
          <w:tcPr>
            <w:tcW w:type="dxa" w:w="3118"/>
          </w:tcPr>
          <w:p>
            <w:pPr>
              <w:spacing w:lineRule="exact" w:line="600"/>
              <w:jc w:val="center"/>
            </w:pPr>
            <w:r/>
            <w:r>
              <w:rPr>
                <w:rFonts w:ascii="仿宋_GB2312" w:hAnsi="仿宋_GB2312" w:eastAsia="仿宋_GB2312"/>
                <w:b w:val="0"/>
                <w:color w:val="000000"/>
                <w:sz w:val="32"/>
              </w:rPr>
              <w:t>远销10余国</w:t>
            </w:r>
          </w:p>
        </w:tc>
      </w:tr>
      <w:tr>
        <w:tc>
          <w:tcPr>
            <w:tcW w:type="dxa" w:w="2268"/>
          </w:tcPr>
          <w:p>
            <w:pPr>
              <w:spacing w:lineRule="exact" w:line="600"/>
              <w:jc w:val="center"/>
            </w:pPr>
            <w:r/>
            <w:r>
              <w:rPr>
                <w:rFonts w:ascii="仿宋_GB2312" w:hAnsi="仿宋_GB2312" w:eastAsia="仿宋_GB2312"/>
                <w:b w:val="0"/>
                <w:color w:val="000000"/>
                <w:sz w:val="32"/>
              </w:rPr>
              <w:t>配套</w:t>
            </w:r>
          </w:p>
        </w:tc>
        <w:tc>
          <w:tcPr>
            <w:tcW w:type="dxa" w:w="3685"/>
          </w:tcPr>
          <w:p>
            <w:pPr>
              <w:spacing w:lineRule="exact" w:line="600"/>
              <w:jc w:val="center"/>
            </w:pPr>
            <w:r/>
            <w:r>
              <w:rPr>
                <w:rFonts w:ascii="仿宋_GB2312" w:hAnsi="仿宋_GB2312" w:eastAsia="仿宋_GB2312"/>
                <w:b w:val="0"/>
                <w:color w:val="000000"/>
                <w:sz w:val="32"/>
              </w:rPr>
              <w:t>检测中心</w:t>
            </w:r>
          </w:p>
        </w:tc>
        <w:tc>
          <w:tcPr>
            <w:tcW w:type="dxa" w:w="3118"/>
          </w:tcPr>
          <w:p>
            <w:pPr>
              <w:spacing w:lineRule="exact" w:line="600"/>
              <w:jc w:val="center"/>
            </w:pPr>
            <w:r/>
            <w:r>
              <w:rPr>
                <w:rFonts w:ascii="仿宋_GB2312" w:hAnsi="仿宋_GB2312" w:eastAsia="仿宋_GB2312"/>
                <w:b w:val="0"/>
                <w:color w:val="000000"/>
                <w:sz w:val="32"/>
              </w:rPr>
              <w:t>园区赋能</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w:t>
      </w:r>
    </w:p>
    <w:p>
      <w:pPr>
        <w:spacing w:lineRule="exact" w:line="600" w:before="0" w:after="0"/>
        <w:ind w:firstLine="420"/>
        <w:jc w:val="both"/>
      </w:pPr>
      <w:r>
        <w:rPr>
          <w:rFonts w:ascii="仿宋_GB2312" w:hAnsi="仿宋_GB2312" w:eastAsia="仿宋_GB2312"/>
          <w:b w:val="0"/>
          <w:color w:val="000000"/>
          <w:sz w:val="32"/>
        </w:rPr>
        <w:t>居民休闲食品、预制菜与餐饮供应链需求快速增长，火锅、中式快餐连锁带动脱水蔬菜与调理肉制品放量。盛鑫源依托头部餐饮客户实现稳定配套（来源：行业共性研判、沙土镇报道，2024）。</w:t>
      </w:r>
    </w:p>
    <w:p>
      <w:pPr>
        <w:spacing w:lineRule="exact" w:line="600" w:before="120" w:after="120"/>
        <w:ind w:firstLine="420"/>
        <w:jc w:val="left"/>
      </w:pPr>
      <w:r>
        <w:rPr>
          <w:rFonts w:ascii="楷体_GB2312" w:hAnsi="楷体_GB2312" w:eastAsia="楷体_GB2312"/>
          <w:b w:val="0"/>
          <w:color w:val="000000"/>
          <w:sz w:val="32"/>
        </w:rPr>
        <w:t>（二）供给与竞争</w:t>
      </w:r>
    </w:p>
    <w:p>
      <w:pPr>
        <w:spacing w:lineRule="exact" w:line="600" w:before="0" w:after="0"/>
        <w:ind w:firstLine="420"/>
        <w:jc w:val="both"/>
      </w:pPr>
      <w:r>
        <w:rPr>
          <w:rFonts w:ascii="仿宋_GB2312" w:hAnsi="仿宋_GB2312" w:eastAsia="仿宋_GB2312"/>
          <w:b w:val="0"/>
          <w:color w:val="000000"/>
          <w:sz w:val="32"/>
        </w:rPr>
        <w:t>沙土镇食品加工企业达100余家，但规上与龙头集中度高，佳美为国家级龙头、沙土为中国驰名商标。肉制品领域虎运以鲁西黄牛保种与高端牛肉制品形成差异化；中小微以性价比与代工参与竞争（来源：牡丹区发布，2024）。</w:t>
      </w:r>
    </w:p>
    <w:p>
      <w:pPr>
        <w:spacing w:lineRule="exact" w:line="600" w:before="120" w:after="120"/>
        <w:ind w:firstLine="420"/>
        <w:jc w:val="left"/>
      </w:pPr>
      <w:r>
        <w:rPr>
          <w:rFonts w:ascii="楷体_GB2312" w:hAnsi="楷体_GB2312" w:eastAsia="楷体_GB2312"/>
          <w:b w:val="0"/>
          <w:color w:val="000000"/>
          <w:sz w:val="32"/>
        </w:rPr>
        <w:t>（三）出口与品牌</w:t>
      </w:r>
    </w:p>
    <w:p>
      <w:pPr>
        <w:spacing w:lineRule="exact" w:line="600" w:before="0" w:after="0"/>
        <w:ind w:firstLine="420"/>
        <w:jc w:val="both"/>
      </w:pPr>
      <w:r>
        <w:rPr>
          <w:rFonts w:ascii="仿宋_GB2312" w:hAnsi="仿宋_GB2312" w:eastAsia="仿宋_GB2312"/>
          <w:b w:val="0"/>
          <w:color w:val="000000"/>
          <w:sz w:val="32"/>
        </w:rPr>
        <w:t>园区2024年产值突破60亿元（园区口径）、全镇突破70亿元，产品远销欧美、日韩等10余国。沙土镇食品产业集群2024年税收2.1亿元，工业企业用电量同比+17.2%，动能强劲（来源：牡丹区政府官网、菏泽广电，2024）。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口径</w:t>
            </w:r>
          </w:p>
        </w:tc>
        <w:tc>
          <w:tcPr>
            <w:tcW w:type="dxa" w:w="3118"/>
          </w:tcPr>
          <w:p>
            <w:pPr>
              <w:spacing w:lineRule="exact" w:line="600"/>
              <w:jc w:val="center"/>
            </w:pPr>
            <w:r/>
            <w:r>
              <w:rPr>
                <w:rFonts w:ascii="黑体" w:hAnsi="黑体" w:eastAsia="黑体"/>
                <w:b/>
                <w:color w:val="000000"/>
                <w:sz w:val="32"/>
              </w:rPr>
              <w:t>产值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沙土休闲食品产业园</w:t>
            </w:r>
          </w:p>
        </w:tc>
        <w:tc>
          <w:tcPr>
            <w:tcW w:type="dxa" w:w="3118"/>
          </w:tcPr>
          <w:p>
            <w:pPr>
              <w:spacing w:lineRule="exact" w:line="600"/>
              <w:jc w:val="center"/>
            </w:pPr>
            <w:r/>
            <w:r>
              <w:rPr>
                <w:rFonts w:ascii="仿宋_GB2312" w:hAnsi="仿宋_GB2312" w:eastAsia="仿宋_GB2312"/>
                <w:b w:val="0"/>
                <w:color w:val="000000"/>
                <w:sz w:val="32"/>
              </w:rPr>
              <w:t>突破60亿元</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沙土镇食品集群</w:t>
            </w:r>
          </w:p>
        </w:tc>
        <w:tc>
          <w:tcPr>
            <w:tcW w:type="dxa" w:w="3118"/>
          </w:tcPr>
          <w:p>
            <w:pPr>
              <w:spacing w:lineRule="exact" w:line="600"/>
              <w:jc w:val="center"/>
            </w:pPr>
            <w:r/>
            <w:r>
              <w:rPr>
                <w:rFonts w:ascii="仿宋_GB2312" w:hAnsi="仿宋_GB2312" w:eastAsia="仿宋_GB2312"/>
                <w:b w:val="0"/>
                <w:color w:val="000000"/>
                <w:sz w:val="32"/>
              </w:rPr>
              <w:t>突破70亿元</w:t>
            </w:r>
          </w:p>
        </w:tc>
        <w:tc>
          <w:tcPr>
            <w:tcW w:type="dxa" w:w="3118"/>
          </w:tcPr>
          <w:p>
            <w:pPr>
              <w:spacing w:lineRule="exact" w:line="600"/>
              <w:jc w:val="center"/>
            </w:pPr>
            <w:r/>
            <w:r>
              <w:rPr>
                <w:rFonts w:ascii="仿宋_GB2312" w:hAnsi="仿宋_GB2312" w:eastAsia="仿宋_GB2312"/>
                <w:b w:val="0"/>
                <w:color w:val="000000"/>
                <w:sz w:val="32"/>
              </w:rPr>
              <w:t>菏泽广电，2024</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118"/>
          </w:tcPr>
          <w:p>
            <w:pPr>
              <w:spacing w:lineRule="exact" w:line="600"/>
              <w:jc w:val="center"/>
            </w:pPr>
            <w:r/>
            <w:r>
              <w:rPr>
                <w:rFonts w:ascii="仿宋_GB2312" w:hAnsi="仿宋_GB2312" w:eastAsia="仿宋_GB2312"/>
                <w:b w:val="0"/>
                <w:color w:val="000000"/>
                <w:sz w:val="32"/>
              </w:rPr>
              <w:t>10余国</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税收</w:t>
            </w:r>
          </w:p>
        </w:tc>
        <w:tc>
          <w:tcPr>
            <w:tcW w:type="dxa" w:w="3118"/>
          </w:tcPr>
          <w:p>
            <w:pPr>
              <w:spacing w:lineRule="exact" w:line="600"/>
              <w:jc w:val="center"/>
            </w:pPr>
            <w:r/>
            <w:r>
              <w:rPr>
                <w:rFonts w:ascii="仿宋_GB2312" w:hAnsi="仿宋_GB2312" w:eastAsia="仿宋_GB2312"/>
                <w:b w:val="0"/>
                <w:color w:val="000000"/>
                <w:sz w:val="32"/>
              </w:rPr>
              <w:t>2.1亿元</w:t>
            </w:r>
          </w:p>
        </w:tc>
        <w:tc>
          <w:tcPr>
            <w:tcW w:type="dxa" w:w="3118"/>
          </w:tcPr>
          <w:p>
            <w:pPr>
              <w:spacing w:lineRule="exact" w:line="600"/>
              <w:jc w:val="center"/>
            </w:pPr>
            <w:r/>
            <w:r>
              <w:rPr>
                <w:rFonts w:ascii="仿宋_GB2312" w:hAnsi="仿宋_GB2312" w:eastAsia="仿宋_GB2312"/>
                <w:b w:val="0"/>
                <w:color w:val="000000"/>
                <w:sz w:val="32"/>
              </w:rPr>
              <w:t>牡丹区发布，2024</w:t>
            </w:r>
          </w:p>
        </w:tc>
      </w:tr>
      <w:tr>
        <w:tc>
          <w:tcPr>
            <w:tcW w:type="dxa" w:w="2835"/>
          </w:tcPr>
          <w:p>
            <w:pPr>
              <w:spacing w:lineRule="exact" w:line="600"/>
              <w:jc w:val="center"/>
            </w:pPr>
            <w:r/>
            <w:r>
              <w:rPr>
                <w:rFonts w:ascii="仿宋_GB2312" w:hAnsi="仿宋_GB2312" w:eastAsia="仿宋_GB2312"/>
                <w:b w:val="0"/>
                <w:color w:val="000000"/>
                <w:sz w:val="32"/>
              </w:rPr>
              <w:t>用电</w:t>
            </w:r>
          </w:p>
        </w:tc>
        <w:tc>
          <w:tcPr>
            <w:tcW w:type="dxa" w:w="3118"/>
          </w:tcPr>
          <w:p>
            <w:pPr>
              <w:spacing w:lineRule="exact" w:line="600"/>
              <w:jc w:val="center"/>
            </w:pPr>
            <w:r/>
            <w:r>
              <w:rPr>
                <w:rFonts w:ascii="仿宋_GB2312" w:hAnsi="仿宋_GB2312" w:eastAsia="仿宋_GB2312"/>
                <w:b w:val="0"/>
                <w:color w:val="000000"/>
                <w:sz w:val="32"/>
              </w:rPr>
              <w:t>同比+17.2%</w:t>
            </w:r>
          </w:p>
        </w:tc>
        <w:tc>
          <w:tcPr>
            <w:tcW w:type="dxa" w:w="3118"/>
          </w:tcPr>
          <w:p>
            <w:pPr>
              <w:spacing w:lineRule="exact" w:line="600"/>
              <w:jc w:val="center"/>
            </w:pPr>
            <w:r/>
            <w:r>
              <w:rPr>
                <w:rFonts w:ascii="仿宋_GB2312" w:hAnsi="仿宋_GB2312" w:eastAsia="仿宋_GB2312"/>
                <w:b w:val="0"/>
                <w:color w:val="000000"/>
                <w:sz w:val="32"/>
              </w:rPr>
              <w:t>牡丹区发布，2024</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（一）龙头企业矩阵</w:t>
      </w:r>
    </w:p>
    <w:p>
      <w:pPr>
        <w:spacing w:lineRule="exact" w:line="600" w:before="0" w:after="0"/>
        <w:ind w:firstLine="420"/>
        <w:jc w:val="both"/>
      </w:pPr>
      <w:r>
        <w:rPr>
          <w:rFonts w:ascii="仿宋_GB2312" w:hAnsi="仿宋_GB2312" w:eastAsia="仿宋_GB2312"/>
          <w:b w:val="0"/>
          <w:color w:val="000000"/>
          <w:sz w:val="32"/>
        </w:rPr>
        <w:t>佳美食品为亚洲最大浓缩果蔬汁供应商、国家级重点龙头；沙土食品为中国驰名商标；虎运、盛鑫源等为肉制品与预制菜骨干。园区集聚40余家食品及配套企业，其中省级农业龙头3家、高企5家、有进出口权企业9家（来源：牡丹区政府官网，2024）。</w:t>
      </w:r>
    </w:p>
    <w:p>
      <w:pPr>
        <w:spacing w:lineRule="exact" w:line="600" w:before="120" w:after="120"/>
        <w:ind w:firstLine="420"/>
        <w:jc w:val="left"/>
      </w:pPr>
      <w:r>
        <w:rPr>
          <w:rFonts w:ascii="楷体_GB2312" w:hAnsi="楷体_GB2312" w:eastAsia="楷体_GB2312"/>
          <w:b w:val="0"/>
          <w:color w:val="000000"/>
          <w:sz w:val="32"/>
        </w:rPr>
        <w:t>（二）链上企业协同</w:t>
      </w:r>
    </w:p>
    <w:p>
      <w:pPr>
        <w:spacing w:lineRule="exact" w:line="600" w:before="0" w:after="0"/>
        <w:ind w:firstLine="420"/>
        <w:jc w:val="both"/>
      </w:pPr>
      <w:r>
        <w:rPr>
          <w:rFonts w:ascii="仿宋_GB2312" w:hAnsi="仿宋_GB2312" w:eastAsia="仿宋_GB2312"/>
          <w:b w:val="0"/>
          <w:color w:val="000000"/>
          <w:sz w:val="32"/>
        </w:rPr>
        <w:t>园区已汇聚52家链上企业，形成涵盖果蔬汁、坚果炒货、脱水蔬菜、肉制品、宠物食品等300余种产品的全品类矩阵（来源：牡丹区政府官网，2024）。</w:t>
      </w:r>
    </w:p>
    <w:p>
      <w:pPr>
        <w:spacing w:lineRule="exact" w:line="600" w:before="120" w:after="120"/>
        <w:ind w:firstLine="420"/>
        <w:jc w:val="left"/>
      </w:pPr>
      <w:r>
        <w:rPr>
          <w:rFonts w:ascii="楷体_GB2312" w:hAnsi="楷体_GB2312" w:eastAsia="楷体_GB2312"/>
          <w:b w:val="0"/>
          <w:color w:val="000000"/>
          <w:sz w:val="32"/>
        </w:rPr>
        <w:t>（三）中小企业配套</w:t>
      </w:r>
    </w:p>
    <w:p>
      <w:pPr>
        <w:spacing w:lineRule="exact" w:line="600" w:before="0" w:after="0"/>
        <w:ind w:firstLine="420"/>
        <w:jc w:val="both"/>
      </w:pPr>
      <w:r>
        <w:rPr>
          <w:rFonts w:ascii="仿宋_GB2312" w:hAnsi="仿宋_GB2312" w:eastAsia="仿宋_GB2312"/>
          <w:b w:val="0"/>
          <w:color w:val="000000"/>
          <w:sz w:val="32"/>
        </w:rPr>
        <w:t>沙土镇聚集500余家农副产品加工企业（全镇口径），形成果蔬、肉类、面点、预制菜四大门类600多个加工品种，中小微企业构成集群厚度（来源：网易/牡丹区报道，2024）。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企业类型</w:t>
            </w:r>
          </w:p>
        </w:tc>
        <w:tc>
          <w:tcPr>
            <w:tcW w:type="dxa" w:w="2551"/>
          </w:tcPr>
          <w:p>
            <w:pPr>
              <w:spacing w:lineRule="exact" w:line="600"/>
              <w:jc w:val="center"/>
            </w:pPr>
            <w:r/>
            <w:r>
              <w:rPr>
                <w:rFonts w:ascii="黑体" w:hAnsi="黑体" w:eastAsia="黑体"/>
                <w:b/>
                <w:color w:val="000000"/>
                <w:sz w:val="32"/>
              </w:rPr>
              <w:t>数量</w:t>
            </w:r>
          </w:p>
        </w:tc>
        <w:tc>
          <w:tcPr>
            <w:tcW w:type="dxa" w:w="4252"/>
          </w:tcPr>
          <w:p>
            <w:pPr>
              <w:spacing w:lineRule="exact" w:line="600"/>
              <w:jc w:val="center"/>
            </w:pPr>
            <w:r/>
            <w:r>
              <w:rPr>
                <w:rFonts w:ascii="黑体" w:hAnsi="黑体" w:eastAsia="黑体"/>
                <w:b/>
                <w:color w:val="000000"/>
                <w:sz w:val="32"/>
              </w:rPr>
              <w:t>代表</w:t>
            </w:r>
          </w:p>
        </w:tc>
      </w:tr>
      <w:tr>
        <w:tc>
          <w:tcPr>
            <w:tcW w:type="dxa" w:w="2551"/>
          </w:tcPr>
          <w:p>
            <w:pPr>
              <w:spacing w:lineRule="exact" w:line="600"/>
              <w:jc w:val="center"/>
            </w:pPr>
            <w:r/>
            <w:r>
              <w:rPr>
                <w:rFonts w:ascii="仿宋_GB2312" w:hAnsi="仿宋_GB2312" w:eastAsia="仿宋_GB2312"/>
                <w:b w:val="0"/>
                <w:color w:val="000000"/>
                <w:sz w:val="32"/>
              </w:rPr>
              <w:t>园区食品及配套</w:t>
            </w:r>
          </w:p>
        </w:tc>
        <w:tc>
          <w:tcPr>
            <w:tcW w:type="dxa" w:w="2551"/>
          </w:tcPr>
          <w:p>
            <w:pPr>
              <w:spacing w:lineRule="exact" w:line="600"/>
              <w:jc w:val="center"/>
            </w:pPr>
            <w:r/>
            <w:r>
              <w:rPr>
                <w:rFonts w:ascii="仿宋_GB2312" w:hAnsi="仿宋_GB2312" w:eastAsia="仿宋_GB2312"/>
                <w:b w:val="0"/>
                <w:color w:val="000000"/>
                <w:sz w:val="32"/>
              </w:rPr>
              <w:t>40余家</w:t>
            </w:r>
          </w:p>
        </w:tc>
        <w:tc>
          <w:tcPr>
            <w:tcW w:type="dxa" w:w="4252"/>
          </w:tcPr>
          <w:p>
            <w:pPr>
              <w:spacing w:lineRule="exact" w:line="600"/>
              <w:jc w:val="center"/>
            </w:pPr>
            <w:r/>
            <w:r>
              <w:rPr>
                <w:rFonts w:ascii="仿宋_GB2312" w:hAnsi="仿宋_GB2312" w:eastAsia="仿宋_GB2312"/>
                <w:b w:val="0"/>
                <w:color w:val="000000"/>
                <w:sz w:val="32"/>
              </w:rPr>
              <w:t>佳美/沙土/盛鑫源/虎运</w:t>
            </w:r>
          </w:p>
        </w:tc>
      </w:tr>
      <w:tr>
        <w:tc>
          <w:tcPr>
            <w:tcW w:type="dxa" w:w="2551"/>
          </w:tcPr>
          <w:p>
            <w:pPr>
              <w:spacing w:lineRule="exact" w:line="600"/>
              <w:jc w:val="center"/>
            </w:pPr>
            <w:r/>
            <w:r>
              <w:rPr>
                <w:rFonts w:ascii="仿宋_GB2312" w:hAnsi="仿宋_GB2312" w:eastAsia="仿宋_GB2312"/>
                <w:b w:val="0"/>
                <w:color w:val="000000"/>
                <w:sz w:val="32"/>
              </w:rPr>
              <w:t>省级农业龙头</w:t>
            </w:r>
          </w:p>
        </w:tc>
        <w:tc>
          <w:tcPr>
            <w:tcW w:type="dxa" w:w="2551"/>
          </w:tcPr>
          <w:p>
            <w:pPr>
              <w:spacing w:lineRule="exact" w:line="600"/>
              <w:jc w:val="center"/>
            </w:pPr>
            <w:r/>
            <w:r>
              <w:rPr>
                <w:rFonts w:ascii="仿宋_GB2312" w:hAnsi="仿宋_GB2312" w:eastAsia="仿宋_GB2312"/>
                <w:b w:val="0"/>
                <w:color w:val="000000"/>
                <w:sz w:val="32"/>
              </w:rPr>
              <w:t>3家</w:t>
            </w:r>
          </w:p>
        </w:tc>
        <w:tc>
          <w:tcPr>
            <w:tcW w:type="dxa" w:w="4252"/>
          </w:tcPr>
          <w:p>
            <w:pPr>
              <w:spacing w:lineRule="exact" w:line="600"/>
              <w:jc w:val="center"/>
            </w:pPr>
            <w:r/>
            <w:r>
              <w:rPr>
                <w:rFonts w:ascii="仿宋_GB2312" w:hAnsi="仿宋_GB2312" w:eastAsia="仿宋_GB2312"/>
                <w:b w:val="0"/>
                <w:color w:val="000000"/>
                <w:sz w:val="32"/>
              </w:rPr>
              <w:t>佳美等</w:t>
            </w:r>
          </w:p>
        </w:tc>
      </w:tr>
      <w:tr>
        <w:tc>
          <w:tcPr>
            <w:tcW w:type="dxa" w:w="2551"/>
          </w:tcPr>
          <w:p>
            <w:pPr>
              <w:spacing w:lineRule="exact" w:line="600"/>
              <w:jc w:val="center"/>
            </w:pPr>
            <w:r/>
            <w:r>
              <w:rPr>
                <w:rFonts w:ascii="仿宋_GB2312" w:hAnsi="仿宋_GB2312" w:eastAsia="仿宋_GB2312"/>
                <w:b w:val="0"/>
                <w:color w:val="000000"/>
                <w:sz w:val="32"/>
              </w:rPr>
              <w:t>高新技术企业</w:t>
            </w:r>
          </w:p>
        </w:tc>
        <w:tc>
          <w:tcPr>
            <w:tcW w:type="dxa" w:w="2551"/>
          </w:tcPr>
          <w:p>
            <w:pPr>
              <w:spacing w:lineRule="exact" w:line="600"/>
              <w:jc w:val="center"/>
            </w:pPr>
            <w:r/>
            <w:r>
              <w:rPr>
                <w:rFonts w:ascii="仿宋_GB2312" w:hAnsi="仿宋_GB2312" w:eastAsia="仿宋_GB2312"/>
                <w:b w:val="0"/>
                <w:color w:val="000000"/>
                <w:sz w:val="32"/>
              </w:rPr>
              <w:t>5家</w:t>
            </w:r>
          </w:p>
        </w:tc>
        <w:tc>
          <w:tcPr>
            <w:tcW w:type="dxa" w:w="4252"/>
          </w:tcPr>
          <w:p>
            <w:pPr>
              <w:spacing w:lineRule="exact" w:line="600"/>
              <w:jc w:val="center"/>
            </w:pPr>
            <w:r/>
            <w:r>
              <w:rPr>
                <w:rFonts w:ascii="仿宋_GB2312" w:hAnsi="仿宋_GB2312" w:eastAsia="仿宋_GB2312"/>
                <w:b w:val="0"/>
                <w:color w:val="000000"/>
                <w:sz w:val="32"/>
              </w:rPr>
              <w:t>园区企业</w:t>
            </w:r>
          </w:p>
        </w:tc>
      </w:tr>
      <w:tr>
        <w:tc>
          <w:tcPr>
            <w:tcW w:type="dxa" w:w="2551"/>
          </w:tcPr>
          <w:p>
            <w:pPr>
              <w:spacing w:lineRule="exact" w:line="600"/>
              <w:jc w:val="center"/>
            </w:pPr>
            <w:r/>
            <w:r>
              <w:rPr>
                <w:rFonts w:ascii="仿宋_GB2312" w:hAnsi="仿宋_GB2312" w:eastAsia="仿宋_GB2312"/>
                <w:b w:val="0"/>
                <w:color w:val="000000"/>
                <w:sz w:val="32"/>
              </w:rPr>
              <w:t>进出口权企业</w:t>
            </w:r>
          </w:p>
        </w:tc>
        <w:tc>
          <w:tcPr>
            <w:tcW w:type="dxa" w:w="2551"/>
          </w:tcPr>
          <w:p>
            <w:pPr>
              <w:spacing w:lineRule="exact" w:line="600"/>
              <w:jc w:val="center"/>
            </w:pPr>
            <w:r/>
            <w:r>
              <w:rPr>
                <w:rFonts w:ascii="仿宋_GB2312" w:hAnsi="仿宋_GB2312" w:eastAsia="仿宋_GB2312"/>
                <w:b w:val="0"/>
                <w:color w:val="000000"/>
                <w:sz w:val="32"/>
              </w:rPr>
              <w:t>9家</w:t>
            </w:r>
          </w:p>
        </w:tc>
        <w:tc>
          <w:tcPr>
            <w:tcW w:type="dxa" w:w="4252"/>
          </w:tcPr>
          <w:p>
            <w:pPr>
              <w:spacing w:lineRule="exact" w:line="600"/>
              <w:jc w:val="center"/>
            </w:pPr>
            <w:r/>
            <w:r>
              <w:rPr>
                <w:rFonts w:ascii="仿宋_GB2312" w:hAnsi="仿宋_GB2312" w:eastAsia="仿宋_GB2312"/>
                <w:b w:val="0"/>
                <w:color w:val="000000"/>
                <w:sz w:val="32"/>
              </w:rPr>
              <w:t>园区企业</w:t>
            </w:r>
          </w:p>
        </w:tc>
      </w:tr>
      <w:tr>
        <w:tc>
          <w:tcPr>
            <w:tcW w:type="dxa" w:w="2551"/>
          </w:tcPr>
          <w:p>
            <w:pPr>
              <w:spacing w:lineRule="exact" w:line="600"/>
              <w:jc w:val="center"/>
            </w:pPr>
            <w:r/>
            <w:r>
              <w:rPr>
                <w:rFonts w:ascii="仿宋_GB2312" w:hAnsi="仿宋_GB2312" w:eastAsia="仿宋_GB2312"/>
                <w:b w:val="0"/>
                <w:color w:val="000000"/>
                <w:sz w:val="32"/>
              </w:rPr>
              <w:t>全镇农副加工</w:t>
            </w:r>
          </w:p>
        </w:tc>
        <w:tc>
          <w:tcPr>
            <w:tcW w:type="dxa" w:w="2551"/>
          </w:tcPr>
          <w:p>
            <w:pPr>
              <w:spacing w:lineRule="exact" w:line="600"/>
              <w:jc w:val="center"/>
            </w:pPr>
            <w:r/>
            <w:r>
              <w:rPr>
                <w:rFonts w:ascii="仿宋_GB2312" w:hAnsi="仿宋_GB2312" w:eastAsia="仿宋_GB2312"/>
                <w:b w:val="0"/>
                <w:color w:val="000000"/>
                <w:sz w:val="32"/>
              </w:rPr>
              <w:t>500余家</w:t>
            </w:r>
          </w:p>
        </w:tc>
        <w:tc>
          <w:tcPr>
            <w:tcW w:type="dxa" w:w="4252"/>
          </w:tcPr>
          <w:p>
            <w:pPr>
              <w:spacing w:lineRule="exact" w:line="600"/>
              <w:jc w:val="center"/>
            </w:pPr>
            <w:r/>
            <w:r>
              <w:rPr>
                <w:rFonts w:ascii="仿宋_GB2312" w:hAnsi="仿宋_GB2312" w:eastAsia="仿宋_GB2312"/>
                <w:b w:val="0"/>
                <w:color w:val="000000"/>
                <w:sz w:val="32"/>
              </w:rPr>
              <w:t>四大门类600品种</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（一）保鲜与灭菌工艺</w:t>
      </w:r>
    </w:p>
    <w:p>
      <w:pPr>
        <w:spacing w:lineRule="exact" w:line="600" w:before="0" w:after="0"/>
        <w:ind w:firstLine="420"/>
        <w:jc w:val="both"/>
      </w:pPr>
      <w:r>
        <w:rPr>
          <w:rFonts w:ascii="仿宋_GB2312" w:hAnsi="仿宋_GB2312" w:eastAsia="仿宋_GB2312"/>
          <w:b w:val="0"/>
          <w:color w:val="000000"/>
          <w:sz w:val="32"/>
        </w:rPr>
        <w:t>佳美食品引进国际领先的超高压（HPP）灭菌技术，以6000个大气压低温杀菌，保留果蔬汁口感与营养，应用于鲜榨果汁无菌灌装；沙土食品通过HACCP体系认证，建有多条自动化炒货线（来源：菏泽广电、沙土食品报道，2024）。</w:t>
      </w:r>
    </w:p>
    <w:p>
      <w:pPr>
        <w:spacing w:lineRule="exact" w:line="600" w:before="120" w:after="120"/>
        <w:ind w:firstLine="420"/>
        <w:jc w:val="left"/>
      </w:pPr>
      <w:r>
        <w:rPr>
          <w:rFonts w:ascii="楷体_GB2312" w:hAnsi="楷体_GB2312" w:eastAsia="楷体_GB2312"/>
          <w:b w:val="0"/>
          <w:color w:val="000000"/>
          <w:sz w:val="32"/>
        </w:rPr>
        <w:t>（二）种质与繁育技术</w:t>
      </w:r>
    </w:p>
    <w:p>
      <w:pPr>
        <w:spacing w:lineRule="exact" w:line="600" w:before="0" w:after="0"/>
        <w:ind w:firstLine="420"/>
        <w:jc w:val="both"/>
      </w:pPr>
      <w:r>
        <w:rPr>
          <w:rFonts w:ascii="仿宋_GB2312" w:hAnsi="仿宋_GB2312" w:eastAsia="仿宋_GB2312"/>
          <w:b w:val="0"/>
          <w:color w:val="000000"/>
          <w:sz w:val="32"/>
        </w:rPr>
        <w:t>虎运食品构建「数字化种质资源库+智能化繁育体系」双引擎，建设国家级鲁西黄牛保种中心，实现基因保护、良种繁育、生态养殖一体化，推动传统养殖向高端肉制品转型（来源：牡丹区政府官网，2024）。</w:t>
      </w:r>
    </w:p>
    <w:p>
      <w:pPr>
        <w:spacing w:lineRule="exact" w:line="600" w:before="120" w:after="120"/>
        <w:ind w:firstLine="420"/>
        <w:jc w:val="left"/>
      </w:pPr>
      <w:r>
        <w:rPr>
          <w:rFonts w:ascii="楷体_GB2312" w:hAnsi="楷体_GB2312" w:eastAsia="楷体_GB2312"/>
          <w:b w:val="0"/>
          <w:color w:val="000000"/>
          <w:sz w:val="32"/>
        </w:rPr>
        <w:t>（三）装备与自动化</w:t>
      </w:r>
    </w:p>
    <w:p>
      <w:pPr>
        <w:spacing w:lineRule="exact" w:line="600" w:before="0" w:after="0"/>
        <w:ind w:firstLine="420"/>
        <w:jc w:val="both"/>
      </w:pPr>
      <w:r>
        <w:rPr>
          <w:rFonts w:ascii="仿宋_GB2312" w:hAnsi="仿宋_GB2312" w:eastAsia="仿宋_GB2312"/>
          <w:b w:val="0"/>
          <w:color w:val="000000"/>
          <w:sz w:val="32"/>
        </w:rPr>
        <w:t>沙土镇推动集中供热替代分散燃煤锅炉，恒通热力、冠通热力及华润电厂集中供热覆盖食品与板材园，年减排污染物超千吨、企业用能成本降低30%以上；龙头企业完成高档坚果自动化、鲜榨果汁无菌灌装升级（来源：牡丹区发布，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应用/企业</w:t>
            </w:r>
          </w:p>
        </w:tc>
        <w:tc>
          <w:tcPr>
            <w:tcW w:type="dxa" w:w="3402"/>
          </w:tcPr>
          <w:p>
            <w:pPr>
              <w:spacing w:lineRule="exact" w:line="600"/>
              <w:jc w:val="center"/>
            </w:pPr>
            <w:r/>
            <w:r>
              <w:rPr>
                <w:rFonts w:ascii="黑体" w:hAnsi="黑体" w:eastAsia="黑体"/>
                <w:b/>
                <w:color w:val="000000"/>
                <w:sz w:val="32"/>
              </w:rPr>
              <w:t>效果</w:t>
            </w:r>
          </w:p>
        </w:tc>
      </w:tr>
      <w:tr>
        <w:tc>
          <w:tcPr>
            <w:tcW w:type="dxa" w:w="2551"/>
          </w:tcPr>
          <w:p>
            <w:pPr>
              <w:spacing w:lineRule="exact" w:line="600"/>
              <w:jc w:val="center"/>
            </w:pPr>
            <w:r/>
            <w:r>
              <w:rPr>
                <w:rFonts w:ascii="仿宋_GB2312" w:hAnsi="仿宋_GB2312" w:eastAsia="仿宋_GB2312"/>
                <w:b w:val="0"/>
                <w:color w:val="000000"/>
                <w:sz w:val="32"/>
              </w:rPr>
              <w:t>HPP超高压灭菌</w:t>
            </w:r>
          </w:p>
        </w:tc>
        <w:tc>
          <w:tcPr>
            <w:tcW w:type="dxa" w:w="3118"/>
          </w:tcPr>
          <w:p>
            <w:pPr>
              <w:spacing w:lineRule="exact" w:line="600"/>
              <w:jc w:val="center"/>
            </w:pPr>
            <w:r/>
            <w:r>
              <w:rPr>
                <w:rFonts w:ascii="仿宋_GB2312" w:hAnsi="仿宋_GB2312" w:eastAsia="仿宋_GB2312"/>
                <w:b w:val="0"/>
                <w:color w:val="000000"/>
                <w:sz w:val="32"/>
              </w:rPr>
              <w:t>佳美鲜榨果汁</w:t>
            </w:r>
          </w:p>
        </w:tc>
        <w:tc>
          <w:tcPr>
            <w:tcW w:type="dxa" w:w="3402"/>
          </w:tcPr>
          <w:p>
            <w:pPr>
              <w:spacing w:lineRule="exact" w:line="600"/>
              <w:jc w:val="center"/>
            </w:pPr>
            <w:r/>
            <w:r>
              <w:rPr>
                <w:rFonts w:ascii="仿宋_GB2312" w:hAnsi="仿宋_GB2312" w:eastAsia="仿宋_GB2312"/>
                <w:b w:val="0"/>
                <w:color w:val="000000"/>
                <w:sz w:val="32"/>
              </w:rPr>
              <w:t>6000大气压低温杀菌</w:t>
            </w:r>
          </w:p>
        </w:tc>
      </w:tr>
      <w:tr>
        <w:tc>
          <w:tcPr>
            <w:tcW w:type="dxa" w:w="2551"/>
          </w:tcPr>
          <w:p>
            <w:pPr>
              <w:spacing w:lineRule="exact" w:line="600"/>
              <w:jc w:val="center"/>
            </w:pPr>
            <w:r/>
            <w:r>
              <w:rPr>
                <w:rFonts w:ascii="仿宋_GB2312" w:hAnsi="仿宋_GB2312" w:eastAsia="仿宋_GB2312"/>
                <w:b w:val="0"/>
                <w:color w:val="000000"/>
                <w:sz w:val="32"/>
              </w:rPr>
              <w:t>HACCP</w:t>
            </w:r>
          </w:p>
        </w:tc>
        <w:tc>
          <w:tcPr>
            <w:tcW w:type="dxa" w:w="3118"/>
          </w:tcPr>
          <w:p>
            <w:pPr>
              <w:spacing w:lineRule="exact" w:line="600"/>
              <w:jc w:val="center"/>
            </w:pPr>
            <w:r/>
            <w:r>
              <w:rPr>
                <w:rFonts w:ascii="仿宋_GB2312" w:hAnsi="仿宋_GB2312" w:eastAsia="仿宋_GB2312"/>
                <w:b w:val="0"/>
                <w:color w:val="000000"/>
                <w:sz w:val="32"/>
              </w:rPr>
              <w:t>沙土炒货</w:t>
            </w:r>
          </w:p>
        </w:tc>
        <w:tc>
          <w:tcPr>
            <w:tcW w:type="dxa" w:w="3402"/>
          </w:tcPr>
          <w:p>
            <w:pPr>
              <w:spacing w:lineRule="exact" w:line="600"/>
              <w:jc w:val="center"/>
            </w:pPr>
            <w:r/>
            <w:r>
              <w:rPr>
                <w:rFonts w:ascii="仿宋_GB2312" w:hAnsi="仿宋_GB2312" w:eastAsia="仿宋_GB2312"/>
                <w:b w:val="0"/>
                <w:color w:val="000000"/>
                <w:sz w:val="32"/>
              </w:rPr>
              <w:t>质量体系认证</w:t>
            </w:r>
          </w:p>
        </w:tc>
      </w:tr>
      <w:tr>
        <w:tc>
          <w:tcPr>
            <w:tcW w:type="dxa" w:w="2551"/>
          </w:tcPr>
          <w:p>
            <w:pPr>
              <w:spacing w:lineRule="exact" w:line="600"/>
              <w:jc w:val="center"/>
            </w:pPr>
            <w:r/>
            <w:r>
              <w:rPr>
                <w:rFonts w:ascii="仿宋_GB2312" w:hAnsi="仿宋_GB2312" w:eastAsia="仿宋_GB2312"/>
                <w:b w:val="0"/>
                <w:color w:val="000000"/>
                <w:sz w:val="32"/>
              </w:rPr>
              <w:t>数字化繁育</w:t>
            </w:r>
          </w:p>
        </w:tc>
        <w:tc>
          <w:tcPr>
            <w:tcW w:type="dxa" w:w="3118"/>
          </w:tcPr>
          <w:p>
            <w:pPr>
              <w:spacing w:lineRule="exact" w:line="600"/>
              <w:jc w:val="center"/>
            </w:pPr>
            <w:r/>
            <w:r>
              <w:rPr>
                <w:rFonts w:ascii="仿宋_GB2312" w:hAnsi="仿宋_GB2312" w:eastAsia="仿宋_GB2312"/>
                <w:b w:val="0"/>
                <w:color w:val="000000"/>
                <w:sz w:val="32"/>
              </w:rPr>
              <w:t>虎运鲁西黄牛</w:t>
            </w:r>
          </w:p>
        </w:tc>
        <w:tc>
          <w:tcPr>
            <w:tcW w:type="dxa" w:w="3402"/>
          </w:tcPr>
          <w:p>
            <w:pPr>
              <w:spacing w:lineRule="exact" w:line="600"/>
              <w:jc w:val="center"/>
            </w:pPr>
            <w:r/>
            <w:r>
              <w:rPr>
                <w:rFonts w:ascii="仿宋_GB2312" w:hAnsi="仿宋_GB2312" w:eastAsia="仿宋_GB2312"/>
                <w:b w:val="0"/>
                <w:color w:val="000000"/>
                <w:sz w:val="32"/>
              </w:rPr>
              <w:t>国家级保种中心</w:t>
            </w:r>
          </w:p>
        </w:tc>
      </w:tr>
      <w:tr>
        <w:tc>
          <w:tcPr>
            <w:tcW w:type="dxa" w:w="2551"/>
          </w:tcPr>
          <w:p>
            <w:pPr>
              <w:spacing w:lineRule="exact" w:line="600"/>
              <w:jc w:val="center"/>
            </w:pPr>
            <w:r/>
            <w:r>
              <w:rPr>
                <w:rFonts w:ascii="仿宋_GB2312" w:hAnsi="仿宋_GB2312" w:eastAsia="仿宋_GB2312"/>
                <w:b w:val="0"/>
                <w:color w:val="000000"/>
                <w:sz w:val="32"/>
              </w:rPr>
              <w:t>集中供热</w:t>
            </w:r>
          </w:p>
        </w:tc>
        <w:tc>
          <w:tcPr>
            <w:tcW w:type="dxa" w:w="3118"/>
          </w:tcPr>
          <w:p>
            <w:pPr>
              <w:spacing w:lineRule="exact" w:line="600"/>
              <w:jc w:val="center"/>
            </w:pPr>
            <w:r/>
            <w:r>
              <w:rPr>
                <w:rFonts w:ascii="仿宋_GB2312" w:hAnsi="仿宋_GB2312" w:eastAsia="仿宋_GB2312"/>
                <w:b w:val="0"/>
                <w:color w:val="000000"/>
                <w:sz w:val="32"/>
              </w:rPr>
              <w:t>园区食品企业</w:t>
            </w:r>
          </w:p>
        </w:tc>
        <w:tc>
          <w:tcPr>
            <w:tcW w:type="dxa" w:w="3402"/>
          </w:tcPr>
          <w:p>
            <w:pPr>
              <w:spacing w:lineRule="exact" w:line="600"/>
              <w:jc w:val="center"/>
            </w:pPr>
            <w:r/>
            <w:r>
              <w:rPr>
                <w:rFonts w:ascii="仿宋_GB2312" w:hAnsi="仿宋_GB2312" w:eastAsia="仿宋_GB2312"/>
                <w:b w:val="0"/>
                <w:color w:val="000000"/>
                <w:sz w:val="32"/>
              </w:rPr>
              <w:t>用能成本-30%以上</w:t>
            </w:r>
          </w:p>
        </w:tc>
      </w:tr>
      <w:tr>
        <w:tc>
          <w:tcPr>
            <w:tcW w:type="dxa" w:w="2551"/>
          </w:tcPr>
          <w:p>
            <w:pPr>
              <w:spacing w:lineRule="exact" w:line="600"/>
              <w:jc w:val="center"/>
            </w:pPr>
            <w:r/>
            <w:r>
              <w:rPr>
                <w:rFonts w:ascii="仿宋_GB2312" w:hAnsi="仿宋_GB2312" w:eastAsia="仿宋_GB2312"/>
                <w:b w:val="0"/>
                <w:color w:val="000000"/>
                <w:sz w:val="32"/>
              </w:rPr>
              <w:t>自动化</w:t>
            </w:r>
          </w:p>
        </w:tc>
        <w:tc>
          <w:tcPr>
            <w:tcW w:type="dxa" w:w="3118"/>
          </w:tcPr>
          <w:p>
            <w:pPr>
              <w:spacing w:lineRule="exact" w:line="600"/>
              <w:jc w:val="center"/>
            </w:pPr>
            <w:r/>
            <w:r>
              <w:rPr>
                <w:rFonts w:ascii="仿宋_GB2312" w:hAnsi="仿宋_GB2312" w:eastAsia="仿宋_GB2312"/>
                <w:b w:val="0"/>
                <w:color w:val="000000"/>
                <w:sz w:val="32"/>
              </w:rPr>
              <w:t>坚果/果汁线</w:t>
            </w:r>
          </w:p>
        </w:tc>
        <w:tc>
          <w:tcPr>
            <w:tcW w:type="dxa" w:w="3402"/>
          </w:tcPr>
          <w:p>
            <w:pPr>
              <w:spacing w:lineRule="exact" w:line="600"/>
              <w:jc w:val="center"/>
            </w:pPr>
            <w:r/>
            <w:r>
              <w:rPr>
                <w:rFonts w:ascii="仿宋_GB2312" w:hAnsi="仿宋_GB2312" w:eastAsia="仿宋_GB2312"/>
                <w:b w:val="0"/>
                <w:color w:val="000000"/>
                <w:sz w:val="32"/>
              </w:rPr>
              <w:t>附加值提升</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（一）原料与成本</w:t>
      </w:r>
    </w:p>
    <w:p>
      <w:pPr>
        <w:spacing w:lineRule="exact" w:line="600" w:before="0" w:after="0"/>
        <w:ind w:firstLine="420"/>
        <w:jc w:val="both"/>
      </w:pPr>
      <w:r>
        <w:rPr>
          <w:rFonts w:ascii="仿宋_GB2312" w:hAnsi="仿宋_GB2312" w:eastAsia="仿宋_GB2312"/>
          <w:b w:val="0"/>
          <w:color w:val="000000"/>
          <w:sz w:val="32"/>
        </w:rPr>
        <w:t>肉制品成本受畜禽价格与饲料影响。鲁西黄牛保种中心以「企业+农户」模式稳定原料供应，降低外部采购波动；集中供热使园区企业用能成本降低30%以上（来源：牡丹区政府、牡丹区发布，2024）。</w:t>
      </w:r>
    </w:p>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虎运食品投资4.5亿元建保种中心，年加工牛肉1.8万吨，向高端肉制品升级；沙土食品2024年营收3.1亿元，固定资产达9530万元、资产负债率仅8.2%，盈利稳健（来源：牡丹区政府、沙土食品报道，2024）。</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沙土休闲食品特色产业园实现「七通一平」，配建污水处理厂、热力管网、冷链物流与食品检测中心；紧邻牡丹机场、高铁站与济铁菏泽物流园，区位优势显著（来源：牡丹区政府官网，2024）。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供给</w:t>
            </w:r>
          </w:p>
        </w:tc>
        <w:tc>
          <w:tcPr>
            <w:tcW w:type="dxa" w:w="3402"/>
          </w:tcPr>
          <w:p>
            <w:pPr>
              <w:spacing w:lineRule="exact" w:line="600"/>
              <w:jc w:val="center"/>
            </w:pPr>
            <w:r/>
            <w:r>
              <w:rPr>
                <w:rFonts w:ascii="黑体" w:hAnsi="黑体" w:eastAsia="黑体"/>
                <w:b/>
                <w:color w:val="000000"/>
                <w:sz w:val="32"/>
              </w:rPr>
              <w:t>效果</w:t>
            </w:r>
          </w:p>
        </w:tc>
      </w:tr>
      <w:tr>
        <w:tc>
          <w:tcPr>
            <w:tcW w:type="dxa" w:w="2268"/>
          </w:tcPr>
          <w:p>
            <w:pPr>
              <w:spacing w:lineRule="exact" w:line="600"/>
              <w:jc w:val="center"/>
            </w:pPr>
            <w:r/>
            <w:r>
              <w:rPr>
                <w:rFonts w:ascii="仿宋_GB2312" w:hAnsi="仿宋_GB2312" w:eastAsia="仿宋_GB2312"/>
                <w:b w:val="0"/>
                <w:color w:val="000000"/>
                <w:sz w:val="32"/>
              </w:rPr>
              <w:t>能源</w:t>
            </w:r>
          </w:p>
        </w:tc>
        <w:tc>
          <w:tcPr>
            <w:tcW w:type="dxa" w:w="3402"/>
          </w:tcPr>
          <w:p>
            <w:pPr>
              <w:spacing w:lineRule="exact" w:line="600"/>
              <w:jc w:val="center"/>
            </w:pPr>
            <w:r/>
            <w:r>
              <w:rPr>
                <w:rFonts w:ascii="仿宋_GB2312" w:hAnsi="仿宋_GB2312" w:eastAsia="仿宋_GB2312"/>
                <w:b w:val="0"/>
                <w:color w:val="000000"/>
                <w:sz w:val="32"/>
              </w:rPr>
              <w:t>集中供热</w:t>
            </w:r>
          </w:p>
        </w:tc>
        <w:tc>
          <w:tcPr>
            <w:tcW w:type="dxa" w:w="3402"/>
          </w:tcPr>
          <w:p>
            <w:pPr>
              <w:spacing w:lineRule="exact" w:line="600"/>
              <w:jc w:val="center"/>
            </w:pPr>
            <w:r/>
            <w:r>
              <w:rPr>
                <w:rFonts w:ascii="仿宋_GB2312" w:hAnsi="仿宋_GB2312" w:eastAsia="仿宋_GB2312"/>
                <w:b w:val="0"/>
                <w:color w:val="000000"/>
                <w:sz w:val="32"/>
              </w:rPr>
              <w:t>成本-30%以上</w:t>
            </w:r>
          </w:p>
        </w:tc>
      </w:tr>
      <w:tr>
        <w:tc>
          <w:tcPr>
            <w:tcW w:type="dxa" w:w="2268"/>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园区冷库</w:t>
            </w:r>
          </w:p>
        </w:tc>
        <w:tc>
          <w:tcPr>
            <w:tcW w:type="dxa" w:w="3402"/>
          </w:tcPr>
          <w:p>
            <w:pPr>
              <w:spacing w:lineRule="exact" w:line="600"/>
              <w:jc w:val="center"/>
            </w:pPr>
            <w:r/>
            <w:r>
              <w:rPr>
                <w:rFonts w:ascii="仿宋_GB2312" w:hAnsi="仿宋_GB2312" w:eastAsia="仿宋_GB2312"/>
                <w:b w:val="0"/>
                <w:color w:val="000000"/>
                <w:sz w:val="32"/>
              </w:rPr>
              <w:t>支撑鲜榨/冻品</w:t>
            </w:r>
          </w:p>
        </w:tc>
      </w:tr>
      <w:tr>
        <w:tc>
          <w:tcPr>
            <w:tcW w:type="dxa" w:w="2268"/>
          </w:tcPr>
          <w:p>
            <w:pPr>
              <w:spacing w:lineRule="exact" w:line="600"/>
              <w:jc w:val="center"/>
            </w:pPr>
            <w:r/>
            <w:r>
              <w:rPr>
                <w:rFonts w:ascii="仿宋_GB2312" w:hAnsi="仿宋_GB2312" w:eastAsia="仿宋_GB2312"/>
                <w:b w:val="0"/>
                <w:color w:val="000000"/>
                <w:sz w:val="32"/>
              </w:rPr>
              <w:t>检测</w:t>
            </w:r>
          </w:p>
        </w:tc>
        <w:tc>
          <w:tcPr>
            <w:tcW w:type="dxa" w:w="3402"/>
          </w:tcPr>
          <w:p>
            <w:pPr>
              <w:spacing w:lineRule="exact" w:line="600"/>
              <w:jc w:val="center"/>
            </w:pPr>
            <w:r/>
            <w:r>
              <w:rPr>
                <w:rFonts w:ascii="仿宋_GB2312" w:hAnsi="仿宋_GB2312" w:eastAsia="仿宋_GB2312"/>
                <w:b w:val="0"/>
                <w:color w:val="000000"/>
                <w:sz w:val="32"/>
              </w:rPr>
              <w:t>食品检测中心</w:t>
            </w:r>
          </w:p>
        </w:tc>
        <w:tc>
          <w:tcPr>
            <w:tcW w:type="dxa" w:w="3402"/>
          </w:tcPr>
          <w:p>
            <w:pPr>
              <w:spacing w:lineRule="exact" w:line="600"/>
              <w:jc w:val="center"/>
            </w:pPr>
            <w:r/>
            <w:r>
              <w:rPr>
                <w:rFonts w:ascii="仿宋_GB2312" w:hAnsi="仿宋_GB2312" w:eastAsia="仿宋_GB2312"/>
                <w:b w:val="0"/>
                <w:color w:val="000000"/>
                <w:sz w:val="32"/>
              </w:rPr>
              <w:t>质量保障</w:t>
            </w:r>
          </w:p>
        </w:tc>
      </w:tr>
      <w:tr>
        <w:tc>
          <w:tcPr>
            <w:tcW w:type="dxa" w:w="2268"/>
          </w:tcPr>
          <w:p>
            <w:pPr>
              <w:spacing w:lineRule="exact" w:line="600"/>
              <w:jc w:val="center"/>
            </w:pPr>
            <w:r/>
            <w:r>
              <w:rPr>
                <w:rFonts w:ascii="仿宋_GB2312" w:hAnsi="仿宋_GB2312" w:eastAsia="仿宋_GB2312"/>
                <w:b w:val="0"/>
                <w:color w:val="000000"/>
                <w:sz w:val="32"/>
              </w:rPr>
              <w:t>物流</w:t>
            </w:r>
          </w:p>
        </w:tc>
        <w:tc>
          <w:tcPr>
            <w:tcW w:type="dxa" w:w="3402"/>
          </w:tcPr>
          <w:p>
            <w:pPr>
              <w:spacing w:lineRule="exact" w:line="600"/>
              <w:jc w:val="center"/>
            </w:pPr>
            <w:r/>
            <w:r>
              <w:rPr>
                <w:rFonts w:ascii="仿宋_GB2312" w:hAnsi="仿宋_GB2312" w:eastAsia="仿宋_GB2312"/>
                <w:b w:val="0"/>
                <w:color w:val="000000"/>
                <w:sz w:val="32"/>
              </w:rPr>
              <w:t>济铁物流园</w:t>
            </w:r>
          </w:p>
        </w:tc>
        <w:tc>
          <w:tcPr>
            <w:tcW w:type="dxa" w:w="3402"/>
          </w:tcPr>
          <w:p>
            <w:pPr>
              <w:spacing w:lineRule="exact" w:line="600"/>
              <w:jc w:val="center"/>
            </w:pPr>
            <w:r/>
            <w:r>
              <w:rPr>
                <w:rFonts w:ascii="仿宋_GB2312" w:hAnsi="仿宋_GB2312" w:eastAsia="仿宋_GB2312"/>
                <w:b w:val="0"/>
                <w:color w:val="000000"/>
                <w:sz w:val="32"/>
              </w:rPr>
              <w:t>区位便捷</w:t>
            </w:r>
          </w:p>
        </w:tc>
      </w:tr>
      <w:tr>
        <w:tc>
          <w:tcPr>
            <w:tcW w:type="dxa" w:w="2268"/>
          </w:tcPr>
          <w:p>
            <w:pPr>
              <w:spacing w:lineRule="exact" w:line="600"/>
              <w:jc w:val="center"/>
            </w:pPr>
            <w:r/>
            <w:r>
              <w:rPr>
                <w:rFonts w:ascii="仿宋_GB2312" w:hAnsi="仿宋_GB2312" w:eastAsia="仿宋_GB2312"/>
                <w:b w:val="0"/>
                <w:color w:val="000000"/>
                <w:sz w:val="32"/>
              </w:rPr>
              <w:t>土地</w:t>
            </w:r>
          </w:p>
        </w:tc>
        <w:tc>
          <w:tcPr>
            <w:tcW w:type="dxa" w:w="3402"/>
          </w:tcPr>
          <w:p>
            <w:pPr>
              <w:spacing w:lineRule="exact" w:line="600"/>
              <w:jc w:val="center"/>
            </w:pPr>
            <w:r/>
            <w:r>
              <w:rPr>
                <w:rFonts w:ascii="仿宋_GB2312" w:hAnsi="仿宋_GB2312" w:eastAsia="仿宋_GB2312"/>
                <w:b w:val="0"/>
                <w:color w:val="000000"/>
                <w:sz w:val="32"/>
              </w:rPr>
              <w:t>七通一平</w:t>
            </w:r>
          </w:p>
        </w:tc>
        <w:tc>
          <w:tcPr>
            <w:tcW w:type="dxa" w:w="3402"/>
          </w:tcPr>
          <w:p>
            <w:pPr>
              <w:spacing w:lineRule="exact" w:line="600"/>
              <w:jc w:val="center"/>
            </w:pPr>
            <w:r/>
            <w:r>
              <w:rPr>
                <w:rFonts w:ascii="仿宋_GB2312" w:hAnsi="仿宋_GB2312" w:eastAsia="仿宋_GB2312"/>
                <w:b w:val="0"/>
                <w:color w:val="000000"/>
                <w:sz w:val="32"/>
              </w:rPr>
              <w:t>52家链上企业</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预制菜与餐饮供应链高增长、健康休闲食品消费升级、出口市场拓展，为肉制品加工带来增量；鲁西黄牛种质资源形成高端差异化壁垒（来源：行业共性研判、牡丹区报道，2024）。</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同质化休闲食品竞争激烈、原料价格周期波动、冷链与研发投人不足；龙头企业带动下的中小代工企业利润偏薄（来源：行业共性研判）。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畜禽疫情与食品安全事件、原料价格大幅波动、出口技术性贸易壁垒，是主要风险点（来源：行业共性研判）。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685"/>
          </w:tcPr>
          <w:p>
            <w:pPr>
              <w:spacing w:lineRule="exact" w:line="600"/>
              <w:jc w:val="center"/>
            </w:pPr>
            <w:r/>
            <w:r>
              <w:rPr>
                <w:rFonts w:ascii="仿宋_GB2312" w:hAnsi="仿宋_GB2312" w:eastAsia="仿宋_GB2312"/>
                <w:b w:val="0"/>
                <w:color w:val="000000"/>
                <w:sz w:val="32"/>
              </w:rPr>
              <w:t>预制菜/健康/出口</w:t>
            </w:r>
          </w:p>
        </w:tc>
        <w:tc>
          <w:tcPr>
            <w:tcW w:type="dxa" w:w="3118"/>
          </w:tcPr>
          <w:p>
            <w:pPr>
              <w:spacing w:lineRule="exact" w:line="600"/>
              <w:jc w:val="center"/>
            </w:pPr>
            <w:r/>
            <w:r>
              <w:rPr>
                <w:rFonts w:ascii="仿宋_GB2312" w:hAnsi="仿宋_GB2312" w:eastAsia="仿宋_GB2312"/>
                <w:b w:val="0"/>
                <w:color w:val="000000"/>
                <w:sz w:val="32"/>
              </w:rPr>
              <w:t>需求升级</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685"/>
          </w:tcPr>
          <w:p>
            <w:pPr>
              <w:spacing w:lineRule="exact" w:line="600"/>
              <w:jc w:val="center"/>
            </w:pPr>
            <w:r/>
            <w:r>
              <w:rPr>
                <w:rFonts w:ascii="仿宋_GB2312" w:hAnsi="仿宋_GB2312" w:eastAsia="仿宋_GB2312"/>
                <w:b w:val="0"/>
                <w:color w:val="000000"/>
                <w:sz w:val="32"/>
              </w:rPr>
              <w:t>同质化/原料周期/研发</w:t>
            </w:r>
          </w:p>
        </w:tc>
        <w:tc>
          <w:tcPr>
            <w:tcW w:type="dxa" w:w="3118"/>
          </w:tcPr>
          <w:p>
            <w:pPr>
              <w:spacing w:lineRule="exact" w:line="600"/>
              <w:jc w:val="center"/>
            </w:pPr>
            <w:r/>
            <w:r>
              <w:rPr>
                <w:rFonts w:ascii="仿宋_GB2312" w:hAnsi="仿宋_GB2312" w:eastAsia="仿宋_GB2312"/>
                <w:b w:val="0"/>
                <w:color w:val="000000"/>
                <w:sz w:val="32"/>
              </w:rPr>
              <w:t>利润受限</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685"/>
          </w:tcPr>
          <w:p>
            <w:pPr>
              <w:spacing w:lineRule="exact" w:line="600"/>
              <w:jc w:val="center"/>
            </w:pPr>
            <w:r/>
            <w:r>
              <w:rPr>
                <w:rFonts w:ascii="仿宋_GB2312" w:hAnsi="仿宋_GB2312" w:eastAsia="仿宋_GB2312"/>
                <w:b w:val="0"/>
                <w:color w:val="000000"/>
                <w:sz w:val="32"/>
              </w:rPr>
              <w:t>疫情/食安/贸易壁垒</w:t>
            </w:r>
          </w:p>
        </w:tc>
        <w:tc>
          <w:tcPr>
            <w:tcW w:type="dxa" w:w="3118"/>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685"/>
          </w:tcPr>
          <w:p>
            <w:pPr>
              <w:spacing w:lineRule="exact" w:line="600"/>
              <w:jc w:val="center"/>
            </w:pPr>
            <w:r/>
            <w:r>
              <w:rPr>
                <w:rFonts w:ascii="仿宋_GB2312" w:hAnsi="仿宋_GB2312" w:eastAsia="仿宋_GB2312"/>
                <w:b w:val="0"/>
                <w:color w:val="000000"/>
                <w:sz w:val="32"/>
              </w:rPr>
              <w:t>种质+品牌+冷链</w:t>
            </w:r>
          </w:p>
        </w:tc>
        <w:tc>
          <w:tcPr>
            <w:tcW w:type="dxa" w:w="3118"/>
          </w:tcPr>
          <w:p>
            <w:pPr>
              <w:spacing w:lineRule="exact" w:line="600"/>
              <w:jc w:val="center"/>
            </w:pPr>
            <w:r/>
            <w:r>
              <w:rPr>
                <w:rFonts w:ascii="仿宋_GB2312" w:hAnsi="仿宋_GB2312" w:eastAsia="仿宋_GB2312"/>
                <w:b w:val="0"/>
                <w:color w:val="000000"/>
                <w:sz w:val="32"/>
              </w:rPr>
              <w:t>增强韧性</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（一）高端化（种质与品牌）</w:t>
      </w:r>
    </w:p>
    <w:p>
      <w:pPr>
        <w:spacing w:lineRule="exact" w:line="600" w:before="0" w:after="0"/>
        <w:ind w:firstLine="420"/>
        <w:jc w:val="both"/>
      </w:pPr>
      <w:r>
        <w:rPr>
          <w:rFonts w:ascii="仿宋_GB2312" w:hAnsi="仿宋_GB2312" w:eastAsia="仿宋_GB2312"/>
          <w:b w:val="0"/>
          <w:color w:val="000000"/>
          <w:sz w:val="32"/>
        </w:rPr>
        <w:t>以国家级鲁西黄牛保种中心为依托，推动「基因保护—良种繁育—生态养殖—高端肉制品」全产业链，提升产品溢价（来源：牡丹区政府官网，2024）。</w:t>
      </w:r>
    </w:p>
    <w:p>
      <w:pPr>
        <w:spacing w:lineRule="exact" w:line="600" w:before="120" w:after="120"/>
        <w:ind w:firstLine="420"/>
        <w:jc w:val="left"/>
      </w:pPr>
      <w:r>
        <w:rPr>
          <w:rFonts w:ascii="楷体_GB2312" w:hAnsi="楷体_GB2312" w:eastAsia="楷体_GB2312"/>
          <w:b w:val="0"/>
          <w:color w:val="000000"/>
          <w:sz w:val="32"/>
        </w:rPr>
        <w:t>（二）预制化与餐饮供应链</w:t>
      </w:r>
    </w:p>
    <w:p>
      <w:pPr>
        <w:spacing w:lineRule="exact" w:line="600" w:before="0" w:after="0"/>
        <w:ind w:firstLine="420"/>
        <w:jc w:val="both"/>
      </w:pPr>
      <w:r>
        <w:rPr>
          <w:rFonts w:ascii="仿宋_GB2312" w:hAnsi="仿宋_GB2312" w:eastAsia="仿宋_GB2312"/>
          <w:b w:val="0"/>
          <w:color w:val="000000"/>
          <w:sz w:val="32"/>
        </w:rPr>
        <w:t>盛鑫源等企业与海底捞、米村拌饭等头部餐饮共建供应链，发展脱水蔬菜与预制菜，向「餐饮中央厨房」延伸（来源：沙土镇报道，2024）。</w:t>
      </w:r>
    </w:p>
    <w:p>
      <w:pPr>
        <w:spacing w:lineRule="exact" w:line="600" w:before="120" w:after="120"/>
        <w:ind w:firstLine="420"/>
        <w:jc w:val="left"/>
      </w:pPr>
      <w:r>
        <w:rPr>
          <w:rFonts w:ascii="楷体_GB2312" w:hAnsi="楷体_GB2312" w:eastAsia="楷体_GB2312"/>
          <w:b w:val="0"/>
          <w:color w:val="000000"/>
          <w:sz w:val="32"/>
        </w:rPr>
        <w:t>（三）绿色化与数字化</w:t>
      </w:r>
    </w:p>
    <w:p>
      <w:pPr>
        <w:spacing w:lineRule="exact" w:line="600" w:before="0" w:after="0"/>
        <w:ind w:firstLine="420"/>
        <w:jc w:val="both"/>
      </w:pPr>
      <w:r>
        <w:rPr>
          <w:rFonts w:ascii="仿宋_GB2312" w:hAnsi="仿宋_GB2312" w:eastAsia="仿宋_GB2312"/>
          <w:b w:val="0"/>
          <w:color w:val="000000"/>
          <w:sz w:val="32"/>
        </w:rPr>
        <w:t>集中供热与HPP冷灭菌降低能耗与热杀菌损耗，数字化繁育与无菌灌装提升品控，园区朝国家绿色食品产业集群迈进（来源：牡丹区发布、菏泽广电，2024）。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高端化</w:t>
            </w:r>
          </w:p>
        </w:tc>
        <w:tc>
          <w:tcPr>
            <w:tcW w:type="dxa" w:w="3685"/>
          </w:tcPr>
          <w:p>
            <w:pPr>
              <w:spacing w:lineRule="exact" w:line="600"/>
              <w:jc w:val="center"/>
            </w:pPr>
            <w:r/>
            <w:r>
              <w:rPr>
                <w:rFonts w:ascii="仿宋_GB2312" w:hAnsi="仿宋_GB2312" w:eastAsia="仿宋_GB2312"/>
                <w:b w:val="0"/>
                <w:color w:val="000000"/>
                <w:sz w:val="32"/>
              </w:rPr>
              <w:t>鲁西黄牛保种</w:t>
            </w:r>
          </w:p>
        </w:tc>
        <w:tc>
          <w:tcPr>
            <w:tcW w:type="dxa" w:w="3118"/>
          </w:tcPr>
          <w:p>
            <w:pPr>
              <w:spacing w:lineRule="exact" w:line="600"/>
              <w:jc w:val="center"/>
            </w:pPr>
            <w:r/>
            <w:r>
              <w:rPr>
                <w:rFonts w:ascii="仿宋_GB2312" w:hAnsi="仿宋_GB2312" w:eastAsia="仿宋_GB2312"/>
                <w:b w:val="0"/>
                <w:color w:val="000000"/>
                <w:sz w:val="32"/>
              </w:rPr>
              <w:t>年出栏5万头</w:t>
            </w:r>
          </w:p>
        </w:tc>
      </w:tr>
      <w:tr>
        <w:tc>
          <w:tcPr>
            <w:tcW w:type="dxa" w:w="2268"/>
          </w:tcPr>
          <w:p>
            <w:pPr>
              <w:spacing w:lineRule="exact" w:line="600"/>
              <w:jc w:val="center"/>
            </w:pPr>
            <w:r/>
            <w:r>
              <w:rPr>
                <w:rFonts w:ascii="仿宋_GB2312" w:hAnsi="仿宋_GB2312" w:eastAsia="仿宋_GB2312"/>
                <w:b w:val="0"/>
                <w:color w:val="000000"/>
                <w:sz w:val="32"/>
              </w:rPr>
              <w:t>预制化</w:t>
            </w:r>
          </w:p>
        </w:tc>
        <w:tc>
          <w:tcPr>
            <w:tcW w:type="dxa" w:w="3685"/>
          </w:tcPr>
          <w:p>
            <w:pPr>
              <w:spacing w:lineRule="exact" w:line="600"/>
              <w:jc w:val="center"/>
            </w:pPr>
            <w:r/>
            <w:r>
              <w:rPr>
                <w:rFonts w:ascii="仿宋_GB2312" w:hAnsi="仿宋_GB2312" w:eastAsia="仿宋_GB2312"/>
                <w:b w:val="0"/>
                <w:color w:val="000000"/>
                <w:sz w:val="32"/>
              </w:rPr>
              <w:t>餐饮供应链</w:t>
            </w:r>
          </w:p>
        </w:tc>
        <w:tc>
          <w:tcPr>
            <w:tcW w:type="dxa" w:w="3118"/>
          </w:tcPr>
          <w:p>
            <w:pPr>
              <w:spacing w:lineRule="exact" w:line="600"/>
              <w:jc w:val="center"/>
            </w:pPr>
            <w:r/>
            <w:r>
              <w:rPr>
                <w:rFonts w:ascii="仿宋_GB2312" w:hAnsi="仿宋_GB2312" w:eastAsia="仿宋_GB2312"/>
                <w:b w:val="0"/>
                <w:color w:val="000000"/>
                <w:sz w:val="32"/>
              </w:rPr>
              <w:t>海底捞/米村拌饭</w:t>
            </w:r>
          </w:p>
        </w:tc>
      </w:tr>
      <w:tr>
        <w:tc>
          <w:tcPr>
            <w:tcW w:type="dxa" w:w="2268"/>
          </w:tcPr>
          <w:p>
            <w:pPr>
              <w:spacing w:lineRule="exact" w:line="600"/>
              <w:jc w:val="center"/>
            </w:pPr>
            <w:r/>
            <w:r>
              <w:rPr>
                <w:rFonts w:ascii="仿宋_GB2312" w:hAnsi="仿宋_GB2312" w:eastAsia="仿宋_GB2312"/>
                <w:b w:val="0"/>
                <w:color w:val="000000"/>
                <w:sz w:val="32"/>
              </w:rPr>
              <w:t>绿色化</w:t>
            </w:r>
          </w:p>
        </w:tc>
        <w:tc>
          <w:tcPr>
            <w:tcW w:type="dxa" w:w="3685"/>
          </w:tcPr>
          <w:p>
            <w:pPr>
              <w:spacing w:lineRule="exact" w:line="600"/>
              <w:jc w:val="center"/>
            </w:pPr>
            <w:r/>
            <w:r>
              <w:rPr>
                <w:rFonts w:ascii="仿宋_GB2312" w:hAnsi="仿宋_GB2312" w:eastAsia="仿宋_GB2312"/>
                <w:b w:val="0"/>
                <w:color w:val="000000"/>
                <w:sz w:val="32"/>
              </w:rPr>
              <w:t>集中供热+HPP</w:t>
            </w:r>
          </w:p>
        </w:tc>
        <w:tc>
          <w:tcPr>
            <w:tcW w:type="dxa" w:w="3118"/>
          </w:tcPr>
          <w:p>
            <w:pPr>
              <w:spacing w:lineRule="exact" w:line="600"/>
              <w:jc w:val="center"/>
            </w:pPr>
            <w:r/>
            <w:r>
              <w:rPr>
                <w:rFonts w:ascii="仿宋_GB2312" w:hAnsi="仿宋_GB2312" w:eastAsia="仿宋_GB2312"/>
                <w:b w:val="0"/>
                <w:color w:val="000000"/>
                <w:sz w:val="32"/>
              </w:rPr>
              <w:t>成本-30%/保鲜</w:t>
            </w:r>
          </w:p>
        </w:tc>
      </w:tr>
      <w:tr>
        <w:tc>
          <w:tcPr>
            <w:tcW w:type="dxa" w:w="2268"/>
          </w:tcPr>
          <w:p>
            <w:pPr>
              <w:spacing w:lineRule="exact" w:line="600"/>
              <w:jc w:val="center"/>
            </w:pPr>
            <w:r/>
            <w:r>
              <w:rPr>
                <w:rFonts w:ascii="仿宋_GB2312" w:hAnsi="仿宋_GB2312" w:eastAsia="仿宋_GB2312"/>
                <w:b w:val="0"/>
                <w:color w:val="000000"/>
                <w:sz w:val="32"/>
              </w:rPr>
              <w:t>集群</w:t>
            </w:r>
          </w:p>
        </w:tc>
        <w:tc>
          <w:tcPr>
            <w:tcW w:type="dxa" w:w="3685"/>
          </w:tcPr>
          <w:p>
            <w:pPr>
              <w:spacing w:lineRule="exact" w:line="600"/>
              <w:jc w:val="center"/>
            </w:pPr>
            <w:r/>
            <w:r>
              <w:rPr>
                <w:rFonts w:ascii="仿宋_GB2312" w:hAnsi="仿宋_GB2312" w:eastAsia="仿宋_GB2312"/>
                <w:b w:val="0"/>
                <w:color w:val="000000"/>
                <w:sz w:val="32"/>
              </w:rPr>
              <w:t>国家绿色集群</w:t>
            </w:r>
          </w:p>
        </w:tc>
        <w:tc>
          <w:tcPr>
            <w:tcW w:type="dxa" w:w="3118"/>
          </w:tcPr>
          <w:p>
            <w:pPr>
              <w:spacing w:lineRule="exact" w:line="600"/>
              <w:jc w:val="center"/>
            </w:pPr>
            <w:r/>
            <w:r>
              <w:rPr>
                <w:rFonts w:ascii="仿宋_GB2312" w:hAnsi="仿宋_GB2312" w:eastAsia="仿宋_GB2312"/>
                <w:b w:val="0"/>
                <w:color w:val="000000"/>
                <w:sz w:val="32"/>
              </w:rPr>
              <w:t>52家链上</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（一）产能与基建投资</w:t>
      </w:r>
    </w:p>
    <w:p>
      <w:pPr>
        <w:spacing w:lineRule="exact" w:line="600" w:before="0" w:after="0"/>
        <w:ind w:firstLine="420"/>
        <w:jc w:val="both"/>
      </w:pPr>
      <w:r>
        <w:rPr>
          <w:rFonts w:ascii="仿宋_GB2312" w:hAnsi="仿宋_GB2312" w:eastAsia="仿宋_GB2312"/>
          <w:b w:val="0"/>
          <w:color w:val="000000"/>
          <w:sz w:val="32"/>
        </w:rPr>
        <w:t>虎运食品4.5亿元保种中心、新润林2亿元坚果线、鲜之源1.5亿元冻干项目等，对固定资产贷款与专项债需求明确（来源：沙土镇项目综述，2024）。</w:t>
      </w:r>
    </w:p>
    <w:p>
      <w:pPr>
        <w:spacing w:lineRule="exact" w:line="600" w:before="120" w:after="120"/>
        <w:ind w:firstLine="420"/>
        <w:jc w:val="left"/>
      </w:pPr>
      <w:r>
        <w:rPr>
          <w:rFonts w:ascii="楷体_GB2312" w:hAnsi="楷体_GB2312" w:eastAsia="楷体_GB2312"/>
          <w:b w:val="0"/>
          <w:color w:val="000000"/>
          <w:sz w:val="32"/>
        </w:rPr>
        <w:t>（二）技术改造与装备</w:t>
      </w:r>
    </w:p>
    <w:p>
      <w:pPr>
        <w:spacing w:lineRule="exact" w:line="600" w:before="0" w:after="0"/>
        <w:ind w:firstLine="420"/>
        <w:jc w:val="both"/>
      </w:pPr>
      <w:r>
        <w:rPr>
          <w:rFonts w:ascii="仿宋_GB2312" w:hAnsi="仿宋_GB2312" w:eastAsia="仿宋_GB2312"/>
          <w:b w:val="0"/>
          <w:color w:val="000000"/>
          <w:sz w:val="32"/>
        </w:rPr>
        <w:t>HPP超高压设备（单台600MP级）、无菌灌装线、自动化炒货线单价高，龙头企业技改需中长期信贷与设备更新贷款（来源：沙土镇报道，2024）。</w:t>
      </w:r>
    </w:p>
    <w:p>
      <w:pPr>
        <w:spacing w:lineRule="exact" w:line="600" w:before="120" w:after="120"/>
        <w:ind w:firstLine="420"/>
        <w:jc w:val="left"/>
      </w:pPr>
      <w:r>
        <w:rPr>
          <w:rFonts w:ascii="楷体_GB2312" w:hAnsi="楷体_GB2312" w:eastAsia="楷体_GB2312"/>
          <w:b w:val="0"/>
          <w:color w:val="000000"/>
          <w:sz w:val="32"/>
        </w:rPr>
        <w:t>（三）冷链与流动资金</w:t>
      </w:r>
    </w:p>
    <w:p>
      <w:pPr>
        <w:spacing w:lineRule="exact" w:line="600" w:before="0" w:after="0"/>
        <w:ind w:firstLine="420"/>
        <w:jc w:val="both"/>
      </w:pPr>
      <w:r>
        <w:rPr>
          <w:rFonts w:ascii="仿宋_GB2312" w:hAnsi="仿宋_GB2312" w:eastAsia="仿宋_GB2312"/>
          <w:b w:val="0"/>
          <w:color w:val="000000"/>
          <w:sz w:val="32"/>
        </w:rPr>
        <w:t>肉制品与预制菜依赖冷链仓储运输，中小企业冷库与流动资金紧张，需冷链基建融资、供应链金融与政策性担保（来源：行业共性研判）。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w:t>
            </w:r>
          </w:p>
        </w:tc>
        <w:tc>
          <w:tcPr>
            <w:tcW w:type="dxa" w:w="3402"/>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保种中心</w:t>
            </w:r>
          </w:p>
        </w:tc>
        <w:tc>
          <w:tcPr>
            <w:tcW w:type="dxa" w:w="3118"/>
          </w:tcPr>
          <w:p>
            <w:pPr>
              <w:spacing w:lineRule="exact" w:line="600"/>
              <w:jc w:val="center"/>
            </w:pPr>
            <w:r/>
            <w:r>
              <w:rPr>
                <w:rFonts w:ascii="仿宋_GB2312" w:hAnsi="仿宋_GB2312" w:eastAsia="仿宋_GB2312"/>
                <w:b w:val="0"/>
                <w:color w:val="000000"/>
                <w:sz w:val="32"/>
              </w:rPr>
              <w:t>4.5亿元（虎运）</w:t>
            </w:r>
          </w:p>
        </w:tc>
        <w:tc>
          <w:tcPr>
            <w:tcW w:type="dxa" w:w="3402"/>
          </w:tcPr>
          <w:p>
            <w:pPr>
              <w:spacing w:lineRule="exact" w:line="600"/>
              <w:jc w:val="center"/>
            </w:pPr>
            <w:r/>
            <w:r>
              <w:rPr>
                <w:rFonts w:ascii="仿宋_GB2312" w:hAnsi="仿宋_GB2312" w:eastAsia="仿宋_GB2312"/>
                <w:b w:val="0"/>
                <w:color w:val="000000"/>
                <w:sz w:val="32"/>
              </w:rPr>
              <w:t>固贷/专项债</w:t>
            </w:r>
          </w:p>
        </w:tc>
      </w:tr>
      <w:tr>
        <w:tc>
          <w:tcPr>
            <w:tcW w:type="dxa" w:w="2551"/>
          </w:tcPr>
          <w:p>
            <w:pPr>
              <w:spacing w:lineRule="exact" w:line="600"/>
              <w:jc w:val="center"/>
            </w:pPr>
            <w:r/>
            <w:r>
              <w:rPr>
                <w:rFonts w:ascii="仿宋_GB2312" w:hAnsi="仿宋_GB2312" w:eastAsia="仿宋_GB2312"/>
                <w:b w:val="0"/>
                <w:color w:val="000000"/>
                <w:sz w:val="32"/>
              </w:rPr>
              <w:t>坚果/冻干线</w:t>
            </w:r>
          </w:p>
        </w:tc>
        <w:tc>
          <w:tcPr>
            <w:tcW w:type="dxa" w:w="3118"/>
          </w:tcPr>
          <w:p>
            <w:pPr>
              <w:spacing w:lineRule="exact" w:line="600"/>
              <w:jc w:val="center"/>
            </w:pPr>
            <w:r/>
            <w:r>
              <w:rPr>
                <w:rFonts w:ascii="仿宋_GB2312" w:hAnsi="仿宋_GB2312" w:eastAsia="仿宋_GB2312"/>
                <w:b w:val="0"/>
                <w:color w:val="000000"/>
                <w:sz w:val="32"/>
              </w:rPr>
              <w:t>2亿/1.5亿</w:t>
            </w:r>
          </w:p>
        </w:tc>
        <w:tc>
          <w:tcPr>
            <w:tcW w:type="dxa" w:w="3402"/>
          </w:tcPr>
          <w:p>
            <w:pPr>
              <w:spacing w:lineRule="exact" w:line="600"/>
              <w:jc w:val="center"/>
            </w:pPr>
            <w:r/>
            <w:r>
              <w:rPr>
                <w:rFonts w:ascii="仿宋_GB2312" w:hAnsi="仿宋_GB2312" w:eastAsia="仿宋_GB2312"/>
                <w:b w:val="0"/>
                <w:color w:val="000000"/>
                <w:sz w:val="32"/>
              </w:rPr>
              <w:t>技改贷款</w:t>
            </w:r>
          </w:p>
        </w:tc>
      </w:tr>
      <w:tr>
        <w:tc>
          <w:tcPr>
            <w:tcW w:type="dxa" w:w="2551"/>
          </w:tcPr>
          <w:p>
            <w:pPr>
              <w:spacing w:lineRule="exact" w:line="600"/>
              <w:jc w:val="center"/>
            </w:pPr>
            <w:r/>
            <w:r>
              <w:rPr>
                <w:rFonts w:ascii="仿宋_GB2312" w:hAnsi="仿宋_GB2312" w:eastAsia="仿宋_GB2312"/>
                <w:b w:val="0"/>
                <w:color w:val="000000"/>
                <w:sz w:val="32"/>
              </w:rPr>
              <w:t>HPP设备</w:t>
            </w:r>
          </w:p>
        </w:tc>
        <w:tc>
          <w:tcPr>
            <w:tcW w:type="dxa" w:w="3118"/>
          </w:tcPr>
          <w:p>
            <w:pPr>
              <w:spacing w:lineRule="exact" w:line="600"/>
              <w:jc w:val="center"/>
            </w:pPr>
            <w:r/>
            <w:r>
              <w:rPr>
                <w:rFonts w:ascii="仿宋_GB2312" w:hAnsi="仿宋_GB2312" w:eastAsia="仿宋_GB2312"/>
                <w:b w:val="0"/>
                <w:color w:val="000000"/>
                <w:sz w:val="32"/>
              </w:rPr>
              <w:t>单台600MP级</w:t>
            </w:r>
          </w:p>
        </w:tc>
        <w:tc>
          <w:tcPr>
            <w:tcW w:type="dxa" w:w="3402"/>
          </w:tcPr>
          <w:p>
            <w:pPr>
              <w:spacing w:lineRule="exact" w:line="600"/>
              <w:jc w:val="center"/>
            </w:pPr>
            <w:r/>
            <w:r>
              <w:rPr>
                <w:rFonts w:ascii="仿宋_GB2312" w:hAnsi="仿宋_GB2312" w:eastAsia="仿宋_GB2312"/>
                <w:b w:val="0"/>
                <w:color w:val="000000"/>
                <w:sz w:val="32"/>
              </w:rPr>
              <w:t>设备更新贷</w:t>
            </w:r>
          </w:p>
        </w:tc>
      </w:tr>
      <w:tr>
        <w:tc>
          <w:tcPr>
            <w:tcW w:type="dxa" w:w="2551"/>
          </w:tcPr>
          <w:p>
            <w:pPr>
              <w:spacing w:lineRule="exact" w:line="600"/>
              <w:jc w:val="center"/>
            </w:pPr>
            <w:r/>
            <w:r>
              <w:rPr>
                <w:rFonts w:ascii="仿宋_GB2312" w:hAnsi="仿宋_GB2312" w:eastAsia="仿宋_GB2312"/>
                <w:b w:val="0"/>
                <w:color w:val="000000"/>
                <w:sz w:val="32"/>
              </w:rPr>
              <w:t>冷链/流贷</w:t>
            </w:r>
          </w:p>
        </w:tc>
        <w:tc>
          <w:tcPr>
            <w:tcW w:type="dxa" w:w="3118"/>
          </w:tcPr>
          <w:p>
            <w:pPr>
              <w:spacing w:lineRule="exact" w:line="600"/>
              <w:jc w:val="center"/>
            </w:pPr>
            <w:r/>
            <w:r>
              <w:rPr>
                <w:rFonts w:ascii="仿宋_GB2312" w:hAnsi="仿宋_GB2312" w:eastAsia="仿宋_GB2312"/>
                <w:b w:val="0"/>
                <w:color w:val="000000"/>
                <w:sz w:val="32"/>
              </w:rPr>
              <w:t>中小微</w:t>
            </w:r>
          </w:p>
        </w:tc>
        <w:tc>
          <w:tcPr>
            <w:tcW w:type="dxa" w:w="3402"/>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佳美食品工业有限公司：农业农村部国家级农业产业化重点龙头企业（2024年牡丹区零突破），亚洲生产规模最大、品项最全的果蔬汁生产加工企业；引进HPP超高压灭菌技术（6000大气压），年产浓缩果蔬汁和鲜榨果汁4万吨，为娃哈哈、汇源、统一、瑞幸、喜茶等供应原料；2024年营收9.06亿元（政府口径）至突破10亿元，出口创汇3200万美元、销往30多国；22次增资累计超2亿美元，签约20万亩标准化农产品基地、带动10余万户增收。来源：牡丹区政府官网、网易、牡丹区发布，2024。</w:t>
      </w:r>
    </w:p>
    <w:p>
      <w:pPr>
        <w:spacing w:lineRule="exact" w:line="600" w:before="0" w:after="0"/>
        <w:ind w:firstLine="420"/>
        <w:jc w:val="both"/>
      </w:pPr>
      <w:r>
        <w:rPr>
          <w:rFonts w:ascii="仿宋_GB2312" w:hAnsi="仿宋_GB2312" w:eastAsia="仿宋_GB2312"/>
          <w:b w:val="0"/>
          <w:color w:val="000000"/>
          <w:sz w:val="32"/>
        </w:rPr>
        <w:t>山东沙土食品工业有限公司：1988年创立的沙土镇本土炒货龙头，「沙土」为中国驰名商标；年生产瓜子、花生、坚果等1.5万吨，湿瓜子、南瓜子全国销量第一；230亩厂区、5个分厂、12条流水线，葵瓜子1万吨、黑瓜子1万吨、花生2万吨；2024年营收3.1亿元，1—10月营收2.3亿元、税收1300万元（同比+15%）；固定资产9530万元、资产负债率8.2%。来源：牡丹区政府官网、沙土食品报道、百度百科，2024。</w:t>
      </w:r>
    </w:p>
    <w:p>
      <w:pPr>
        <w:spacing w:lineRule="exact" w:line="600" w:before="0" w:after="0"/>
        <w:ind w:firstLine="420"/>
        <w:jc w:val="both"/>
      </w:pPr>
      <w:r>
        <w:rPr>
          <w:rFonts w:ascii="仿宋_GB2312" w:hAnsi="仿宋_GB2312" w:eastAsia="仿宋_GB2312"/>
          <w:b w:val="0"/>
          <w:color w:val="000000"/>
          <w:sz w:val="32"/>
        </w:rPr>
        <w:t>菏泽盛鑫源食品有限公司：牡丹区食品集群骨干，主营脱水蔬菜与预制菜，与米村拌饭、海底捞等头部餐饮连锁建立长期合作关系，是沙土休闲食品特色产业园肉制品与预制菜环节的重要配套企业。来源：牡丹区政府官网、沙土镇报道，2024。</w:t>
      </w:r>
    </w:p>
    <w:p>
      <w:pPr>
        <w:spacing w:lineRule="exact" w:line="600" w:before="0" w:after="0"/>
        <w:jc w:val="left"/>
      </w:pPr>
      <w:r>
        <w:rPr>
          <w:rFonts w:ascii="仿宋_GB2312" w:hAnsi="仿宋_GB2312" w:eastAsia="仿宋_GB2312"/>
          <w:b w:val="0"/>
          <w:color w:val="000000"/>
          <w:sz w:val="28"/>
        </w:rPr>
        <w:t>主要数据来源：牡丹区人民政府官网《关于推进沙土镇工业园区基础设施建设的建议的答复》（沙土休闲食品园、佳美、沙土、虎运数据），2024；菏泽广电《牡丹区：小镇干出70亿大产业》（沙土镇食品集群70亿、佳美HPP），2024；牡丹区发布/今日头条《沙土镇：「土特产」锻造成高质量发展的「金钥匙」》（企业数量、税收），2024；网易《菏泽沃土育佳美》（佳美营收、基地、出口），2024；沙土镇项目综述（新润林、鲜之源、虎运投资），2024；百度百科 山东沙土食品工业有限公司（产能、税收、资产），2024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