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山东菏泽牡丹区（绿色休闲食品）特色产业集群</w:t>
      </w:r>
    </w:p>
    <w:p>
      <w:pPr>
        <w:spacing w:lineRule="exact" w:line="600" w:before="240" w:after="240"/>
        <w:ind w:firstLine="0"/>
        <w:jc w:val="center"/>
      </w:pPr>
      <w:r>
        <w:rPr>
          <w:rFonts w:ascii="方正小标宋简体" w:hAnsi="方正小标宋简体" w:eastAsia="方正小标宋简体"/>
          <w:b w:val="0"/>
          <w:color w:val="000000"/>
          <w:sz w:val="44"/>
        </w:rPr>
        <w:t>膨化烘焙与果蔬休闲食品行业深度分析报告</w:t>
      </w:r>
    </w:p>
    <w:p>
      <w:pPr>
        <w:spacing w:lineRule="exact" w:line="600" w:before="0" w:after="0"/>
        <w:jc w:val="left"/>
      </w:pPr>
      <w:r>
        <w:rPr>
          <w:rFonts w:ascii="仿宋_GB2312" w:hAnsi="仿宋_GB2312" w:eastAsia="仿宋_GB2312"/>
          <w:b w:val="0"/>
          <w:color w:val="000000"/>
          <w:sz w:val="28"/>
        </w:rPr>
        <w:t>本报告聚焦膨化烘焙、坚果炒货与果蔬汁等休闲食品环节，数据来源于牡丹区政府官网、菏泽广电、沙土食品与佳美食品公开报道。数据截至2024年，部分细分领域公开统计有限，已标注共性研判。</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膨化烘焙与果蔬休闲食品是沙土休闲食品特色产业园的核心品类，以果蔬汁、坚果炒货、烘焙膨化为主。佳美食品为亚洲最大浓缩果蔬汁供应商，年产浓缩与鲜榨果汁4万吨，2024年营收9.06亿—10亿元，采用6000大气压HPP超高压冷灭菌技术，为瑞幸、喜茶、娃哈哈等头部品牌供货，出口30多国、创汇3200万美元；沙土食品「沙土瓜子」为中国驰名商标，湿瓜子、南瓜子全国销量第一，2024年营收3.1亿元，新开发每日坚果、预制汤品提升附加值。全镇食品加工产值突破70亿元，产品涵盖四大门类600余品种，远销欧美日韩10余国，绿色化、品牌化、高附加值化趋势显著。</w:t>
      </w:r>
    </w:p>
    <w:p>
      <w:pPr>
        <w:spacing w:lineRule="exact" w:line="600" w:before="120" w:after="120"/>
        <w:ind w:firstLine="420"/>
        <w:jc w:val="left"/>
      </w:pPr>
      <w:r>
        <w:rPr>
          <w:rFonts w:ascii="楷体_GB2312" w:hAnsi="楷体_GB2312" w:eastAsia="楷体_GB2312"/>
          <w:b w:val="0"/>
          <w:color w:val="000000"/>
          <w:sz w:val="32"/>
        </w:rPr>
        <w:t>（行业主要指标）</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2835"/>
          </w:tcPr>
          <w:p>
            <w:pPr>
              <w:spacing w:lineRule="exact" w:line="600"/>
              <w:jc w:val="center"/>
            </w:pPr>
            <w:r/>
            <w:r>
              <w:rPr>
                <w:rFonts w:ascii="黑体" w:hAnsi="黑体" w:eastAsia="黑体"/>
                <w:b/>
                <w:color w:val="000000"/>
                <w:sz w:val="32"/>
              </w:rPr>
              <w:t>数值</w:t>
            </w:r>
          </w:p>
        </w:tc>
        <w:tc>
          <w:tcPr>
            <w:tcW w:type="dxa" w:w="3118"/>
          </w:tcPr>
          <w:p>
            <w:pPr>
              <w:spacing w:lineRule="exact" w:line="600"/>
              <w:jc w:val="center"/>
            </w:pPr>
            <w:r/>
            <w:r>
              <w:rPr>
                <w:rFonts w:ascii="黑体" w:hAnsi="黑体" w:eastAsia="黑体"/>
                <w:b/>
                <w:color w:val="000000"/>
                <w:sz w:val="32"/>
              </w:rPr>
              <w:t>来源/年份</w:t>
            </w:r>
          </w:p>
        </w:tc>
      </w:tr>
      <w:tr>
        <w:tc>
          <w:tcPr>
            <w:tcW w:type="dxa" w:w="2835"/>
          </w:tcPr>
          <w:p>
            <w:pPr>
              <w:spacing w:lineRule="exact" w:line="600"/>
              <w:jc w:val="center"/>
            </w:pPr>
            <w:r/>
            <w:r>
              <w:rPr>
                <w:rFonts w:ascii="仿宋_GB2312" w:hAnsi="仿宋_GB2312" w:eastAsia="仿宋_GB2312"/>
                <w:b w:val="0"/>
                <w:color w:val="000000"/>
                <w:sz w:val="32"/>
              </w:rPr>
              <w:t>佳美2024营收</w:t>
            </w:r>
          </w:p>
        </w:tc>
        <w:tc>
          <w:tcPr>
            <w:tcW w:type="dxa" w:w="2835"/>
          </w:tcPr>
          <w:p>
            <w:pPr>
              <w:spacing w:lineRule="exact" w:line="600"/>
              <w:jc w:val="center"/>
            </w:pPr>
            <w:r/>
            <w:r>
              <w:rPr>
                <w:rFonts w:ascii="仿宋_GB2312" w:hAnsi="仿宋_GB2312" w:eastAsia="仿宋_GB2312"/>
                <w:b w:val="0"/>
                <w:color w:val="000000"/>
                <w:sz w:val="32"/>
              </w:rPr>
              <w:t>9.06—10亿元</w:t>
            </w:r>
          </w:p>
        </w:tc>
        <w:tc>
          <w:tcPr>
            <w:tcW w:type="dxa" w:w="3118"/>
          </w:tcPr>
          <w:p>
            <w:pPr>
              <w:spacing w:lineRule="exact" w:line="600"/>
              <w:jc w:val="center"/>
            </w:pPr>
            <w:r/>
            <w:r>
              <w:rPr>
                <w:rFonts w:ascii="仿宋_GB2312" w:hAnsi="仿宋_GB2312" w:eastAsia="仿宋_GB2312"/>
                <w:b w:val="0"/>
                <w:color w:val="000000"/>
                <w:sz w:val="32"/>
              </w:rPr>
              <w:t>牡丹区政府/网易，2024</w:t>
            </w:r>
          </w:p>
        </w:tc>
      </w:tr>
      <w:tr>
        <w:tc>
          <w:tcPr>
            <w:tcW w:type="dxa" w:w="2835"/>
          </w:tcPr>
          <w:p>
            <w:pPr>
              <w:spacing w:lineRule="exact" w:line="600"/>
              <w:jc w:val="center"/>
            </w:pPr>
            <w:r/>
            <w:r>
              <w:rPr>
                <w:rFonts w:ascii="仿宋_GB2312" w:hAnsi="仿宋_GB2312" w:eastAsia="仿宋_GB2312"/>
                <w:b w:val="0"/>
                <w:color w:val="000000"/>
                <w:sz w:val="32"/>
              </w:rPr>
              <w:t>佳美出口创汇</w:t>
            </w:r>
          </w:p>
        </w:tc>
        <w:tc>
          <w:tcPr>
            <w:tcW w:type="dxa" w:w="2835"/>
          </w:tcPr>
          <w:p>
            <w:pPr>
              <w:spacing w:lineRule="exact" w:line="600"/>
              <w:jc w:val="center"/>
            </w:pPr>
            <w:r/>
            <w:r>
              <w:rPr>
                <w:rFonts w:ascii="仿宋_GB2312" w:hAnsi="仿宋_GB2312" w:eastAsia="仿宋_GB2312"/>
                <w:b w:val="0"/>
                <w:color w:val="000000"/>
                <w:sz w:val="32"/>
              </w:rPr>
              <w:t>3200万美元</w:t>
            </w:r>
          </w:p>
        </w:tc>
        <w:tc>
          <w:tcPr>
            <w:tcW w:type="dxa" w:w="3118"/>
          </w:tcPr>
          <w:p>
            <w:pPr>
              <w:spacing w:lineRule="exact" w:line="600"/>
              <w:jc w:val="center"/>
            </w:pPr>
            <w:r/>
            <w:r>
              <w:rPr>
                <w:rFonts w:ascii="仿宋_GB2312" w:hAnsi="仿宋_GB2312" w:eastAsia="仿宋_GB2312"/>
                <w:b w:val="0"/>
                <w:color w:val="000000"/>
                <w:sz w:val="32"/>
              </w:rPr>
              <w:t>网易，2024</w:t>
            </w:r>
          </w:p>
        </w:tc>
      </w:tr>
      <w:tr>
        <w:tc>
          <w:tcPr>
            <w:tcW w:type="dxa" w:w="2835"/>
          </w:tcPr>
          <w:p>
            <w:pPr>
              <w:spacing w:lineRule="exact" w:line="600"/>
              <w:jc w:val="center"/>
            </w:pPr>
            <w:r/>
            <w:r>
              <w:rPr>
                <w:rFonts w:ascii="仿宋_GB2312" w:hAnsi="仿宋_GB2312" w:eastAsia="仿宋_GB2312"/>
                <w:b w:val="0"/>
                <w:color w:val="000000"/>
                <w:sz w:val="32"/>
              </w:rPr>
              <w:t>佳美产能</w:t>
            </w:r>
          </w:p>
        </w:tc>
        <w:tc>
          <w:tcPr>
            <w:tcW w:type="dxa" w:w="2835"/>
          </w:tcPr>
          <w:p>
            <w:pPr>
              <w:spacing w:lineRule="exact" w:line="600"/>
              <w:jc w:val="center"/>
            </w:pPr>
            <w:r/>
            <w:r>
              <w:rPr>
                <w:rFonts w:ascii="仿宋_GB2312" w:hAnsi="仿宋_GB2312" w:eastAsia="仿宋_GB2312"/>
                <w:b w:val="0"/>
                <w:color w:val="000000"/>
                <w:sz w:val="32"/>
              </w:rPr>
              <w:t>10万吨（鲜榨4万吨）</w:t>
            </w:r>
          </w:p>
        </w:tc>
        <w:tc>
          <w:tcPr>
            <w:tcW w:type="dxa" w:w="3118"/>
          </w:tcPr>
          <w:p>
            <w:pPr>
              <w:spacing w:lineRule="exact" w:line="600"/>
              <w:jc w:val="center"/>
            </w:pPr>
            <w:r/>
            <w:r>
              <w:rPr>
                <w:rFonts w:ascii="仿宋_GB2312" w:hAnsi="仿宋_GB2312" w:eastAsia="仿宋_GB2312"/>
                <w:b w:val="0"/>
                <w:color w:val="000000"/>
                <w:sz w:val="32"/>
              </w:rPr>
              <w:t>沙土镇综述，2024</w:t>
            </w:r>
          </w:p>
        </w:tc>
      </w:tr>
      <w:tr>
        <w:tc>
          <w:tcPr>
            <w:tcW w:type="dxa" w:w="2835"/>
          </w:tcPr>
          <w:p>
            <w:pPr>
              <w:spacing w:lineRule="exact" w:line="600"/>
              <w:jc w:val="center"/>
            </w:pPr>
            <w:r/>
            <w:r>
              <w:rPr>
                <w:rFonts w:ascii="仿宋_GB2312" w:hAnsi="仿宋_GB2312" w:eastAsia="仿宋_GB2312"/>
                <w:b w:val="0"/>
                <w:color w:val="000000"/>
                <w:sz w:val="32"/>
              </w:rPr>
              <w:t>沙土2024营收</w:t>
            </w:r>
          </w:p>
        </w:tc>
        <w:tc>
          <w:tcPr>
            <w:tcW w:type="dxa" w:w="2835"/>
          </w:tcPr>
          <w:p>
            <w:pPr>
              <w:spacing w:lineRule="exact" w:line="600"/>
              <w:jc w:val="center"/>
            </w:pPr>
            <w:r/>
            <w:r>
              <w:rPr>
                <w:rFonts w:ascii="仿宋_GB2312" w:hAnsi="仿宋_GB2312" w:eastAsia="仿宋_GB2312"/>
                <w:b w:val="0"/>
                <w:color w:val="000000"/>
                <w:sz w:val="32"/>
              </w:rPr>
              <w:t>3.1亿元</w:t>
            </w:r>
          </w:p>
        </w:tc>
        <w:tc>
          <w:tcPr>
            <w:tcW w:type="dxa" w:w="3118"/>
          </w:tcPr>
          <w:p>
            <w:pPr>
              <w:spacing w:lineRule="exact" w:line="600"/>
              <w:jc w:val="center"/>
            </w:pPr>
            <w:r/>
            <w:r>
              <w:rPr>
                <w:rFonts w:ascii="仿宋_GB2312" w:hAnsi="仿宋_GB2312" w:eastAsia="仿宋_GB2312"/>
                <w:b w:val="0"/>
                <w:color w:val="000000"/>
                <w:sz w:val="32"/>
              </w:rPr>
              <w:t>牡丹区政府，2024</w:t>
            </w:r>
          </w:p>
        </w:tc>
      </w:tr>
      <w:tr>
        <w:tc>
          <w:tcPr>
            <w:tcW w:type="dxa" w:w="2835"/>
          </w:tcPr>
          <w:p>
            <w:pPr>
              <w:spacing w:lineRule="exact" w:line="600"/>
              <w:jc w:val="center"/>
            </w:pPr>
            <w:r/>
            <w:r>
              <w:rPr>
                <w:rFonts w:ascii="仿宋_GB2312" w:hAnsi="仿宋_GB2312" w:eastAsia="仿宋_GB2312"/>
                <w:b w:val="0"/>
                <w:color w:val="000000"/>
                <w:sz w:val="32"/>
              </w:rPr>
              <w:t>沙土瓜子销量</w:t>
            </w:r>
          </w:p>
        </w:tc>
        <w:tc>
          <w:tcPr>
            <w:tcW w:type="dxa" w:w="2835"/>
          </w:tcPr>
          <w:p>
            <w:pPr>
              <w:spacing w:lineRule="exact" w:line="600"/>
              <w:jc w:val="center"/>
            </w:pPr>
            <w:r/>
            <w:r>
              <w:rPr>
                <w:rFonts w:ascii="仿宋_GB2312" w:hAnsi="仿宋_GB2312" w:eastAsia="仿宋_GB2312"/>
                <w:b w:val="0"/>
                <w:color w:val="000000"/>
                <w:sz w:val="32"/>
              </w:rPr>
              <w:t>湿瓜子/南瓜子全国第一</w:t>
            </w:r>
          </w:p>
        </w:tc>
        <w:tc>
          <w:tcPr>
            <w:tcW w:type="dxa" w:w="3118"/>
          </w:tcPr>
          <w:p>
            <w:pPr>
              <w:spacing w:lineRule="exact" w:line="600"/>
              <w:jc w:val="center"/>
            </w:pPr>
            <w:r/>
            <w:r>
              <w:rPr>
                <w:rFonts w:ascii="仿宋_GB2312" w:hAnsi="仿宋_GB2312" w:eastAsia="仿宋_GB2312"/>
                <w:b w:val="0"/>
                <w:color w:val="000000"/>
                <w:sz w:val="32"/>
              </w:rPr>
              <w:t>沙土食品报道</w:t>
            </w:r>
          </w:p>
        </w:tc>
      </w:tr>
      <w:tr>
        <w:tc>
          <w:tcPr>
            <w:tcW w:type="dxa" w:w="2835"/>
          </w:tcPr>
          <w:p>
            <w:pPr>
              <w:spacing w:lineRule="exact" w:line="600"/>
              <w:jc w:val="center"/>
            </w:pPr>
            <w:r/>
            <w:r>
              <w:rPr>
                <w:rFonts w:ascii="仿宋_GB2312" w:hAnsi="仿宋_GB2312" w:eastAsia="仿宋_GB2312"/>
                <w:b w:val="0"/>
                <w:color w:val="000000"/>
                <w:sz w:val="32"/>
              </w:rPr>
              <w:t>全镇食品产值</w:t>
            </w:r>
          </w:p>
        </w:tc>
        <w:tc>
          <w:tcPr>
            <w:tcW w:type="dxa" w:w="2835"/>
          </w:tcPr>
          <w:p>
            <w:pPr>
              <w:spacing w:lineRule="exact" w:line="600"/>
              <w:jc w:val="center"/>
            </w:pPr>
            <w:r/>
            <w:r>
              <w:rPr>
                <w:rFonts w:ascii="仿宋_GB2312" w:hAnsi="仿宋_GB2312" w:eastAsia="仿宋_GB2312"/>
                <w:b w:val="0"/>
                <w:color w:val="000000"/>
                <w:sz w:val="32"/>
              </w:rPr>
              <w:t>突破70亿元</w:t>
            </w:r>
          </w:p>
        </w:tc>
        <w:tc>
          <w:tcPr>
            <w:tcW w:type="dxa" w:w="3118"/>
          </w:tcPr>
          <w:p>
            <w:pPr>
              <w:spacing w:lineRule="exact" w:line="600"/>
              <w:jc w:val="center"/>
            </w:pPr>
            <w:r/>
            <w:r>
              <w:rPr>
                <w:rFonts w:ascii="仿宋_GB2312" w:hAnsi="仿宋_GB2312" w:eastAsia="仿宋_GB2312"/>
                <w:b w:val="0"/>
                <w:color w:val="000000"/>
                <w:sz w:val="32"/>
              </w:rPr>
              <w:t>菏泽广电，2024</w:t>
            </w:r>
          </w:p>
        </w:tc>
      </w:tr>
      <w:tr>
        <w:tc>
          <w:tcPr>
            <w:tcW w:type="dxa" w:w="2835"/>
          </w:tcPr>
          <w:p>
            <w:pPr>
              <w:spacing w:lineRule="exact" w:line="600"/>
              <w:jc w:val="center"/>
            </w:pPr>
            <w:r/>
            <w:r>
              <w:rPr>
                <w:rFonts w:ascii="仿宋_GB2312" w:hAnsi="仿宋_GB2312" w:eastAsia="仿宋_GB2312"/>
                <w:b w:val="0"/>
                <w:color w:val="000000"/>
                <w:sz w:val="32"/>
              </w:rPr>
              <w:t>果蔬种植</w:t>
            </w:r>
          </w:p>
        </w:tc>
        <w:tc>
          <w:tcPr>
            <w:tcW w:type="dxa" w:w="2835"/>
          </w:tcPr>
          <w:p>
            <w:pPr>
              <w:spacing w:lineRule="exact" w:line="600"/>
              <w:jc w:val="center"/>
            </w:pPr>
            <w:r/>
            <w:r>
              <w:rPr>
                <w:rFonts w:ascii="仿宋_GB2312" w:hAnsi="仿宋_GB2312" w:eastAsia="仿宋_GB2312"/>
                <w:b w:val="0"/>
                <w:color w:val="000000"/>
                <w:sz w:val="32"/>
              </w:rPr>
              <w:t>超10万亩</w:t>
            </w:r>
          </w:p>
        </w:tc>
        <w:tc>
          <w:tcPr>
            <w:tcW w:type="dxa" w:w="3118"/>
          </w:tcPr>
          <w:p>
            <w:pPr>
              <w:spacing w:lineRule="exact" w:line="600"/>
              <w:jc w:val="center"/>
            </w:pPr>
            <w:r/>
            <w:r>
              <w:rPr>
                <w:rFonts w:ascii="仿宋_GB2312" w:hAnsi="仿宋_GB2312" w:eastAsia="仿宋_GB2312"/>
                <w:b w:val="0"/>
                <w:color w:val="000000"/>
                <w:sz w:val="32"/>
              </w:rPr>
              <w:t>菏泽广电，2024</w:t>
            </w:r>
          </w:p>
        </w:tc>
      </w:tr>
    </w:tbl>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120" w:after="120"/>
        <w:ind w:firstLine="420"/>
        <w:jc w:val="left"/>
      </w:pPr>
      <w:r>
        <w:rPr>
          <w:rFonts w:ascii="楷体_GB2312" w:hAnsi="楷体_GB2312" w:eastAsia="楷体_GB2312"/>
          <w:b w:val="0"/>
          <w:color w:val="000000"/>
          <w:sz w:val="32"/>
        </w:rPr>
        <w:t>（一）政策与消费导向</w:t>
      </w:r>
    </w:p>
    <w:p>
      <w:pPr>
        <w:spacing w:lineRule="exact" w:line="600" w:before="0" w:after="0"/>
        <w:ind w:firstLine="420"/>
        <w:jc w:val="both"/>
      </w:pPr>
      <w:r>
        <w:rPr>
          <w:rFonts w:ascii="仿宋_GB2312" w:hAnsi="仿宋_GB2312" w:eastAsia="仿宋_GB2312"/>
          <w:b w:val="0"/>
          <w:color w:val="000000"/>
          <w:sz w:val="32"/>
        </w:rPr>
        <w:t>国家推动农产品精深加工与绿色食品发展，鼓励休闲食品功能化、健康化。牡丹区着力培育绿色低碳、智能高效的现代化食品产业园，打造一批休闲食品加工农业龙头企业（来源：牡丹区发布、农业农村部，2024）。</w:t>
      </w:r>
    </w:p>
    <w:p>
      <w:pPr>
        <w:spacing w:lineRule="exact" w:line="600" w:before="120" w:after="120"/>
        <w:ind w:firstLine="420"/>
        <w:jc w:val="left"/>
      </w:pPr>
      <w:r>
        <w:rPr>
          <w:rFonts w:ascii="楷体_GB2312" w:hAnsi="楷体_GB2312" w:eastAsia="楷体_GB2312"/>
          <w:b w:val="0"/>
          <w:color w:val="000000"/>
          <w:sz w:val="32"/>
        </w:rPr>
        <w:t>（二）区域产业定位</w:t>
      </w:r>
    </w:p>
    <w:p>
      <w:pPr>
        <w:spacing w:lineRule="exact" w:line="600" w:before="0" w:after="0"/>
        <w:ind w:firstLine="420"/>
        <w:jc w:val="both"/>
      </w:pPr>
      <w:r>
        <w:rPr>
          <w:rFonts w:ascii="仿宋_GB2312" w:hAnsi="仿宋_GB2312" w:eastAsia="仿宋_GB2312"/>
          <w:b w:val="0"/>
          <w:color w:val="000000"/>
          <w:sz w:val="32"/>
        </w:rPr>
        <w:t>沙土休闲食品特色产业园以农副产品精深加工为核心，重点布局休闲食品、功能食品、预制菜、宠物食品，全力打造国家绿色食品产业集群；园区位于菏泽城东25公里，327国道、新兖石铁路穿境，紧邻牡丹机场与高铁站（来源：牡丹区政府官网，2024）。</w:t>
      </w:r>
    </w:p>
    <w:p>
      <w:pPr>
        <w:spacing w:lineRule="exact" w:line="600" w:before="120" w:after="120"/>
        <w:ind w:firstLine="420"/>
        <w:jc w:val="left"/>
      </w:pPr>
      <w:r>
        <w:rPr>
          <w:rFonts w:ascii="楷体_GB2312" w:hAnsi="楷体_GB2312" w:eastAsia="楷体_GB2312"/>
          <w:b w:val="0"/>
          <w:color w:val="000000"/>
          <w:sz w:val="32"/>
        </w:rPr>
        <w:t>（三）集群规模</w:t>
      </w:r>
    </w:p>
    <w:p>
      <w:pPr>
        <w:spacing w:lineRule="exact" w:line="600" w:before="0" w:after="0"/>
        <w:ind w:firstLine="420"/>
        <w:jc w:val="both"/>
      </w:pPr>
      <w:r>
        <w:rPr>
          <w:rFonts w:ascii="仿宋_GB2312" w:hAnsi="仿宋_GB2312" w:eastAsia="仿宋_GB2312"/>
          <w:b w:val="0"/>
          <w:color w:val="000000"/>
          <w:sz w:val="32"/>
        </w:rPr>
        <w:t>园区集聚40余家食品及配套企业，省级农业龙头3家、高企5家、进出口权企业9家；全镇食品加工企业100余家，2024年产值突破70亿元、税收2.1亿元（来源：牡丹区政府、牡丹区发布，2024）。</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3118"/>
          </w:tcPr>
          <w:p>
            <w:pPr>
              <w:spacing w:lineRule="exact" w:line="600"/>
              <w:jc w:val="center"/>
            </w:pPr>
            <w:r/>
            <w:r>
              <w:rPr>
                <w:rFonts w:ascii="黑体" w:hAnsi="黑体" w:eastAsia="黑体"/>
                <w:b/>
                <w:color w:val="000000"/>
                <w:sz w:val="32"/>
              </w:rPr>
              <w:t>数值</w:t>
            </w:r>
          </w:p>
        </w:tc>
        <w:tc>
          <w:tcPr>
            <w:tcW w:type="dxa" w:w="3118"/>
          </w:tcPr>
          <w:p>
            <w:pPr>
              <w:spacing w:lineRule="exact" w:line="600"/>
              <w:jc w:val="center"/>
            </w:pPr>
            <w:r/>
            <w:r>
              <w:rPr>
                <w:rFonts w:ascii="黑体" w:hAnsi="黑体" w:eastAsia="黑体"/>
                <w:b/>
                <w:color w:val="000000"/>
                <w:sz w:val="32"/>
              </w:rPr>
              <w:t>来源/年份</w:t>
            </w:r>
          </w:p>
        </w:tc>
      </w:tr>
      <w:tr>
        <w:tc>
          <w:tcPr>
            <w:tcW w:type="dxa" w:w="2835"/>
          </w:tcPr>
          <w:p>
            <w:pPr>
              <w:spacing w:lineRule="exact" w:line="600"/>
              <w:jc w:val="center"/>
            </w:pPr>
            <w:r/>
            <w:r>
              <w:rPr>
                <w:rFonts w:ascii="仿宋_GB2312" w:hAnsi="仿宋_GB2312" w:eastAsia="仿宋_GB2312"/>
                <w:b w:val="0"/>
                <w:color w:val="000000"/>
                <w:sz w:val="32"/>
              </w:rPr>
              <w:t>园区食品及配套</w:t>
            </w:r>
          </w:p>
        </w:tc>
        <w:tc>
          <w:tcPr>
            <w:tcW w:type="dxa" w:w="3118"/>
          </w:tcPr>
          <w:p>
            <w:pPr>
              <w:spacing w:lineRule="exact" w:line="600"/>
              <w:jc w:val="center"/>
            </w:pPr>
            <w:r/>
            <w:r>
              <w:rPr>
                <w:rFonts w:ascii="仿宋_GB2312" w:hAnsi="仿宋_GB2312" w:eastAsia="仿宋_GB2312"/>
                <w:b w:val="0"/>
                <w:color w:val="000000"/>
                <w:sz w:val="32"/>
              </w:rPr>
              <w:t>40余家</w:t>
            </w:r>
          </w:p>
        </w:tc>
        <w:tc>
          <w:tcPr>
            <w:tcW w:type="dxa" w:w="3118"/>
          </w:tcPr>
          <w:p>
            <w:pPr>
              <w:spacing w:lineRule="exact" w:line="600"/>
              <w:jc w:val="center"/>
            </w:pPr>
            <w:r/>
            <w:r>
              <w:rPr>
                <w:rFonts w:ascii="仿宋_GB2312" w:hAnsi="仿宋_GB2312" w:eastAsia="仿宋_GB2312"/>
                <w:b w:val="0"/>
                <w:color w:val="000000"/>
                <w:sz w:val="32"/>
              </w:rPr>
              <w:t>牡丹区政府，2024</w:t>
            </w:r>
          </w:p>
        </w:tc>
      </w:tr>
      <w:tr>
        <w:tc>
          <w:tcPr>
            <w:tcW w:type="dxa" w:w="2835"/>
          </w:tcPr>
          <w:p>
            <w:pPr>
              <w:spacing w:lineRule="exact" w:line="600"/>
              <w:jc w:val="center"/>
            </w:pPr>
            <w:r/>
            <w:r>
              <w:rPr>
                <w:rFonts w:ascii="仿宋_GB2312" w:hAnsi="仿宋_GB2312" w:eastAsia="仿宋_GB2312"/>
                <w:b w:val="0"/>
                <w:color w:val="000000"/>
                <w:sz w:val="32"/>
              </w:rPr>
              <w:t>省级农业龙头</w:t>
            </w:r>
          </w:p>
        </w:tc>
        <w:tc>
          <w:tcPr>
            <w:tcW w:type="dxa" w:w="3118"/>
          </w:tcPr>
          <w:p>
            <w:pPr>
              <w:spacing w:lineRule="exact" w:line="600"/>
              <w:jc w:val="center"/>
            </w:pPr>
            <w:r/>
            <w:r>
              <w:rPr>
                <w:rFonts w:ascii="仿宋_GB2312" w:hAnsi="仿宋_GB2312" w:eastAsia="仿宋_GB2312"/>
                <w:b w:val="0"/>
                <w:color w:val="000000"/>
                <w:sz w:val="32"/>
              </w:rPr>
              <w:t>3家</w:t>
            </w:r>
          </w:p>
        </w:tc>
        <w:tc>
          <w:tcPr>
            <w:tcW w:type="dxa" w:w="3118"/>
          </w:tcPr>
          <w:p>
            <w:pPr>
              <w:spacing w:lineRule="exact" w:line="600"/>
              <w:jc w:val="center"/>
            </w:pPr>
            <w:r/>
            <w:r>
              <w:rPr>
                <w:rFonts w:ascii="仿宋_GB2312" w:hAnsi="仿宋_GB2312" w:eastAsia="仿宋_GB2312"/>
                <w:b w:val="0"/>
                <w:color w:val="000000"/>
                <w:sz w:val="32"/>
              </w:rPr>
              <w:t>牡丹区政府，2024</w:t>
            </w:r>
          </w:p>
        </w:tc>
      </w:tr>
      <w:tr>
        <w:tc>
          <w:tcPr>
            <w:tcW w:type="dxa" w:w="2835"/>
          </w:tcPr>
          <w:p>
            <w:pPr>
              <w:spacing w:lineRule="exact" w:line="600"/>
              <w:jc w:val="center"/>
            </w:pPr>
            <w:r/>
            <w:r>
              <w:rPr>
                <w:rFonts w:ascii="仿宋_GB2312" w:hAnsi="仿宋_GB2312" w:eastAsia="仿宋_GB2312"/>
                <w:b w:val="0"/>
                <w:color w:val="000000"/>
                <w:sz w:val="32"/>
              </w:rPr>
              <w:t>高新技术企业</w:t>
            </w:r>
          </w:p>
        </w:tc>
        <w:tc>
          <w:tcPr>
            <w:tcW w:type="dxa" w:w="3118"/>
          </w:tcPr>
          <w:p>
            <w:pPr>
              <w:spacing w:lineRule="exact" w:line="600"/>
              <w:jc w:val="center"/>
            </w:pPr>
            <w:r/>
            <w:r>
              <w:rPr>
                <w:rFonts w:ascii="仿宋_GB2312" w:hAnsi="仿宋_GB2312" w:eastAsia="仿宋_GB2312"/>
                <w:b w:val="0"/>
                <w:color w:val="000000"/>
                <w:sz w:val="32"/>
              </w:rPr>
              <w:t>5家</w:t>
            </w:r>
          </w:p>
        </w:tc>
        <w:tc>
          <w:tcPr>
            <w:tcW w:type="dxa" w:w="3118"/>
          </w:tcPr>
          <w:p>
            <w:pPr>
              <w:spacing w:lineRule="exact" w:line="600"/>
              <w:jc w:val="center"/>
            </w:pPr>
            <w:r/>
            <w:r>
              <w:rPr>
                <w:rFonts w:ascii="仿宋_GB2312" w:hAnsi="仿宋_GB2312" w:eastAsia="仿宋_GB2312"/>
                <w:b w:val="0"/>
                <w:color w:val="000000"/>
                <w:sz w:val="32"/>
              </w:rPr>
              <w:t>牡丹区政府，2024</w:t>
            </w:r>
          </w:p>
        </w:tc>
      </w:tr>
      <w:tr>
        <w:tc>
          <w:tcPr>
            <w:tcW w:type="dxa" w:w="2835"/>
          </w:tcPr>
          <w:p>
            <w:pPr>
              <w:spacing w:lineRule="exact" w:line="600"/>
              <w:jc w:val="center"/>
            </w:pPr>
            <w:r/>
            <w:r>
              <w:rPr>
                <w:rFonts w:ascii="仿宋_GB2312" w:hAnsi="仿宋_GB2312" w:eastAsia="仿宋_GB2312"/>
                <w:b w:val="0"/>
                <w:color w:val="000000"/>
                <w:sz w:val="32"/>
              </w:rPr>
              <w:t>全镇食品加工产值</w:t>
            </w:r>
          </w:p>
        </w:tc>
        <w:tc>
          <w:tcPr>
            <w:tcW w:type="dxa" w:w="3118"/>
          </w:tcPr>
          <w:p>
            <w:pPr>
              <w:spacing w:lineRule="exact" w:line="600"/>
              <w:jc w:val="center"/>
            </w:pPr>
            <w:r/>
            <w:r>
              <w:rPr>
                <w:rFonts w:ascii="仿宋_GB2312" w:hAnsi="仿宋_GB2312" w:eastAsia="仿宋_GB2312"/>
                <w:b w:val="0"/>
                <w:color w:val="000000"/>
                <w:sz w:val="32"/>
              </w:rPr>
              <w:t>突破70亿元</w:t>
            </w:r>
          </w:p>
        </w:tc>
        <w:tc>
          <w:tcPr>
            <w:tcW w:type="dxa" w:w="3118"/>
          </w:tcPr>
          <w:p>
            <w:pPr>
              <w:spacing w:lineRule="exact" w:line="600"/>
              <w:jc w:val="center"/>
            </w:pPr>
            <w:r/>
            <w:r>
              <w:rPr>
                <w:rFonts w:ascii="仿宋_GB2312" w:hAnsi="仿宋_GB2312" w:eastAsia="仿宋_GB2312"/>
                <w:b w:val="0"/>
                <w:color w:val="000000"/>
                <w:sz w:val="32"/>
              </w:rPr>
              <w:t>菏泽广电，2024</w:t>
            </w:r>
          </w:p>
        </w:tc>
      </w:tr>
      <w:tr>
        <w:tc>
          <w:tcPr>
            <w:tcW w:type="dxa" w:w="2835"/>
          </w:tcPr>
          <w:p>
            <w:pPr>
              <w:spacing w:lineRule="exact" w:line="600"/>
              <w:jc w:val="center"/>
            </w:pPr>
            <w:r/>
            <w:r>
              <w:rPr>
                <w:rFonts w:ascii="仿宋_GB2312" w:hAnsi="仿宋_GB2312" w:eastAsia="仿宋_GB2312"/>
                <w:b w:val="0"/>
                <w:color w:val="000000"/>
                <w:sz w:val="32"/>
              </w:rPr>
              <w:t>全镇税收</w:t>
            </w:r>
          </w:p>
        </w:tc>
        <w:tc>
          <w:tcPr>
            <w:tcW w:type="dxa" w:w="3118"/>
          </w:tcPr>
          <w:p>
            <w:pPr>
              <w:spacing w:lineRule="exact" w:line="600"/>
              <w:jc w:val="center"/>
            </w:pPr>
            <w:r/>
            <w:r>
              <w:rPr>
                <w:rFonts w:ascii="仿宋_GB2312" w:hAnsi="仿宋_GB2312" w:eastAsia="仿宋_GB2312"/>
                <w:b w:val="0"/>
                <w:color w:val="000000"/>
                <w:sz w:val="32"/>
              </w:rPr>
              <w:t>2.1亿元</w:t>
            </w:r>
          </w:p>
        </w:tc>
        <w:tc>
          <w:tcPr>
            <w:tcW w:type="dxa" w:w="3118"/>
          </w:tcPr>
          <w:p>
            <w:pPr>
              <w:spacing w:lineRule="exact" w:line="600"/>
              <w:jc w:val="center"/>
            </w:pPr>
            <w:r/>
            <w:r>
              <w:rPr>
                <w:rFonts w:ascii="仿宋_GB2312" w:hAnsi="仿宋_GB2312" w:eastAsia="仿宋_GB2312"/>
                <w:b w:val="0"/>
                <w:color w:val="000000"/>
                <w:sz w:val="32"/>
              </w:rPr>
              <w:t>牡丹区发布，2024</w:t>
            </w:r>
          </w:p>
        </w:tc>
      </w:tr>
      <w:tr>
        <w:tc>
          <w:tcPr>
            <w:tcW w:type="dxa" w:w="2835"/>
          </w:tcPr>
          <w:p>
            <w:pPr>
              <w:spacing w:lineRule="exact" w:line="600"/>
              <w:jc w:val="center"/>
            </w:pPr>
            <w:r/>
            <w:r>
              <w:rPr>
                <w:rFonts w:ascii="仿宋_GB2312" w:hAnsi="仿宋_GB2312" w:eastAsia="仿宋_GB2312"/>
                <w:b w:val="0"/>
                <w:color w:val="000000"/>
                <w:sz w:val="32"/>
              </w:rPr>
              <w:t>产品品类</w:t>
            </w:r>
          </w:p>
        </w:tc>
        <w:tc>
          <w:tcPr>
            <w:tcW w:type="dxa" w:w="3118"/>
          </w:tcPr>
          <w:p>
            <w:pPr>
              <w:spacing w:lineRule="exact" w:line="600"/>
              <w:jc w:val="center"/>
            </w:pPr>
            <w:r/>
            <w:r>
              <w:rPr>
                <w:rFonts w:ascii="仿宋_GB2312" w:hAnsi="仿宋_GB2312" w:eastAsia="仿宋_GB2312"/>
                <w:b w:val="0"/>
                <w:color w:val="000000"/>
                <w:sz w:val="32"/>
              </w:rPr>
              <w:t>四大门类600余品种</w:t>
            </w:r>
          </w:p>
        </w:tc>
        <w:tc>
          <w:tcPr>
            <w:tcW w:type="dxa" w:w="3118"/>
          </w:tcPr>
          <w:p>
            <w:pPr>
              <w:spacing w:lineRule="exact" w:line="600"/>
              <w:jc w:val="center"/>
            </w:pPr>
            <w:r/>
            <w:r>
              <w:rPr>
                <w:rFonts w:ascii="仿宋_GB2312" w:hAnsi="仿宋_GB2312" w:eastAsia="仿宋_GB2312"/>
                <w:b w:val="0"/>
                <w:color w:val="000000"/>
                <w:sz w:val="32"/>
              </w:rPr>
              <w:t>沙土镇，2024</w:t>
            </w:r>
          </w:p>
        </w:tc>
      </w:tr>
    </w:tbl>
    <w:p>
      <w:pPr>
        <w:spacing w:lineRule="exact" w:line="600" w:before="120" w:after="120"/>
        <w:ind w:firstLine="420"/>
        <w:jc w:val="left"/>
      </w:pPr>
      <w:r>
        <w:rPr>
          <w:rFonts w:ascii="黑体" w:hAnsi="黑体" w:eastAsia="黑体"/>
          <w:b w:val="0"/>
          <w:color w:val="000000"/>
          <w:sz w:val="32"/>
        </w:rPr>
        <w:t>二、产业链结构</w:t>
      </w:r>
    </w:p>
    <w:p>
      <w:pPr>
        <w:spacing w:lineRule="exact" w:line="600" w:before="120" w:after="120"/>
        <w:ind w:firstLine="420"/>
        <w:jc w:val="left"/>
      </w:pPr>
      <w:r>
        <w:rPr>
          <w:rFonts w:ascii="楷体_GB2312" w:hAnsi="楷体_GB2312" w:eastAsia="楷体_GB2312"/>
          <w:b w:val="0"/>
          <w:color w:val="000000"/>
          <w:sz w:val="32"/>
        </w:rPr>
        <w:t>（一）上游原料</w:t>
      </w:r>
    </w:p>
    <w:p>
      <w:pPr>
        <w:spacing w:lineRule="exact" w:line="600" w:before="0" w:after="0"/>
        <w:ind w:firstLine="420"/>
        <w:jc w:val="both"/>
      </w:pPr>
      <w:r>
        <w:rPr>
          <w:rFonts w:ascii="仿宋_GB2312" w:hAnsi="仿宋_GB2312" w:eastAsia="仿宋_GB2312"/>
          <w:b w:val="0"/>
          <w:color w:val="000000"/>
          <w:sz w:val="32"/>
        </w:rPr>
        <w:t>以果蔬种植与坚果原料为基础。沙土镇果蔬种植面积超10万亩，佳美食品签约20万亩标准化农产品基地，带动10余万户增收，年创收4000万元以上，保障果汁原料直采（来源：菏泽广电、网易，2024）。</w:t>
      </w:r>
    </w:p>
    <w:p>
      <w:pPr>
        <w:spacing w:lineRule="exact" w:line="600" w:before="120" w:after="120"/>
        <w:ind w:firstLine="420"/>
        <w:jc w:val="left"/>
      </w:pPr>
      <w:r>
        <w:rPr>
          <w:rFonts w:ascii="楷体_GB2312" w:hAnsi="楷体_GB2312" w:eastAsia="楷体_GB2312"/>
          <w:b w:val="0"/>
          <w:color w:val="000000"/>
          <w:sz w:val="32"/>
        </w:rPr>
        <w:t>（二）中游加工</w:t>
      </w:r>
    </w:p>
    <w:p>
      <w:pPr>
        <w:spacing w:lineRule="exact" w:line="600" w:before="0" w:after="0"/>
        <w:ind w:firstLine="420"/>
        <w:jc w:val="both"/>
      </w:pPr>
      <w:r>
        <w:rPr>
          <w:rFonts w:ascii="仿宋_GB2312" w:hAnsi="仿宋_GB2312" w:eastAsia="仿宋_GB2312"/>
          <w:b w:val="0"/>
          <w:color w:val="000000"/>
          <w:sz w:val="32"/>
        </w:rPr>
        <w:t>中游为果蔬汁浓缩/鲜榨、坚果炒货、烘焙膨化。佳美产能由2万吨提升至10万吨，产品涉及果蔬60多类、300余种；沙土食品5个分厂、12条线，年生产瓜子花生坚果1.5万吨（来源：沙土镇综述、沙土食品报道，2024）。</w:t>
      </w:r>
    </w:p>
    <w:p>
      <w:pPr>
        <w:spacing w:lineRule="exact" w:line="600" w:before="120" w:after="120"/>
        <w:ind w:firstLine="420"/>
        <w:jc w:val="left"/>
      </w:pPr>
      <w:r>
        <w:rPr>
          <w:rFonts w:ascii="楷体_GB2312" w:hAnsi="楷体_GB2312" w:eastAsia="楷体_GB2312"/>
          <w:b w:val="0"/>
          <w:color w:val="000000"/>
          <w:sz w:val="32"/>
        </w:rPr>
        <w:t>（三）下游品牌与流通</w:t>
      </w:r>
    </w:p>
    <w:p>
      <w:pPr>
        <w:spacing w:lineRule="exact" w:line="600" w:before="0" w:after="0"/>
        <w:ind w:firstLine="420"/>
        <w:jc w:val="both"/>
      </w:pPr>
      <w:r>
        <w:rPr>
          <w:rFonts w:ascii="仿宋_GB2312" w:hAnsi="仿宋_GB2312" w:eastAsia="仿宋_GB2312"/>
          <w:b w:val="0"/>
          <w:color w:val="000000"/>
          <w:sz w:val="32"/>
        </w:rPr>
        <w:t>产品供应娃哈哈、汇源、统一、瑞幸、喜茶、康师傅等，并出口欧美日韩10余国。园区冷链物流与食品检测中心协同赋能（来源：牡丹区政府、菏泽广电，2024）。</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环节</w:t>
            </w:r>
          </w:p>
        </w:tc>
        <w:tc>
          <w:tcPr>
            <w:tcW w:type="dxa" w:w="3685"/>
          </w:tcPr>
          <w:p>
            <w:pPr>
              <w:spacing w:lineRule="exact" w:line="600"/>
              <w:jc w:val="center"/>
            </w:pPr>
            <w:r/>
            <w:r>
              <w:rPr>
                <w:rFonts w:ascii="黑体" w:hAnsi="黑体" w:eastAsia="黑体"/>
                <w:b/>
                <w:color w:val="000000"/>
                <w:sz w:val="32"/>
              </w:rPr>
              <w:t>内容/企业</w:t>
            </w:r>
          </w:p>
        </w:tc>
        <w:tc>
          <w:tcPr>
            <w:tcW w:type="dxa" w:w="3118"/>
          </w:tcPr>
          <w:p>
            <w:pPr>
              <w:spacing w:lineRule="exact" w:line="600"/>
              <w:jc w:val="center"/>
            </w:pPr>
            <w:r/>
            <w:r>
              <w:rPr>
                <w:rFonts w:ascii="黑体" w:hAnsi="黑体" w:eastAsia="黑体"/>
                <w:b/>
                <w:color w:val="000000"/>
                <w:sz w:val="32"/>
              </w:rPr>
              <w:t>关键数据</w:t>
            </w:r>
          </w:p>
        </w:tc>
      </w:tr>
      <w:tr>
        <w:tc>
          <w:tcPr>
            <w:tcW w:type="dxa" w:w="2268"/>
          </w:tcPr>
          <w:p>
            <w:pPr>
              <w:spacing w:lineRule="exact" w:line="600"/>
              <w:jc w:val="center"/>
            </w:pPr>
            <w:r/>
            <w:r>
              <w:rPr>
                <w:rFonts w:ascii="仿宋_GB2312" w:hAnsi="仿宋_GB2312" w:eastAsia="仿宋_GB2312"/>
                <w:b w:val="0"/>
                <w:color w:val="000000"/>
                <w:sz w:val="32"/>
              </w:rPr>
              <w:t>原料</w:t>
            </w:r>
          </w:p>
        </w:tc>
        <w:tc>
          <w:tcPr>
            <w:tcW w:type="dxa" w:w="3685"/>
          </w:tcPr>
          <w:p>
            <w:pPr>
              <w:spacing w:lineRule="exact" w:line="600"/>
              <w:jc w:val="center"/>
            </w:pPr>
            <w:r/>
            <w:r>
              <w:rPr>
                <w:rFonts w:ascii="仿宋_GB2312" w:hAnsi="仿宋_GB2312" w:eastAsia="仿宋_GB2312"/>
                <w:b w:val="0"/>
                <w:color w:val="000000"/>
                <w:sz w:val="32"/>
              </w:rPr>
              <w:t>果蔬10万亩+基地20万亩</w:t>
            </w:r>
          </w:p>
        </w:tc>
        <w:tc>
          <w:tcPr>
            <w:tcW w:type="dxa" w:w="3118"/>
          </w:tcPr>
          <w:p>
            <w:pPr>
              <w:spacing w:lineRule="exact" w:line="600"/>
              <w:jc w:val="center"/>
            </w:pPr>
            <w:r/>
            <w:r>
              <w:rPr>
                <w:rFonts w:ascii="仿宋_GB2312" w:hAnsi="仿宋_GB2312" w:eastAsia="仿宋_GB2312"/>
                <w:b w:val="0"/>
                <w:color w:val="000000"/>
                <w:sz w:val="32"/>
              </w:rPr>
              <w:t>佳美直采</w:t>
            </w:r>
          </w:p>
        </w:tc>
      </w:tr>
      <w:tr>
        <w:tc>
          <w:tcPr>
            <w:tcW w:type="dxa" w:w="2268"/>
          </w:tcPr>
          <w:p>
            <w:pPr>
              <w:spacing w:lineRule="exact" w:line="600"/>
              <w:jc w:val="center"/>
            </w:pPr>
            <w:r/>
            <w:r>
              <w:rPr>
                <w:rFonts w:ascii="仿宋_GB2312" w:hAnsi="仿宋_GB2312" w:eastAsia="仿宋_GB2312"/>
                <w:b w:val="0"/>
                <w:color w:val="000000"/>
                <w:sz w:val="32"/>
              </w:rPr>
              <w:t>果汁</w:t>
            </w:r>
          </w:p>
        </w:tc>
        <w:tc>
          <w:tcPr>
            <w:tcW w:type="dxa" w:w="3685"/>
          </w:tcPr>
          <w:p>
            <w:pPr>
              <w:spacing w:lineRule="exact" w:line="600"/>
              <w:jc w:val="center"/>
            </w:pPr>
            <w:r/>
            <w:r>
              <w:rPr>
                <w:rFonts w:ascii="仿宋_GB2312" w:hAnsi="仿宋_GB2312" w:eastAsia="仿宋_GB2312"/>
                <w:b w:val="0"/>
                <w:color w:val="000000"/>
                <w:sz w:val="32"/>
              </w:rPr>
              <w:t>浓缩/鲜榨（佳美）</w:t>
            </w:r>
          </w:p>
        </w:tc>
        <w:tc>
          <w:tcPr>
            <w:tcW w:type="dxa" w:w="3118"/>
          </w:tcPr>
          <w:p>
            <w:pPr>
              <w:spacing w:lineRule="exact" w:line="600"/>
              <w:jc w:val="center"/>
            </w:pPr>
            <w:r/>
            <w:r>
              <w:rPr>
                <w:rFonts w:ascii="仿宋_GB2312" w:hAnsi="仿宋_GB2312" w:eastAsia="仿宋_GB2312"/>
                <w:b w:val="0"/>
                <w:color w:val="000000"/>
                <w:sz w:val="32"/>
              </w:rPr>
              <w:t>产能10万吨</w:t>
            </w:r>
          </w:p>
        </w:tc>
      </w:tr>
      <w:tr>
        <w:tc>
          <w:tcPr>
            <w:tcW w:type="dxa" w:w="2268"/>
          </w:tcPr>
          <w:p>
            <w:pPr>
              <w:spacing w:lineRule="exact" w:line="600"/>
              <w:jc w:val="center"/>
            </w:pPr>
            <w:r/>
            <w:r>
              <w:rPr>
                <w:rFonts w:ascii="仿宋_GB2312" w:hAnsi="仿宋_GB2312" w:eastAsia="仿宋_GB2312"/>
                <w:b w:val="0"/>
                <w:color w:val="000000"/>
                <w:sz w:val="32"/>
              </w:rPr>
              <w:t>炒货</w:t>
            </w:r>
          </w:p>
        </w:tc>
        <w:tc>
          <w:tcPr>
            <w:tcW w:type="dxa" w:w="3685"/>
          </w:tcPr>
          <w:p>
            <w:pPr>
              <w:spacing w:lineRule="exact" w:line="600"/>
              <w:jc w:val="center"/>
            </w:pPr>
            <w:r/>
            <w:r>
              <w:rPr>
                <w:rFonts w:ascii="仿宋_GB2312" w:hAnsi="仿宋_GB2312" w:eastAsia="仿宋_GB2312"/>
                <w:b w:val="0"/>
                <w:color w:val="000000"/>
                <w:sz w:val="32"/>
              </w:rPr>
              <w:t>瓜子/花生（沙土）</w:t>
            </w:r>
          </w:p>
        </w:tc>
        <w:tc>
          <w:tcPr>
            <w:tcW w:type="dxa" w:w="3118"/>
          </w:tcPr>
          <w:p>
            <w:pPr>
              <w:spacing w:lineRule="exact" w:line="600"/>
              <w:jc w:val="center"/>
            </w:pPr>
            <w:r/>
            <w:r>
              <w:rPr>
                <w:rFonts w:ascii="仿宋_GB2312" w:hAnsi="仿宋_GB2312" w:eastAsia="仿宋_GB2312"/>
                <w:b w:val="0"/>
                <w:color w:val="000000"/>
                <w:sz w:val="32"/>
              </w:rPr>
              <w:t>1.5万吨/年</w:t>
            </w:r>
          </w:p>
        </w:tc>
      </w:tr>
      <w:tr>
        <w:tc>
          <w:tcPr>
            <w:tcW w:type="dxa" w:w="2268"/>
          </w:tcPr>
          <w:p>
            <w:pPr>
              <w:spacing w:lineRule="exact" w:line="600"/>
              <w:jc w:val="center"/>
            </w:pPr>
            <w:r/>
            <w:r>
              <w:rPr>
                <w:rFonts w:ascii="仿宋_GB2312" w:hAnsi="仿宋_GB2312" w:eastAsia="仿宋_GB2312"/>
                <w:b w:val="0"/>
                <w:color w:val="000000"/>
                <w:sz w:val="32"/>
              </w:rPr>
              <w:t>客户</w:t>
            </w:r>
          </w:p>
        </w:tc>
        <w:tc>
          <w:tcPr>
            <w:tcW w:type="dxa" w:w="3685"/>
          </w:tcPr>
          <w:p>
            <w:pPr>
              <w:spacing w:lineRule="exact" w:line="600"/>
              <w:jc w:val="center"/>
            </w:pPr>
            <w:r/>
            <w:r>
              <w:rPr>
                <w:rFonts w:ascii="仿宋_GB2312" w:hAnsi="仿宋_GB2312" w:eastAsia="仿宋_GB2312"/>
                <w:b w:val="0"/>
                <w:color w:val="000000"/>
                <w:sz w:val="32"/>
              </w:rPr>
              <w:t>瑞幸/喜茶/娃哈哈</w:t>
            </w:r>
          </w:p>
        </w:tc>
        <w:tc>
          <w:tcPr>
            <w:tcW w:type="dxa" w:w="3118"/>
          </w:tcPr>
          <w:p>
            <w:pPr>
              <w:spacing w:lineRule="exact" w:line="600"/>
              <w:jc w:val="center"/>
            </w:pPr>
            <w:r/>
            <w:r>
              <w:rPr>
                <w:rFonts w:ascii="仿宋_GB2312" w:hAnsi="仿宋_GB2312" w:eastAsia="仿宋_GB2312"/>
                <w:b w:val="0"/>
                <w:color w:val="000000"/>
                <w:sz w:val="32"/>
              </w:rPr>
              <w:t>头部品牌</w:t>
            </w:r>
          </w:p>
        </w:tc>
      </w:tr>
      <w:tr>
        <w:tc>
          <w:tcPr>
            <w:tcW w:type="dxa" w:w="2268"/>
          </w:tcPr>
          <w:p>
            <w:pPr>
              <w:spacing w:lineRule="exact" w:line="600"/>
              <w:jc w:val="center"/>
            </w:pPr>
            <w:r/>
            <w:r>
              <w:rPr>
                <w:rFonts w:ascii="仿宋_GB2312" w:hAnsi="仿宋_GB2312" w:eastAsia="仿宋_GB2312"/>
                <w:b w:val="0"/>
                <w:color w:val="000000"/>
                <w:sz w:val="32"/>
              </w:rPr>
              <w:t>出口</w:t>
            </w:r>
          </w:p>
        </w:tc>
        <w:tc>
          <w:tcPr>
            <w:tcW w:type="dxa" w:w="3685"/>
          </w:tcPr>
          <w:p>
            <w:pPr>
              <w:spacing w:lineRule="exact" w:line="600"/>
              <w:jc w:val="center"/>
            </w:pPr>
            <w:r/>
            <w:r>
              <w:rPr>
                <w:rFonts w:ascii="仿宋_GB2312" w:hAnsi="仿宋_GB2312" w:eastAsia="仿宋_GB2312"/>
                <w:b w:val="0"/>
                <w:color w:val="000000"/>
                <w:sz w:val="32"/>
              </w:rPr>
              <w:t>欧美日韩10余国</w:t>
            </w:r>
          </w:p>
        </w:tc>
        <w:tc>
          <w:tcPr>
            <w:tcW w:type="dxa" w:w="3118"/>
          </w:tcPr>
          <w:p>
            <w:pPr>
              <w:spacing w:lineRule="exact" w:line="600"/>
              <w:jc w:val="center"/>
            </w:pPr>
            <w:r/>
            <w:r>
              <w:rPr>
                <w:rFonts w:ascii="仿宋_GB2312" w:hAnsi="仿宋_GB2312" w:eastAsia="仿宋_GB2312"/>
                <w:b w:val="0"/>
                <w:color w:val="000000"/>
                <w:sz w:val="32"/>
              </w:rPr>
              <w:t>创汇3200万美元</w:t>
            </w:r>
          </w:p>
        </w:tc>
      </w:tr>
    </w:tbl>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120" w:after="120"/>
        <w:ind w:firstLine="420"/>
        <w:jc w:val="left"/>
      </w:pPr>
      <w:r>
        <w:rPr>
          <w:rFonts w:ascii="楷体_GB2312" w:hAnsi="楷体_GB2312" w:eastAsia="楷体_GB2312"/>
          <w:b w:val="0"/>
          <w:color w:val="000000"/>
          <w:sz w:val="32"/>
        </w:rPr>
        <w:t>（一）需求端</w:t>
      </w:r>
    </w:p>
    <w:p>
      <w:pPr>
        <w:spacing w:lineRule="exact" w:line="600" w:before="0" w:after="0"/>
        <w:ind w:firstLine="420"/>
        <w:jc w:val="both"/>
      </w:pPr>
      <w:r>
        <w:rPr>
          <w:rFonts w:ascii="仿宋_GB2312" w:hAnsi="仿宋_GB2312" w:eastAsia="仿宋_GB2312"/>
          <w:b w:val="0"/>
          <w:color w:val="000000"/>
          <w:sz w:val="32"/>
        </w:rPr>
        <w:t>新茶饮、咖啡与休闲零食高景气，带动浓缩果汁、鲜榨果汁与坚果炒货需求。佳美为新茶饮头部提供原料，沙土瓜子为国民级炒货，需求基本盘稳固（来源：行业共性研判、沙土镇报道，2024）。</w:t>
      </w:r>
    </w:p>
    <w:p>
      <w:pPr>
        <w:spacing w:lineRule="exact" w:line="600" w:before="120" w:after="120"/>
        <w:ind w:firstLine="420"/>
        <w:jc w:val="left"/>
      </w:pPr>
      <w:r>
        <w:rPr>
          <w:rFonts w:ascii="楷体_GB2312" w:hAnsi="楷体_GB2312" w:eastAsia="楷体_GB2312"/>
          <w:b w:val="0"/>
          <w:color w:val="000000"/>
          <w:sz w:val="32"/>
        </w:rPr>
        <w:t>（二）竞争格局</w:t>
      </w:r>
    </w:p>
    <w:p>
      <w:pPr>
        <w:spacing w:lineRule="exact" w:line="600" w:before="0" w:after="0"/>
        <w:ind w:firstLine="420"/>
        <w:jc w:val="both"/>
      </w:pPr>
      <w:r>
        <w:rPr>
          <w:rFonts w:ascii="仿宋_GB2312" w:hAnsi="仿宋_GB2312" w:eastAsia="仿宋_GB2312"/>
          <w:b w:val="0"/>
          <w:color w:val="000000"/>
          <w:sz w:val="32"/>
        </w:rPr>
        <w:t>坚果炒货行业集中度低、品牌竞争激烈，沙土以「中国驰名商标」与湿瓜子/南瓜子销量第一形成认知优势；果蔬汁浓缩领域佳美居亚洲规模第一，客户黏性强（来源：沙土食品报道、网易，2024）。</w:t>
      </w:r>
    </w:p>
    <w:p>
      <w:pPr>
        <w:spacing w:lineRule="exact" w:line="600" w:before="120" w:after="120"/>
        <w:ind w:firstLine="420"/>
        <w:jc w:val="left"/>
      </w:pPr>
      <w:r>
        <w:rPr>
          <w:rFonts w:ascii="楷体_GB2312" w:hAnsi="楷体_GB2312" w:eastAsia="楷体_GB2312"/>
          <w:b w:val="0"/>
          <w:color w:val="000000"/>
          <w:sz w:val="32"/>
        </w:rPr>
        <w:t>（三）出口与国际</w:t>
      </w:r>
    </w:p>
    <w:p>
      <w:pPr>
        <w:spacing w:lineRule="exact" w:line="600" w:before="0" w:after="0"/>
        <w:ind w:firstLine="420"/>
        <w:jc w:val="both"/>
      </w:pPr>
      <w:r>
        <w:rPr>
          <w:rFonts w:ascii="仿宋_GB2312" w:hAnsi="仿宋_GB2312" w:eastAsia="仿宋_GB2312"/>
          <w:b w:val="0"/>
          <w:color w:val="000000"/>
          <w:sz w:val="32"/>
        </w:rPr>
        <w:t>佳美产品远销日本、美国、韩国、新加坡等30多国，2024年出口创汇3200万美元；园区整体出口欧美日韩10余国，国际化程度较高（来源：网易、牡丹区政府，2024）。</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企业/品类</w:t>
            </w:r>
          </w:p>
        </w:tc>
        <w:tc>
          <w:tcPr>
            <w:tcW w:type="dxa" w:w="3118"/>
          </w:tcPr>
          <w:p>
            <w:pPr>
              <w:spacing w:lineRule="exact" w:line="600"/>
              <w:jc w:val="center"/>
            </w:pPr>
            <w:r/>
            <w:r>
              <w:rPr>
                <w:rFonts w:ascii="黑体" w:hAnsi="黑体" w:eastAsia="黑体"/>
                <w:b/>
                <w:color w:val="000000"/>
                <w:sz w:val="32"/>
              </w:rPr>
              <w:t>营收/产量</w:t>
            </w:r>
          </w:p>
        </w:tc>
        <w:tc>
          <w:tcPr>
            <w:tcW w:type="dxa" w:w="3118"/>
          </w:tcPr>
          <w:p>
            <w:pPr>
              <w:spacing w:lineRule="exact" w:line="600"/>
              <w:jc w:val="center"/>
            </w:pPr>
            <w:r/>
            <w:r>
              <w:rPr>
                <w:rFonts w:ascii="黑体" w:hAnsi="黑体" w:eastAsia="黑体"/>
                <w:b/>
                <w:color w:val="000000"/>
                <w:sz w:val="32"/>
              </w:rPr>
              <w:t>备注</w:t>
            </w:r>
          </w:p>
        </w:tc>
      </w:tr>
      <w:tr>
        <w:tc>
          <w:tcPr>
            <w:tcW w:type="dxa" w:w="2835"/>
          </w:tcPr>
          <w:p>
            <w:pPr>
              <w:spacing w:lineRule="exact" w:line="600"/>
              <w:jc w:val="center"/>
            </w:pPr>
            <w:r/>
            <w:r>
              <w:rPr>
                <w:rFonts w:ascii="仿宋_GB2312" w:hAnsi="仿宋_GB2312" w:eastAsia="仿宋_GB2312"/>
                <w:b w:val="0"/>
                <w:color w:val="000000"/>
                <w:sz w:val="32"/>
              </w:rPr>
              <w:t>佳美食品</w:t>
            </w:r>
          </w:p>
        </w:tc>
        <w:tc>
          <w:tcPr>
            <w:tcW w:type="dxa" w:w="3118"/>
          </w:tcPr>
          <w:p>
            <w:pPr>
              <w:spacing w:lineRule="exact" w:line="600"/>
              <w:jc w:val="center"/>
            </w:pPr>
            <w:r/>
            <w:r>
              <w:rPr>
                <w:rFonts w:ascii="仿宋_GB2312" w:hAnsi="仿宋_GB2312" w:eastAsia="仿宋_GB2312"/>
                <w:b w:val="0"/>
                <w:color w:val="000000"/>
                <w:sz w:val="32"/>
              </w:rPr>
              <w:t>营收9.06—10亿元</w:t>
            </w:r>
          </w:p>
        </w:tc>
        <w:tc>
          <w:tcPr>
            <w:tcW w:type="dxa" w:w="3118"/>
          </w:tcPr>
          <w:p>
            <w:pPr>
              <w:spacing w:lineRule="exact" w:line="600"/>
              <w:jc w:val="center"/>
            </w:pPr>
            <w:r/>
            <w:r>
              <w:rPr>
                <w:rFonts w:ascii="仿宋_GB2312" w:hAnsi="仿宋_GB2312" w:eastAsia="仿宋_GB2312"/>
                <w:b w:val="0"/>
                <w:color w:val="000000"/>
                <w:sz w:val="32"/>
              </w:rPr>
              <w:t>浓缩果汁亚洲第一</w:t>
            </w:r>
          </w:p>
        </w:tc>
      </w:tr>
      <w:tr>
        <w:tc>
          <w:tcPr>
            <w:tcW w:type="dxa" w:w="2835"/>
          </w:tcPr>
          <w:p>
            <w:pPr>
              <w:spacing w:lineRule="exact" w:line="600"/>
              <w:jc w:val="center"/>
            </w:pPr>
            <w:r/>
            <w:r>
              <w:rPr>
                <w:rFonts w:ascii="仿宋_GB2312" w:hAnsi="仿宋_GB2312" w:eastAsia="仿宋_GB2312"/>
                <w:b w:val="0"/>
                <w:color w:val="000000"/>
                <w:sz w:val="32"/>
              </w:rPr>
              <w:t>佳美出口</w:t>
            </w:r>
          </w:p>
        </w:tc>
        <w:tc>
          <w:tcPr>
            <w:tcW w:type="dxa" w:w="3118"/>
          </w:tcPr>
          <w:p>
            <w:pPr>
              <w:spacing w:lineRule="exact" w:line="600"/>
              <w:jc w:val="center"/>
            </w:pPr>
            <w:r/>
            <w:r>
              <w:rPr>
                <w:rFonts w:ascii="仿宋_GB2312" w:hAnsi="仿宋_GB2312" w:eastAsia="仿宋_GB2312"/>
                <w:b w:val="0"/>
                <w:color w:val="000000"/>
                <w:sz w:val="32"/>
              </w:rPr>
              <w:t>创汇3200万美元</w:t>
            </w:r>
          </w:p>
        </w:tc>
        <w:tc>
          <w:tcPr>
            <w:tcW w:type="dxa" w:w="3118"/>
          </w:tcPr>
          <w:p>
            <w:pPr>
              <w:spacing w:lineRule="exact" w:line="600"/>
              <w:jc w:val="center"/>
            </w:pPr>
            <w:r/>
            <w:r>
              <w:rPr>
                <w:rFonts w:ascii="仿宋_GB2312" w:hAnsi="仿宋_GB2312" w:eastAsia="仿宋_GB2312"/>
                <w:b w:val="0"/>
                <w:color w:val="000000"/>
                <w:sz w:val="32"/>
              </w:rPr>
              <w:t>30多国</w:t>
            </w:r>
          </w:p>
        </w:tc>
      </w:tr>
      <w:tr>
        <w:tc>
          <w:tcPr>
            <w:tcW w:type="dxa" w:w="2835"/>
          </w:tcPr>
          <w:p>
            <w:pPr>
              <w:spacing w:lineRule="exact" w:line="600"/>
              <w:jc w:val="center"/>
            </w:pPr>
            <w:r/>
            <w:r>
              <w:rPr>
                <w:rFonts w:ascii="仿宋_GB2312" w:hAnsi="仿宋_GB2312" w:eastAsia="仿宋_GB2312"/>
                <w:b w:val="0"/>
                <w:color w:val="000000"/>
                <w:sz w:val="32"/>
              </w:rPr>
              <w:t>沙土食品</w:t>
            </w:r>
          </w:p>
        </w:tc>
        <w:tc>
          <w:tcPr>
            <w:tcW w:type="dxa" w:w="3118"/>
          </w:tcPr>
          <w:p>
            <w:pPr>
              <w:spacing w:lineRule="exact" w:line="600"/>
              <w:jc w:val="center"/>
            </w:pPr>
            <w:r/>
            <w:r>
              <w:rPr>
                <w:rFonts w:ascii="仿宋_GB2312" w:hAnsi="仿宋_GB2312" w:eastAsia="仿宋_GB2312"/>
                <w:b w:val="0"/>
                <w:color w:val="000000"/>
                <w:sz w:val="32"/>
              </w:rPr>
              <w:t>营收3.1亿元</w:t>
            </w:r>
          </w:p>
        </w:tc>
        <w:tc>
          <w:tcPr>
            <w:tcW w:type="dxa" w:w="3118"/>
          </w:tcPr>
          <w:p>
            <w:pPr>
              <w:spacing w:lineRule="exact" w:line="600"/>
              <w:jc w:val="center"/>
            </w:pPr>
            <w:r/>
            <w:r>
              <w:rPr>
                <w:rFonts w:ascii="仿宋_GB2312" w:hAnsi="仿宋_GB2312" w:eastAsia="仿宋_GB2312"/>
                <w:b w:val="0"/>
                <w:color w:val="000000"/>
                <w:sz w:val="32"/>
              </w:rPr>
              <w:t>中国驰名商标</w:t>
            </w:r>
          </w:p>
        </w:tc>
      </w:tr>
      <w:tr>
        <w:tc>
          <w:tcPr>
            <w:tcW w:type="dxa" w:w="2835"/>
          </w:tcPr>
          <w:p>
            <w:pPr>
              <w:spacing w:lineRule="exact" w:line="600"/>
              <w:jc w:val="center"/>
            </w:pPr>
            <w:r/>
            <w:r>
              <w:rPr>
                <w:rFonts w:ascii="仿宋_GB2312" w:hAnsi="仿宋_GB2312" w:eastAsia="仿宋_GB2312"/>
                <w:b w:val="0"/>
                <w:color w:val="000000"/>
                <w:sz w:val="32"/>
              </w:rPr>
              <w:t>沙土瓜子</w:t>
            </w:r>
          </w:p>
        </w:tc>
        <w:tc>
          <w:tcPr>
            <w:tcW w:type="dxa" w:w="3118"/>
          </w:tcPr>
          <w:p>
            <w:pPr>
              <w:spacing w:lineRule="exact" w:line="600"/>
              <w:jc w:val="center"/>
            </w:pPr>
            <w:r/>
            <w:r>
              <w:rPr>
                <w:rFonts w:ascii="仿宋_GB2312" w:hAnsi="仿宋_GB2312" w:eastAsia="仿宋_GB2312"/>
                <w:b w:val="0"/>
                <w:color w:val="000000"/>
                <w:sz w:val="32"/>
              </w:rPr>
              <w:t>湿瓜子/南瓜子销量第一</w:t>
            </w:r>
          </w:p>
        </w:tc>
        <w:tc>
          <w:tcPr>
            <w:tcW w:type="dxa" w:w="3118"/>
          </w:tcPr>
          <w:p>
            <w:pPr>
              <w:spacing w:lineRule="exact" w:line="600"/>
              <w:jc w:val="center"/>
            </w:pPr>
            <w:r/>
            <w:r>
              <w:rPr>
                <w:rFonts w:ascii="仿宋_GB2312" w:hAnsi="仿宋_GB2312" w:eastAsia="仿宋_GB2312"/>
                <w:b w:val="0"/>
                <w:color w:val="000000"/>
                <w:sz w:val="32"/>
              </w:rPr>
              <w:t>全国领先</w:t>
            </w:r>
          </w:p>
        </w:tc>
      </w:tr>
      <w:tr>
        <w:tc>
          <w:tcPr>
            <w:tcW w:type="dxa" w:w="2835"/>
          </w:tcPr>
          <w:p>
            <w:pPr>
              <w:spacing w:lineRule="exact" w:line="600"/>
              <w:jc w:val="center"/>
            </w:pPr>
            <w:r/>
            <w:r>
              <w:rPr>
                <w:rFonts w:ascii="仿宋_GB2312" w:hAnsi="仿宋_GB2312" w:eastAsia="仿宋_GB2312"/>
                <w:b w:val="0"/>
                <w:color w:val="000000"/>
                <w:sz w:val="32"/>
              </w:rPr>
              <w:t>园区出口</w:t>
            </w:r>
          </w:p>
        </w:tc>
        <w:tc>
          <w:tcPr>
            <w:tcW w:type="dxa" w:w="3118"/>
          </w:tcPr>
          <w:p>
            <w:pPr>
              <w:spacing w:lineRule="exact" w:line="600"/>
              <w:jc w:val="center"/>
            </w:pPr>
            <w:r/>
            <w:r>
              <w:rPr>
                <w:rFonts w:ascii="仿宋_GB2312" w:hAnsi="仿宋_GB2312" w:eastAsia="仿宋_GB2312"/>
                <w:b w:val="0"/>
                <w:color w:val="000000"/>
                <w:sz w:val="32"/>
              </w:rPr>
              <w:t>10余国</w:t>
            </w:r>
          </w:p>
        </w:tc>
        <w:tc>
          <w:tcPr>
            <w:tcW w:type="dxa" w:w="3118"/>
          </w:tcPr>
          <w:p>
            <w:pPr>
              <w:spacing w:lineRule="exact" w:line="600"/>
              <w:jc w:val="center"/>
            </w:pPr>
            <w:r/>
            <w:r>
              <w:rPr>
                <w:rFonts w:ascii="仿宋_GB2312" w:hAnsi="仿宋_GB2312" w:eastAsia="仿宋_GB2312"/>
                <w:b w:val="0"/>
                <w:color w:val="000000"/>
                <w:sz w:val="32"/>
              </w:rPr>
              <w:t>欧美日韩</w:t>
            </w:r>
          </w:p>
        </w:tc>
      </w:tr>
    </w:tbl>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120" w:after="120"/>
        <w:ind w:firstLine="420"/>
        <w:jc w:val="left"/>
      </w:pPr>
      <w:r>
        <w:rPr>
          <w:rFonts w:ascii="楷体_GB2312" w:hAnsi="楷体_GB2312" w:eastAsia="楷体_GB2312"/>
          <w:b w:val="0"/>
          <w:color w:val="000000"/>
          <w:sz w:val="32"/>
        </w:rPr>
        <w:t>（一）龙头企业</w:t>
      </w:r>
    </w:p>
    <w:p>
      <w:pPr>
        <w:spacing w:lineRule="exact" w:line="600" w:before="0" w:after="0"/>
        <w:ind w:firstLine="420"/>
        <w:jc w:val="both"/>
      </w:pPr>
      <w:r>
        <w:rPr>
          <w:rFonts w:ascii="仿宋_GB2312" w:hAnsi="仿宋_GB2312" w:eastAsia="仿宋_GB2312"/>
          <w:b w:val="0"/>
          <w:color w:val="000000"/>
          <w:sz w:val="32"/>
        </w:rPr>
        <w:t>佳美食品为国家级重点龙头、亚洲最大浓缩果蔬汁供应商；沙土食品为中国驰名商标炒货龙头；两者构成果蔬汁与坚果炒货双引擎（来源：牡丹区政府、沙土食品报道，2024）。</w:t>
      </w:r>
    </w:p>
    <w:p>
      <w:pPr>
        <w:spacing w:lineRule="exact" w:line="600" w:before="120" w:after="120"/>
        <w:ind w:firstLine="420"/>
        <w:jc w:val="left"/>
      </w:pPr>
      <w:r>
        <w:rPr>
          <w:rFonts w:ascii="楷体_GB2312" w:hAnsi="楷体_GB2312" w:eastAsia="楷体_GB2312"/>
          <w:b w:val="0"/>
          <w:color w:val="000000"/>
          <w:sz w:val="32"/>
        </w:rPr>
        <w:t>（二）链上协同</w:t>
      </w:r>
    </w:p>
    <w:p>
      <w:pPr>
        <w:spacing w:lineRule="exact" w:line="600" w:before="0" w:after="0"/>
        <w:ind w:firstLine="420"/>
        <w:jc w:val="both"/>
      </w:pPr>
      <w:r>
        <w:rPr>
          <w:rFonts w:ascii="仿宋_GB2312" w:hAnsi="仿宋_GB2312" w:eastAsia="仿宋_GB2312"/>
          <w:b w:val="0"/>
          <w:color w:val="000000"/>
          <w:sz w:val="32"/>
        </w:rPr>
        <w:t>园区汇聚52家链上企业，形成果蔬汁、坚果炒货、脱水蔬菜、肉制品、宠物食品300余种产品矩阵；新润林（坚果3万吨/年）、鲜之源（冻干5000吨/年）等骨干协同（来源：牡丹区政府、沙土镇综述，2024）。</w:t>
      </w:r>
    </w:p>
    <w:p>
      <w:pPr>
        <w:spacing w:lineRule="exact" w:line="600" w:before="120" w:after="120"/>
        <w:ind w:firstLine="420"/>
        <w:jc w:val="left"/>
      </w:pPr>
      <w:r>
        <w:rPr>
          <w:rFonts w:ascii="楷体_GB2312" w:hAnsi="楷体_GB2312" w:eastAsia="楷体_GB2312"/>
          <w:b w:val="0"/>
          <w:color w:val="000000"/>
          <w:sz w:val="32"/>
        </w:rPr>
        <w:t>（三）中小企业生态</w:t>
      </w:r>
    </w:p>
    <w:p>
      <w:pPr>
        <w:spacing w:lineRule="exact" w:line="600" w:before="0" w:after="0"/>
        <w:ind w:firstLine="420"/>
        <w:jc w:val="both"/>
      </w:pPr>
      <w:r>
        <w:rPr>
          <w:rFonts w:ascii="仿宋_GB2312" w:hAnsi="仿宋_GB2312" w:eastAsia="仿宋_GB2312"/>
          <w:b w:val="0"/>
          <w:color w:val="000000"/>
          <w:sz w:val="32"/>
        </w:rPr>
        <w:t>沙土镇聚集500余家农副加工企业，形成果蔬、肉类、面点、预制菜四大门类600余品种，中小微构成集群广度（来源：网易，2024）。</w:t>
      </w:r>
    </w:p>
    <w:tbl>
      <w:tblPr>
        <w:tblStyle w:val="TableGrid"/>
        <w:tblW w:type="auto" w:w="0"/>
        <w:jc w:val="center"/>
        <w:tblLook w:firstColumn="1" w:firstRow="1" w:lastColumn="0" w:lastRow="0" w:noHBand="0" w:noVBand="1" w:val="04A0"/>
      </w:tblPr>
      <w:tblGrid>
        <w:gridCol w:w="2948"/>
        <w:gridCol w:w="2948"/>
        <w:gridCol w:w="2948"/>
      </w:tblGrid>
      <w:tr>
        <w:tc>
          <w:tcPr>
            <w:tcW w:type="dxa" w:w="2551"/>
          </w:tcPr>
          <w:p>
            <w:pPr>
              <w:spacing w:lineRule="exact" w:line="600"/>
              <w:jc w:val="center"/>
            </w:pPr>
            <w:r/>
            <w:r>
              <w:rPr>
                <w:rFonts w:ascii="黑体" w:hAnsi="黑体" w:eastAsia="黑体"/>
                <w:b/>
                <w:color w:val="000000"/>
                <w:sz w:val="32"/>
              </w:rPr>
              <w:t>企业类型</w:t>
            </w:r>
          </w:p>
        </w:tc>
        <w:tc>
          <w:tcPr>
            <w:tcW w:type="dxa" w:w="2551"/>
          </w:tcPr>
          <w:p>
            <w:pPr>
              <w:spacing w:lineRule="exact" w:line="600"/>
              <w:jc w:val="center"/>
            </w:pPr>
            <w:r/>
            <w:r>
              <w:rPr>
                <w:rFonts w:ascii="黑体" w:hAnsi="黑体" w:eastAsia="黑体"/>
                <w:b/>
                <w:color w:val="000000"/>
                <w:sz w:val="32"/>
              </w:rPr>
              <w:t>数量</w:t>
            </w:r>
          </w:p>
        </w:tc>
        <w:tc>
          <w:tcPr>
            <w:tcW w:type="dxa" w:w="4252"/>
          </w:tcPr>
          <w:p>
            <w:pPr>
              <w:spacing w:lineRule="exact" w:line="600"/>
              <w:jc w:val="center"/>
            </w:pPr>
            <w:r/>
            <w:r>
              <w:rPr>
                <w:rFonts w:ascii="黑体" w:hAnsi="黑体" w:eastAsia="黑体"/>
                <w:b/>
                <w:color w:val="000000"/>
                <w:sz w:val="32"/>
              </w:rPr>
              <w:t>代表</w:t>
            </w:r>
          </w:p>
        </w:tc>
      </w:tr>
      <w:tr>
        <w:tc>
          <w:tcPr>
            <w:tcW w:type="dxa" w:w="2551"/>
          </w:tcPr>
          <w:p>
            <w:pPr>
              <w:spacing w:lineRule="exact" w:line="600"/>
              <w:jc w:val="center"/>
            </w:pPr>
            <w:r/>
            <w:r>
              <w:rPr>
                <w:rFonts w:ascii="仿宋_GB2312" w:hAnsi="仿宋_GB2312" w:eastAsia="仿宋_GB2312"/>
                <w:b w:val="0"/>
                <w:color w:val="000000"/>
                <w:sz w:val="32"/>
              </w:rPr>
              <w:t>国家级龙头</w:t>
            </w:r>
          </w:p>
        </w:tc>
        <w:tc>
          <w:tcPr>
            <w:tcW w:type="dxa" w:w="2551"/>
          </w:tcPr>
          <w:p>
            <w:pPr>
              <w:spacing w:lineRule="exact" w:line="600"/>
              <w:jc w:val="center"/>
            </w:pPr>
            <w:r/>
            <w:r>
              <w:rPr>
                <w:rFonts w:ascii="仿宋_GB2312" w:hAnsi="仿宋_GB2312" w:eastAsia="仿宋_GB2312"/>
                <w:b w:val="0"/>
                <w:color w:val="000000"/>
                <w:sz w:val="32"/>
              </w:rPr>
              <w:t>1家</w:t>
            </w:r>
          </w:p>
        </w:tc>
        <w:tc>
          <w:tcPr>
            <w:tcW w:type="dxa" w:w="4252"/>
          </w:tcPr>
          <w:p>
            <w:pPr>
              <w:spacing w:lineRule="exact" w:line="600"/>
              <w:jc w:val="center"/>
            </w:pPr>
            <w:r/>
            <w:r>
              <w:rPr>
                <w:rFonts w:ascii="仿宋_GB2312" w:hAnsi="仿宋_GB2312" w:eastAsia="仿宋_GB2312"/>
                <w:b w:val="0"/>
                <w:color w:val="000000"/>
                <w:sz w:val="32"/>
              </w:rPr>
              <w:t>佳美</w:t>
            </w:r>
          </w:p>
        </w:tc>
      </w:tr>
      <w:tr>
        <w:tc>
          <w:tcPr>
            <w:tcW w:type="dxa" w:w="2551"/>
          </w:tcPr>
          <w:p>
            <w:pPr>
              <w:spacing w:lineRule="exact" w:line="600"/>
              <w:jc w:val="center"/>
            </w:pPr>
            <w:r/>
            <w:r>
              <w:rPr>
                <w:rFonts w:ascii="仿宋_GB2312" w:hAnsi="仿宋_GB2312" w:eastAsia="仿宋_GB2312"/>
                <w:b w:val="0"/>
                <w:color w:val="000000"/>
                <w:sz w:val="32"/>
              </w:rPr>
              <w:t>中国驰名商标</w:t>
            </w:r>
          </w:p>
        </w:tc>
        <w:tc>
          <w:tcPr>
            <w:tcW w:type="dxa" w:w="2551"/>
          </w:tcPr>
          <w:p>
            <w:pPr>
              <w:spacing w:lineRule="exact" w:line="600"/>
              <w:jc w:val="center"/>
            </w:pPr>
            <w:r/>
            <w:r>
              <w:rPr>
                <w:rFonts w:ascii="仿宋_GB2312" w:hAnsi="仿宋_GB2312" w:eastAsia="仿宋_GB2312"/>
                <w:b w:val="0"/>
                <w:color w:val="000000"/>
                <w:sz w:val="32"/>
              </w:rPr>
              <w:t>1个</w:t>
            </w:r>
          </w:p>
        </w:tc>
        <w:tc>
          <w:tcPr>
            <w:tcW w:type="dxa" w:w="4252"/>
          </w:tcPr>
          <w:p>
            <w:pPr>
              <w:spacing w:lineRule="exact" w:line="600"/>
              <w:jc w:val="center"/>
            </w:pPr>
            <w:r/>
            <w:r>
              <w:rPr>
                <w:rFonts w:ascii="仿宋_GB2312" w:hAnsi="仿宋_GB2312" w:eastAsia="仿宋_GB2312"/>
                <w:b w:val="0"/>
                <w:color w:val="000000"/>
                <w:sz w:val="32"/>
              </w:rPr>
              <w:t>沙土</w:t>
            </w:r>
          </w:p>
        </w:tc>
      </w:tr>
      <w:tr>
        <w:tc>
          <w:tcPr>
            <w:tcW w:type="dxa" w:w="2551"/>
          </w:tcPr>
          <w:p>
            <w:pPr>
              <w:spacing w:lineRule="exact" w:line="600"/>
              <w:jc w:val="center"/>
            </w:pPr>
            <w:r/>
            <w:r>
              <w:rPr>
                <w:rFonts w:ascii="仿宋_GB2312" w:hAnsi="仿宋_GB2312" w:eastAsia="仿宋_GB2312"/>
                <w:b w:val="0"/>
                <w:color w:val="000000"/>
                <w:sz w:val="32"/>
              </w:rPr>
              <w:t>园区链上</w:t>
            </w:r>
          </w:p>
        </w:tc>
        <w:tc>
          <w:tcPr>
            <w:tcW w:type="dxa" w:w="2551"/>
          </w:tcPr>
          <w:p>
            <w:pPr>
              <w:spacing w:lineRule="exact" w:line="600"/>
              <w:jc w:val="center"/>
            </w:pPr>
            <w:r/>
            <w:r>
              <w:rPr>
                <w:rFonts w:ascii="仿宋_GB2312" w:hAnsi="仿宋_GB2312" w:eastAsia="仿宋_GB2312"/>
                <w:b w:val="0"/>
                <w:color w:val="000000"/>
                <w:sz w:val="32"/>
              </w:rPr>
              <w:t>52家</w:t>
            </w:r>
          </w:p>
        </w:tc>
        <w:tc>
          <w:tcPr>
            <w:tcW w:type="dxa" w:w="4252"/>
          </w:tcPr>
          <w:p>
            <w:pPr>
              <w:spacing w:lineRule="exact" w:line="600"/>
              <w:jc w:val="center"/>
            </w:pPr>
            <w:r/>
            <w:r>
              <w:rPr>
                <w:rFonts w:ascii="仿宋_GB2312" w:hAnsi="仿宋_GB2312" w:eastAsia="仿宋_GB2312"/>
                <w:b w:val="0"/>
                <w:color w:val="000000"/>
                <w:sz w:val="32"/>
              </w:rPr>
              <w:t>300余品种</w:t>
            </w:r>
          </w:p>
        </w:tc>
      </w:tr>
      <w:tr>
        <w:tc>
          <w:tcPr>
            <w:tcW w:type="dxa" w:w="2551"/>
          </w:tcPr>
          <w:p>
            <w:pPr>
              <w:spacing w:lineRule="exact" w:line="600"/>
              <w:jc w:val="center"/>
            </w:pPr>
            <w:r/>
            <w:r>
              <w:rPr>
                <w:rFonts w:ascii="仿宋_GB2312" w:hAnsi="仿宋_GB2312" w:eastAsia="仿宋_GB2312"/>
                <w:b w:val="0"/>
                <w:color w:val="000000"/>
                <w:sz w:val="32"/>
              </w:rPr>
              <w:t>全镇农副</w:t>
            </w:r>
          </w:p>
        </w:tc>
        <w:tc>
          <w:tcPr>
            <w:tcW w:type="dxa" w:w="2551"/>
          </w:tcPr>
          <w:p>
            <w:pPr>
              <w:spacing w:lineRule="exact" w:line="600"/>
              <w:jc w:val="center"/>
            </w:pPr>
            <w:r/>
            <w:r>
              <w:rPr>
                <w:rFonts w:ascii="仿宋_GB2312" w:hAnsi="仿宋_GB2312" w:eastAsia="仿宋_GB2312"/>
                <w:b w:val="0"/>
                <w:color w:val="000000"/>
                <w:sz w:val="32"/>
              </w:rPr>
              <w:t>500余家</w:t>
            </w:r>
          </w:p>
        </w:tc>
        <w:tc>
          <w:tcPr>
            <w:tcW w:type="dxa" w:w="4252"/>
          </w:tcPr>
          <w:p>
            <w:pPr>
              <w:spacing w:lineRule="exact" w:line="600"/>
              <w:jc w:val="center"/>
            </w:pPr>
            <w:r/>
            <w:r>
              <w:rPr>
                <w:rFonts w:ascii="仿宋_GB2312" w:hAnsi="仿宋_GB2312" w:eastAsia="仿宋_GB2312"/>
                <w:b w:val="0"/>
                <w:color w:val="000000"/>
                <w:sz w:val="32"/>
              </w:rPr>
              <w:t>600余品种</w:t>
            </w:r>
          </w:p>
        </w:tc>
      </w:tr>
      <w:tr>
        <w:tc>
          <w:tcPr>
            <w:tcW w:type="dxa" w:w="2551"/>
          </w:tcPr>
          <w:p>
            <w:pPr>
              <w:spacing w:lineRule="exact" w:line="600"/>
              <w:jc w:val="center"/>
            </w:pPr>
            <w:r/>
            <w:r>
              <w:rPr>
                <w:rFonts w:ascii="仿宋_GB2312" w:hAnsi="仿宋_GB2312" w:eastAsia="仿宋_GB2312"/>
                <w:b w:val="0"/>
                <w:color w:val="000000"/>
                <w:sz w:val="32"/>
              </w:rPr>
              <w:t>高企/专精特新</w:t>
            </w:r>
          </w:p>
        </w:tc>
        <w:tc>
          <w:tcPr>
            <w:tcW w:type="dxa" w:w="2551"/>
          </w:tcPr>
          <w:p>
            <w:pPr>
              <w:spacing w:lineRule="exact" w:line="600"/>
              <w:jc w:val="center"/>
            </w:pPr>
            <w:r/>
            <w:r>
              <w:rPr>
                <w:rFonts w:ascii="仿宋_GB2312" w:hAnsi="仿宋_GB2312" w:eastAsia="仿宋_GB2312"/>
                <w:b w:val="0"/>
                <w:color w:val="000000"/>
                <w:sz w:val="32"/>
              </w:rPr>
              <w:t>5家/5家</w:t>
            </w:r>
          </w:p>
        </w:tc>
        <w:tc>
          <w:tcPr>
            <w:tcW w:type="dxa" w:w="4252"/>
          </w:tcPr>
          <w:p>
            <w:pPr>
              <w:spacing w:lineRule="exact" w:line="600"/>
              <w:jc w:val="center"/>
            </w:pPr>
            <w:r/>
            <w:r>
              <w:rPr>
                <w:rFonts w:ascii="仿宋_GB2312" w:hAnsi="仿宋_GB2312" w:eastAsia="仿宋_GB2312"/>
                <w:b w:val="0"/>
                <w:color w:val="000000"/>
                <w:sz w:val="32"/>
              </w:rPr>
              <w:t>园区企业</w:t>
            </w:r>
          </w:p>
        </w:tc>
      </w:tr>
    </w:tbl>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120" w:after="120"/>
        <w:ind w:firstLine="420"/>
        <w:jc w:val="left"/>
      </w:pPr>
      <w:r>
        <w:rPr>
          <w:rFonts w:ascii="楷体_GB2312" w:hAnsi="楷体_GB2312" w:eastAsia="楷体_GB2312"/>
          <w:b w:val="0"/>
          <w:color w:val="000000"/>
          <w:sz w:val="32"/>
        </w:rPr>
        <w:t>（一）HPP超高压冷灭菌</w:t>
      </w:r>
    </w:p>
    <w:p>
      <w:pPr>
        <w:spacing w:lineRule="exact" w:line="600" w:before="0" w:after="0"/>
        <w:ind w:firstLine="420"/>
        <w:jc w:val="both"/>
      </w:pPr>
      <w:r>
        <w:rPr>
          <w:rFonts w:ascii="仿宋_GB2312" w:hAnsi="仿宋_GB2312" w:eastAsia="仿宋_GB2312"/>
          <w:b w:val="0"/>
          <w:color w:val="000000"/>
          <w:sz w:val="32"/>
        </w:rPr>
        <w:t>佳美引进国际领先HPP技术，以液态水传导6000个大气压破坏微生物细胞壁，低温杀菌保留口感与营养；2024年投资1.2亿元引进2台600MP设备及百级净化，新上2条小瓶生鲜饮料线，年产能4万吨（来源：菏泽广电、沙土镇综述，2024）。</w:t>
      </w:r>
    </w:p>
    <w:p>
      <w:pPr>
        <w:spacing w:lineRule="exact" w:line="600" w:before="120" w:after="120"/>
        <w:ind w:firstLine="420"/>
        <w:jc w:val="left"/>
      </w:pPr>
      <w:r>
        <w:rPr>
          <w:rFonts w:ascii="楷体_GB2312" w:hAnsi="楷体_GB2312" w:eastAsia="楷体_GB2312"/>
          <w:b w:val="0"/>
          <w:color w:val="000000"/>
          <w:sz w:val="32"/>
        </w:rPr>
        <w:t>（二）自动化与无菌灌装</w:t>
      </w:r>
    </w:p>
    <w:p>
      <w:pPr>
        <w:spacing w:lineRule="exact" w:line="600" w:before="0" w:after="0"/>
        <w:ind w:firstLine="420"/>
        <w:jc w:val="both"/>
      </w:pPr>
      <w:r>
        <w:rPr>
          <w:rFonts w:ascii="仿宋_GB2312" w:hAnsi="仿宋_GB2312" w:eastAsia="仿宋_GB2312"/>
          <w:b w:val="0"/>
          <w:color w:val="000000"/>
          <w:sz w:val="32"/>
        </w:rPr>
        <w:t>佳美将全部生产线全面提升，车间全自动化，产能由2万吨提升至10万吨；沙土食品12条流水线配完善检测，开发每日坚果、湿花生、菌菇汤、黄桃罐头等高附加值产品（来源：沙土镇综述、沙土食品报道，2024）。</w:t>
      </w:r>
    </w:p>
    <w:p>
      <w:pPr>
        <w:spacing w:lineRule="exact" w:line="600" w:before="120" w:after="120"/>
        <w:ind w:firstLine="420"/>
        <w:jc w:val="left"/>
      </w:pPr>
      <w:r>
        <w:rPr>
          <w:rFonts w:ascii="楷体_GB2312" w:hAnsi="楷体_GB2312" w:eastAsia="楷体_GB2312"/>
          <w:b w:val="0"/>
          <w:color w:val="000000"/>
          <w:sz w:val="32"/>
        </w:rPr>
        <w:t>（三）绿色制造</w:t>
      </w:r>
    </w:p>
    <w:p>
      <w:pPr>
        <w:spacing w:lineRule="exact" w:line="600" w:before="0" w:after="0"/>
        <w:ind w:firstLine="420"/>
        <w:jc w:val="both"/>
      </w:pPr>
      <w:r>
        <w:rPr>
          <w:rFonts w:ascii="仿宋_GB2312" w:hAnsi="仿宋_GB2312" w:eastAsia="仿宋_GB2312"/>
          <w:b w:val="0"/>
          <w:color w:val="000000"/>
          <w:sz w:val="32"/>
        </w:rPr>
        <w:t>沙土镇2019年推动集中供热替代分散燃煤锅炉，三大供热项目覆盖食品园，年减排污染物超千吨、企业用能成本降低30%以上（来源：牡丹区发布，2024）。</w:t>
      </w:r>
    </w:p>
    <w:tbl>
      <w:tblPr>
        <w:tblStyle w:val="TableGrid"/>
        <w:tblW w:type="auto" w:w="0"/>
        <w:jc w:val="center"/>
        <w:tblLook w:firstColumn="1" w:firstRow="1" w:lastColumn="0" w:lastRow="0" w:noHBand="0" w:noVBand="1" w:val="04A0"/>
      </w:tblPr>
      <w:tblGrid>
        <w:gridCol w:w="2948"/>
        <w:gridCol w:w="2948"/>
        <w:gridCol w:w="2948"/>
      </w:tblGrid>
      <w:tr>
        <w:tc>
          <w:tcPr>
            <w:tcW w:type="dxa" w:w="2551"/>
          </w:tcPr>
          <w:p>
            <w:pPr>
              <w:spacing w:lineRule="exact" w:line="600"/>
              <w:jc w:val="center"/>
            </w:pPr>
            <w:r/>
            <w:r>
              <w:rPr>
                <w:rFonts w:ascii="黑体" w:hAnsi="黑体" w:eastAsia="黑体"/>
                <w:b/>
                <w:color w:val="000000"/>
                <w:sz w:val="32"/>
              </w:rPr>
              <w:t>技术</w:t>
            </w:r>
          </w:p>
        </w:tc>
        <w:tc>
          <w:tcPr>
            <w:tcW w:type="dxa" w:w="2835"/>
          </w:tcPr>
          <w:p>
            <w:pPr>
              <w:spacing w:lineRule="exact" w:line="600"/>
              <w:jc w:val="center"/>
            </w:pPr>
            <w:r/>
            <w:r>
              <w:rPr>
                <w:rFonts w:ascii="黑体" w:hAnsi="黑体" w:eastAsia="黑体"/>
                <w:b/>
                <w:color w:val="000000"/>
                <w:sz w:val="32"/>
              </w:rPr>
              <w:t>企业</w:t>
            </w:r>
          </w:p>
        </w:tc>
        <w:tc>
          <w:tcPr>
            <w:tcW w:type="dxa" w:w="3685"/>
          </w:tcPr>
          <w:p>
            <w:pPr>
              <w:spacing w:lineRule="exact" w:line="600"/>
              <w:jc w:val="center"/>
            </w:pPr>
            <w:r/>
            <w:r>
              <w:rPr>
                <w:rFonts w:ascii="黑体" w:hAnsi="黑体" w:eastAsia="黑体"/>
                <w:b/>
                <w:color w:val="000000"/>
                <w:sz w:val="32"/>
              </w:rPr>
              <w:t>效果</w:t>
            </w:r>
          </w:p>
        </w:tc>
      </w:tr>
      <w:tr>
        <w:tc>
          <w:tcPr>
            <w:tcW w:type="dxa" w:w="2551"/>
          </w:tcPr>
          <w:p>
            <w:pPr>
              <w:spacing w:lineRule="exact" w:line="600"/>
              <w:jc w:val="center"/>
            </w:pPr>
            <w:r/>
            <w:r>
              <w:rPr>
                <w:rFonts w:ascii="仿宋_GB2312" w:hAnsi="仿宋_GB2312" w:eastAsia="仿宋_GB2312"/>
                <w:b w:val="0"/>
                <w:color w:val="000000"/>
                <w:sz w:val="32"/>
              </w:rPr>
              <w:t>HPP 600MP</w:t>
            </w:r>
          </w:p>
        </w:tc>
        <w:tc>
          <w:tcPr>
            <w:tcW w:type="dxa" w:w="2835"/>
          </w:tcPr>
          <w:p>
            <w:pPr>
              <w:spacing w:lineRule="exact" w:line="600"/>
              <w:jc w:val="center"/>
            </w:pPr>
            <w:r/>
            <w:r>
              <w:rPr>
                <w:rFonts w:ascii="仿宋_GB2312" w:hAnsi="仿宋_GB2312" w:eastAsia="仿宋_GB2312"/>
                <w:b w:val="0"/>
                <w:color w:val="000000"/>
                <w:sz w:val="32"/>
              </w:rPr>
              <w:t>佳美</w:t>
            </w:r>
          </w:p>
        </w:tc>
        <w:tc>
          <w:tcPr>
            <w:tcW w:type="dxa" w:w="3685"/>
          </w:tcPr>
          <w:p>
            <w:pPr>
              <w:spacing w:lineRule="exact" w:line="600"/>
              <w:jc w:val="center"/>
            </w:pPr>
            <w:r/>
            <w:r>
              <w:rPr>
                <w:rFonts w:ascii="仿宋_GB2312" w:hAnsi="仿宋_GB2312" w:eastAsia="仿宋_GB2312"/>
                <w:b w:val="0"/>
                <w:color w:val="000000"/>
                <w:sz w:val="32"/>
              </w:rPr>
              <w:t>低温保鲜/产能4万吨</w:t>
            </w:r>
          </w:p>
        </w:tc>
      </w:tr>
      <w:tr>
        <w:tc>
          <w:tcPr>
            <w:tcW w:type="dxa" w:w="2551"/>
          </w:tcPr>
          <w:p>
            <w:pPr>
              <w:spacing w:lineRule="exact" w:line="600"/>
              <w:jc w:val="center"/>
            </w:pPr>
            <w:r/>
            <w:r>
              <w:rPr>
                <w:rFonts w:ascii="仿宋_GB2312" w:hAnsi="仿宋_GB2312" w:eastAsia="仿宋_GB2312"/>
                <w:b w:val="0"/>
                <w:color w:val="000000"/>
                <w:sz w:val="32"/>
              </w:rPr>
              <w:t>全自动化</w:t>
            </w:r>
          </w:p>
        </w:tc>
        <w:tc>
          <w:tcPr>
            <w:tcW w:type="dxa" w:w="2835"/>
          </w:tcPr>
          <w:p>
            <w:pPr>
              <w:spacing w:lineRule="exact" w:line="600"/>
              <w:jc w:val="center"/>
            </w:pPr>
            <w:r/>
            <w:r>
              <w:rPr>
                <w:rFonts w:ascii="仿宋_GB2312" w:hAnsi="仿宋_GB2312" w:eastAsia="仿宋_GB2312"/>
                <w:b w:val="0"/>
                <w:color w:val="000000"/>
                <w:sz w:val="32"/>
              </w:rPr>
              <w:t>佳美</w:t>
            </w:r>
          </w:p>
        </w:tc>
        <w:tc>
          <w:tcPr>
            <w:tcW w:type="dxa" w:w="3685"/>
          </w:tcPr>
          <w:p>
            <w:pPr>
              <w:spacing w:lineRule="exact" w:line="600"/>
              <w:jc w:val="center"/>
            </w:pPr>
            <w:r/>
            <w:r>
              <w:rPr>
                <w:rFonts w:ascii="仿宋_GB2312" w:hAnsi="仿宋_GB2312" w:eastAsia="仿宋_GB2312"/>
                <w:b w:val="0"/>
                <w:color w:val="000000"/>
                <w:sz w:val="32"/>
              </w:rPr>
              <w:t>产能2万→10万吨</w:t>
            </w:r>
          </w:p>
        </w:tc>
      </w:tr>
      <w:tr>
        <w:tc>
          <w:tcPr>
            <w:tcW w:type="dxa" w:w="2551"/>
          </w:tcPr>
          <w:p>
            <w:pPr>
              <w:spacing w:lineRule="exact" w:line="600"/>
              <w:jc w:val="center"/>
            </w:pPr>
            <w:r/>
            <w:r>
              <w:rPr>
                <w:rFonts w:ascii="仿宋_GB2312" w:hAnsi="仿宋_GB2312" w:eastAsia="仿宋_GB2312"/>
                <w:b w:val="0"/>
                <w:color w:val="000000"/>
                <w:sz w:val="32"/>
              </w:rPr>
              <w:t>12条流水线</w:t>
            </w:r>
          </w:p>
        </w:tc>
        <w:tc>
          <w:tcPr>
            <w:tcW w:type="dxa" w:w="2835"/>
          </w:tcPr>
          <w:p>
            <w:pPr>
              <w:spacing w:lineRule="exact" w:line="600"/>
              <w:jc w:val="center"/>
            </w:pPr>
            <w:r/>
            <w:r>
              <w:rPr>
                <w:rFonts w:ascii="仿宋_GB2312" w:hAnsi="仿宋_GB2312" w:eastAsia="仿宋_GB2312"/>
                <w:b w:val="0"/>
                <w:color w:val="000000"/>
                <w:sz w:val="32"/>
              </w:rPr>
              <w:t>沙土</w:t>
            </w:r>
          </w:p>
        </w:tc>
        <w:tc>
          <w:tcPr>
            <w:tcW w:type="dxa" w:w="3685"/>
          </w:tcPr>
          <w:p>
            <w:pPr>
              <w:spacing w:lineRule="exact" w:line="600"/>
              <w:jc w:val="center"/>
            </w:pPr>
            <w:r/>
            <w:r>
              <w:rPr>
                <w:rFonts w:ascii="仿宋_GB2312" w:hAnsi="仿宋_GB2312" w:eastAsia="仿宋_GB2312"/>
                <w:b w:val="0"/>
                <w:color w:val="000000"/>
                <w:sz w:val="32"/>
              </w:rPr>
              <w:t>检测完善</w:t>
            </w:r>
          </w:p>
        </w:tc>
      </w:tr>
      <w:tr>
        <w:tc>
          <w:tcPr>
            <w:tcW w:type="dxa" w:w="2551"/>
          </w:tcPr>
          <w:p>
            <w:pPr>
              <w:spacing w:lineRule="exact" w:line="600"/>
              <w:jc w:val="center"/>
            </w:pPr>
            <w:r/>
            <w:r>
              <w:rPr>
                <w:rFonts w:ascii="仿宋_GB2312" w:hAnsi="仿宋_GB2312" w:eastAsia="仿宋_GB2312"/>
                <w:b w:val="0"/>
                <w:color w:val="000000"/>
                <w:sz w:val="32"/>
              </w:rPr>
              <w:t>集中供热</w:t>
            </w:r>
          </w:p>
        </w:tc>
        <w:tc>
          <w:tcPr>
            <w:tcW w:type="dxa" w:w="2835"/>
          </w:tcPr>
          <w:p>
            <w:pPr>
              <w:spacing w:lineRule="exact" w:line="600"/>
              <w:jc w:val="center"/>
            </w:pPr>
            <w:r/>
            <w:r>
              <w:rPr>
                <w:rFonts w:ascii="仿宋_GB2312" w:hAnsi="仿宋_GB2312" w:eastAsia="仿宋_GB2312"/>
                <w:b w:val="0"/>
                <w:color w:val="000000"/>
                <w:sz w:val="32"/>
              </w:rPr>
              <w:t>园区</w:t>
            </w:r>
          </w:p>
        </w:tc>
        <w:tc>
          <w:tcPr>
            <w:tcW w:type="dxa" w:w="3685"/>
          </w:tcPr>
          <w:p>
            <w:pPr>
              <w:spacing w:lineRule="exact" w:line="600"/>
              <w:jc w:val="center"/>
            </w:pPr>
            <w:r/>
            <w:r>
              <w:rPr>
                <w:rFonts w:ascii="仿宋_GB2312" w:hAnsi="仿宋_GB2312" w:eastAsia="仿宋_GB2312"/>
                <w:b w:val="0"/>
                <w:color w:val="000000"/>
                <w:sz w:val="32"/>
              </w:rPr>
              <w:t>成本-30%以上</w:t>
            </w:r>
          </w:p>
        </w:tc>
      </w:tr>
      <w:tr>
        <w:tc>
          <w:tcPr>
            <w:tcW w:type="dxa" w:w="2551"/>
          </w:tcPr>
          <w:p>
            <w:pPr>
              <w:spacing w:lineRule="exact" w:line="600"/>
              <w:jc w:val="center"/>
            </w:pPr>
            <w:r/>
            <w:r>
              <w:rPr>
                <w:rFonts w:ascii="仿宋_GB2312" w:hAnsi="仿宋_GB2312" w:eastAsia="仿宋_GB2312"/>
                <w:b w:val="0"/>
                <w:color w:val="000000"/>
                <w:sz w:val="32"/>
              </w:rPr>
              <w:t>高附加值</w:t>
            </w:r>
          </w:p>
        </w:tc>
        <w:tc>
          <w:tcPr>
            <w:tcW w:type="dxa" w:w="2835"/>
          </w:tcPr>
          <w:p>
            <w:pPr>
              <w:spacing w:lineRule="exact" w:line="600"/>
              <w:jc w:val="center"/>
            </w:pPr>
            <w:r/>
            <w:r>
              <w:rPr>
                <w:rFonts w:ascii="仿宋_GB2312" w:hAnsi="仿宋_GB2312" w:eastAsia="仿宋_GB2312"/>
                <w:b w:val="0"/>
                <w:color w:val="000000"/>
                <w:sz w:val="32"/>
              </w:rPr>
              <w:t>沙土/新润林</w:t>
            </w:r>
          </w:p>
        </w:tc>
        <w:tc>
          <w:tcPr>
            <w:tcW w:type="dxa" w:w="3685"/>
          </w:tcPr>
          <w:p>
            <w:pPr>
              <w:spacing w:lineRule="exact" w:line="600"/>
              <w:jc w:val="center"/>
            </w:pPr>
            <w:r/>
            <w:r>
              <w:rPr>
                <w:rFonts w:ascii="仿宋_GB2312" w:hAnsi="仿宋_GB2312" w:eastAsia="仿宋_GB2312"/>
                <w:b w:val="0"/>
                <w:color w:val="000000"/>
                <w:sz w:val="32"/>
              </w:rPr>
              <w:t>每日坚果/预制</w:t>
            </w:r>
          </w:p>
        </w:tc>
      </w:tr>
    </w:tbl>
    <w:p>
      <w:pPr>
        <w:spacing w:lineRule="exact" w:line="600" w:before="120" w:after="120"/>
        <w:ind w:firstLine="420"/>
        <w:jc w:val="left"/>
      </w:pPr>
      <w:r>
        <w:rPr>
          <w:rFonts w:ascii="楷体_GB2312" w:hAnsi="楷体_GB2312" w:eastAsia="楷体_GB2312"/>
          <w:b w:val="0"/>
          <w:color w:val="000000"/>
          <w:sz w:val="32"/>
        </w:rPr>
        <w:t>（五）省级创新能力与技改政策框架参照</w:t>
      </w:r>
    </w:p>
    <w:p>
      <w:pPr>
        <w:spacing w:lineRule="exact" w:line="600" w:before="0" w:after="0"/>
        <w:ind w:firstLine="420"/>
        <w:jc w:val="both"/>
      </w:pPr>
      <w:r>
        <w:rPr>
          <w:rFonts w:ascii="仿宋_GB2312" w:hAnsi="仿宋_GB2312" w:eastAsia="仿宋_GB2312"/>
          <w:b w:val="0"/>
          <w:color w:val="000000"/>
          <w:sz w:val="32"/>
        </w:rPr>
        <w:t>从省级创新与技改政策看，山东省持续加大创新投入：省级科技资金2024年达145.2亿元，连续6年保持高强度投入；深入实施智能化技术改造行动计划，省财政安排技术改造资金6.25亿元，对符合条件的企业给予最高2000万元贷款贴息、最高500万元设备更新补贴，支持关键工序自动化、智能工厂与数字化车间建设。优质企业培育方面，到2025年力争培育专精特新中小企业1万家左右、制造业单项冠军企业1000家左右、产业生态主导型“链主”企业200家左右，构建覆盖创新型中小企业—专精特新—小巨人—单项冠军—领航企业的梯度培育体系。（来源：山东省财政厅，2024；省发展改革委/省工信厅，《先进制造业强省行动计划（2022—2025年）》）（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省级创新/技改指标</w:t>
            </w:r>
          </w:p>
        </w:tc>
        <w:tc>
          <w:tcPr>
            <w:tcW w:type="dxa" w:w="2551"/>
          </w:tcPr>
          <w:p>
            <w:pPr>
              <w:spacing w:lineRule="exact" w:line="600"/>
              <w:jc w:val="center"/>
            </w:pPr>
            <w:r/>
            <w:r>
              <w:rPr>
                <w:rFonts w:ascii="黑体" w:hAnsi="黑体" w:eastAsia="黑体"/>
                <w:b/>
                <w:color w:val="000000"/>
                <w:sz w:val="32"/>
              </w:rPr>
              <w:t>规模/目标</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省级科技资金（2024）</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bl>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120" w:after="120"/>
        <w:ind w:firstLine="420"/>
        <w:jc w:val="left"/>
      </w:pPr>
      <w:r>
        <w:rPr>
          <w:rFonts w:ascii="楷体_GB2312" w:hAnsi="楷体_GB2312" w:eastAsia="楷体_GB2312"/>
          <w:b w:val="0"/>
          <w:color w:val="000000"/>
          <w:sz w:val="32"/>
        </w:rPr>
        <w:t>（一）成本结构</w:t>
      </w:r>
    </w:p>
    <w:p>
      <w:pPr>
        <w:spacing w:lineRule="exact" w:line="600" w:before="0" w:after="0"/>
        <w:ind w:firstLine="420"/>
        <w:jc w:val="both"/>
      </w:pPr>
      <w:r>
        <w:rPr>
          <w:rFonts w:ascii="仿宋_GB2312" w:hAnsi="仿宋_GB2312" w:eastAsia="仿宋_GB2312"/>
          <w:b w:val="0"/>
          <w:color w:val="000000"/>
          <w:sz w:val="32"/>
        </w:rPr>
        <w:t>果蔬汁成本受果蔬原料与糖价影响，坚果炒货受瓜子、花生价格周期影响。佳美20万亩基地直采稳定成本；集中供热使园区用能成本降低30%以上（来源：网易、牡丹区发布，2024）。</w:t>
      </w:r>
    </w:p>
    <w:p>
      <w:pPr>
        <w:spacing w:lineRule="exact" w:line="600" w:before="120" w:after="120"/>
        <w:ind w:firstLine="420"/>
        <w:jc w:val="left"/>
      </w:pPr>
      <w:r>
        <w:rPr>
          <w:rFonts w:ascii="楷体_GB2312" w:hAnsi="楷体_GB2312" w:eastAsia="楷体_GB2312"/>
          <w:b w:val="0"/>
          <w:color w:val="000000"/>
          <w:sz w:val="32"/>
        </w:rPr>
        <w:t>（二）盈利水平</w:t>
      </w:r>
    </w:p>
    <w:p>
      <w:pPr>
        <w:spacing w:lineRule="exact" w:line="600" w:before="0" w:after="0"/>
        <w:ind w:firstLine="420"/>
        <w:jc w:val="both"/>
      </w:pPr>
      <w:r>
        <w:rPr>
          <w:rFonts w:ascii="仿宋_GB2312" w:hAnsi="仿宋_GB2312" w:eastAsia="仿宋_GB2312"/>
          <w:b w:val="0"/>
          <w:color w:val="000000"/>
          <w:sz w:val="32"/>
        </w:rPr>
        <w:t>佳美2024年营收9.06亿—10亿元、出口创汇3200万美元；沙土2024年营收3.1亿元、1—10月营收2.3亿元、税收1300万元（同比+15%），资产负债率仅8.2%，盈利稳健（来源：牡丹区政府、沙土食品报道，2024）。</w:t>
      </w:r>
    </w:p>
    <w:p>
      <w:pPr>
        <w:spacing w:lineRule="exact" w:line="600" w:before="120" w:after="120"/>
        <w:ind w:firstLine="420"/>
        <w:jc w:val="left"/>
      </w:pPr>
      <w:r>
        <w:rPr>
          <w:rFonts w:ascii="楷体_GB2312" w:hAnsi="楷体_GB2312" w:eastAsia="楷体_GB2312"/>
          <w:b w:val="0"/>
          <w:color w:val="000000"/>
          <w:sz w:val="32"/>
        </w:rPr>
        <w:t>（三）要素保障</w:t>
      </w:r>
    </w:p>
    <w:p>
      <w:pPr>
        <w:spacing w:lineRule="exact" w:line="600" w:before="0" w:after="0"/>
        <w:ind w:firstLine="420"/>
        <w:jc w:val="both"/>
      </w:pPr>
      <w:r>
        <w:rPr>
          <w:rFonts w:ascii="仿宋_GB2312" w:hAnsi="仿宋_GB2312" w:eastAsia="仿宋_GB2312"/>
          <w:b w:val="0"/>
          <w:color w:val="000000"/>
          <w:sz w:val="32"/>
        </w:rPr>
        <w:t>园区「七通一平」+污水处理厂+热力管网+冷链+检测中心；佳美配套万吨级冷冻能力（零下18/30度），冰韵冷链10个库满足急速冷冻（来源：牡丹区政府、菏泽广电，2024）。</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要素</w:t>
            </w:r>
          </w:p>
        </w:tc>
        <w:tc>
          <w:tcPr>
            <w:tcW w:type="dxa" w:w="3402"/>
          </w:tcPr>
          <w:p>
            <w:pPr>
              <w:spacing w:lineRule="exact" w:line="600"/>
              <w:jc w:val="center"/>
            </w:pPr>
            <w:r/>
            <w:r>
              <w:rPr>
                <w:rFonts w:ascii="黑体" w:hAnsi="黑体" w:eastAsia="黑体"/>
                <w:b/>
                <w:color w:val="000000"/>
                <w:sz w:val="32"/>
              </w:rPr>
              <w:t>供给</w:t>
            </w:r>
          </w:p>
        </w:tc>
        <w:tc>
          <w:tcPr>
            <w:tcW w:type="dxa" w:w="3402"/>
          </w:tcPr>
          <w:p>
            <w:pPr>
              <w:spacing w:lineRule="exact" w:line="600"/>
              <w:jc w:val="center"/>
            </w:pPr>
            <w:r/>
            <w:r>
              <w:rPr>
                <w:rFonts w:ascii="黑体" w:hAnsi="黑体" w:eastAsia="黑体"/>
                <w:b/>
                <w:color w:val="000000"/>
                <w:sz w:val="32"/>
              </w:rPr>
              <w:t>效果</w:t>
            </w:r>
          </w:p>
        </w:tc>
      </w:tr>
      <w:tr>
        <w:tc>
          <w:tcPr>
            <w:tcW w:type="dxa" w:w="2268"/>
          </w:tcPr>
          <w:p>
            <w:pPr>
              <w:spacing w:lineRule="exact" w:line="600"/>
              <w:jc w:val="center"/>
            </w:pPr>
            <w:r/>
            <w:r>
              <w:rPr>
                <w:rFonts w:ascii="仿宋_GB2312" w:hAnsi="仿宋_GB2312" w:eastAsia="仿宋_GB2312"/>
                <w:b w:val="0"/>
                <w:color w:val="000000"/>
                <w:sz w:val="32"/>
              </w:rPr>
              <w:t>原料基地</w:t>
            </w:r>
          </w:p>
        </w:tc>
        <w:tc>
          <w:tcPr>
            <w:tcW w:type="dxa" w:w="3402"/>
          </w:tcPr>
          <w:p>
            <w:pPr>
              <w:spacing w:lineRule="exact" w:line="600"/>
              <w:jc w:val="center"/>
            </w:pPr>
            <w:r/>
            <w:r>
              <w:rPr>
                <w:rFonts w:ascii="仿宋_GB2312" w:hAnsi="仿宋_GB2312" w:eastAsia="仿宋_GB2312"/>
                <w:b w:val="0"/>
                <w:color w:val="000000"/>
                <w:sz w:val="32"/>
              </w:rPr>
              <w:t>20万亩（佳美）</w:t>
            </w:r>
          </w:p>
        </w:tc>
        <w:tc>
          <w:tcPr>
            <w:tcW w:type="dxa" w:w="3402"/>
          </w:tcPr>
          <w:p>
            <w:pPr>
              <w:spacing w:lineRule="exact" w:line="600"/>
              <w:jc w:val="center"/>
            </w:pPr>
            <w:r/>
            <w:r>
              <w:rPr>
                <w:rFonts w:ascii="仿宋_GB2312" w:hAnsi="仿宋_GB2312" w:eastAsia="仿宋_GB2312"/>
                <w:b w:val="0"/>
                <w:color w:val="000000"/>
                <w:sz w:val="32"/>
              </w:rPr>
              <w:t>成本稳定</w:t>
            </w:r>
          </w:p>
        </w:tc>
      </w:tr>
      <w:tr>
        <w:tc>
          <w:tcPr>
            <w:tcW w:type="dxa" w:w="2268"/>
          </w:tcPr>
          <w:p>
            <w:pPr>
              <w:spacing w:lineRule="exact" w:line="600"/>
              <w:jc w:val="center"/>
            </w:pPr>
            <w:r/>
            <w:r>
              <w:rPr>
                <w:rFonts w:ascii="仿宋_GB2312" w:hAnsi="仿宋_GB2312" w:eastAsia="仿宋_GB2312"/>
                <w:b w:val="0"/>
                <w:color w:val="000000"/>
                <w:sz w:val="32"/>
              </w:rPr>
              <w:t>能源</w:t>
            </w:r>
          </w:p>
        </w:tc>
        <w:tc>
          <w:tcPr>
            <w:tcW w:type="dxa" w:w="3402"/>
          </w:tcPr>
          <w:p>
            <w:pPr>
              <w:spacing w:lineRule="exact" w:line="600"/>
              <w:jc w:val="center"/>
            </w:pPr>
            <w:r/>
            <w:r>
              <w:rPr>
                <w:rFonts w:ascii="仿宋_GB2312" w:hAnsi="仿宋_GB2312" w:eastAsia="仿宋_GB2312"/>
                <w:b w:val="0"/>
                <w:color w:val="000000"/>
                <w:sz w:val="32"/>
              </w:rPr>
              <w:t>集中供热</w:t>
            </w:r>
          </w:p>
        </w:tc>
        <w:tc>
          <w:tcPr>
            <w:tcW w:type="dxa" w:w="3402"/>
          </w:tcPr>
          <w:p>
            <w:pPr>
              <w:spacing w:lineRule="exact" w:line="600"/>
              <w:jc w:val="center"/>
            </w:pPr>
            <w:r/>
            <w:r>
              <w:rPr>
                <w:rFonts w:ascii="仿宋_GB2312" w:hAnsi="仿宋_GB2312" w:eastAsia="仿宋_GB2312"/>
                <w:b w:val="0"/>
                <w:color w:val="000000"/>
                <w:sz w:val="32"/>
              </w:rPr>
              <w:t>成本-30%以上</w:t>
            </w:r>
          </w:p>
        </w:tc>
      </w:tr>
      <w:tr>
        <w:tc>
          <w:tcPr>
            <w:tcW w:type="dxa" w:w="2268"/>
          </w:tcPr>
          <w:p>
            <w:pPr>
              <w:spacing w:lineRule="exact" w:line="600"/>
              <w:jc w:val="center"/>
            </w:pPr>
            <w:r/>
            <w:r>
              <w:rPr>
                <w:rFonts w:ascii="仿宋_GB2312" w:hAnsi="仿宋_GB2312" w:eastAsia="仿宋_GB2312"/>
                <w:b w:val="0"/>
                <w:color w:val="000000"/>
                <w:sz w:val="32"/>
              </w:rPr>
              <w:t>冷链</w:t>
            </w:r>
          </w:p>
        </w:tc>
        <w:tc>
          <w:tcPr>
            <w:tcW w:type="dxa" w:w="3402"/>
          </w:tcPr>
          <w:p>
            <w:pPr>
              <w:spacing w:lineRule="exact" w:line="600"/>
              <w:jc w:val="center"/>
            </w:pPr>
            <w:r/>
            <w:r>
              <w:rPr>
                <w:rFonts w:ascii="仿宋_GB2312" w:hAnsi="仿宋_GB2312" w:eastAsia="仿宋_GB2312"/>
                <w:b w:val="0"/>
                <w:color w:val="000000"/>
                <w:sz w:val="32"/>
              </w:rPr>
              <w:t>万吨级冷库</w:t>
            </w:r>
          </w:p>
        </w:tc>
        <w:tc>
          <w:tcPr>
            <w:tcW w:type="dxa" w:w="3402"/>
          </w:tcPr>
          <w:p>
            <w:pPr>
              <w:spacing w:lineRule="exact" w:line="600"/>
              <w:jc w:val="center"/>
            </w:pPr>
            <w:r/>
            <w:r>
              <w:rPr>
                <w:rFonts w:ascii="仿宋_GB2312" w:hAnsi="仿宋_GB2312" w:eastAsia="仿宋_GB2312"/>
                <w:b w:val="0"/>
                <w:color w:val="000000"/>
                <w:sz w:val="32"/>
              </w:rPr>
              <w:t>支撑鲜榨/冻品</w:t>
            </w:r>
          </w:p>
        </w:tc>
      </w:tr>
      <w:tr>
        <w:tc>
          <w:tcPr>
            <w:tcW w:type="dxa" w:w="2268"/>
          </w:tcPr>
          <w:p>
            <w:pPr>
              <w:spacing w:lineRule="exact" w:line="600"/>
              <w:jc w:val="center"/>
            </w:pPr>
            <w:r/>
            <w:r>
              <w:rPr>
                <w:rFonts w:ascii="仿宋_GB2312" w:hAnsi="仿宋_GB2312" w:eastAsia="仿宋_GB2312"/>
                <w:b w:val="0"/>
                <w:color w:val="000000"/>
                <w:sz w:val="32"/>
              </w:rPr>
              <w:t>检测</w:t>
            </w:r>
          </w:p>
        </w:tc>
        <w:tc>
          <w:tcPr>
            <w:tcW w:type="dxa" w:w="3402"/>
          </w:tcPr>
          <w:p>
            <w:pPr>
              <w:spacing w:lineRule="exact" w:line="600"/>
              <w:jc w:val="center"/>
            </w:pPr>
            <w:r/>
            <w:r>
              <w:rPr>
                <w:rFonts w:ascii="仿宋_GB2312" w:hAnsi="仿宋_GB2312" w:eastAsia="仿宋_GB2312"/>
                <w:b w:val="0"/>
                <w:color w:val="000000"/>
                <w:sz w:val="32"/>
              </w:rPr>
              <w:t>食品检测中心</w:t>
            </w:r>
          </w:p>
        </w:tc>
        <w:tc>
          <w:tcPr>
            <w:tcW w:type="dxa" w:w="3402"/>
          </w:tcPr>
          <w:p>
            <w:pPr>
              <w:spacing w:lineRule="exact" w:line="600"/>
              <w:jc w:val="center"/>
            </w:pPr>
            <w:r/>
            <w:r>
              <w:rPr>
                <w:rFonts w:ascii="仿宋_GB2312" w:hAnsi="仿宋_GB2312" w:eastAsia="仿宋_GB2312"/>
                <w:b w:val="0"/>
                <w:color w:val="000000"/>
                <w:sz w:val="32"/>
              </w:rPr>
              <w:t>质量保障</w:t>
            </w:r>
          </w:p>
        </w:tc>
      </w:tr>
      <w:tr>
        <w:tc>
          <w:tcPr>
            <w:tcW w:type="dxa" w:w="2268"/>
          </w:tcPr>
          <w:p>
            <w:pPr>
              <w:spacing w:lineRule="exact" w:line="600"/>
              <w:jc w:val="center"/>
            </w:pPr>
            <w:r/>
            <w:r>
              <w:rPr>
                <w:rFonts w:ascii="仿宋_GB2312" w:hAnsi="仿宋_GB2312" w:eastAsia="仿宋_GB2312"/>
                <w:b w:val="0"/>
                <w:color w:val="000000"/>
                <w:sz w:val="32"/>
              </w:rPr>
              <w:t>物流</w:t>
            </w:r>
          </w:p>
        </w:tc>
        <w:tc>
          <w:tcPr>
            <w:tcW w:type="dxa" w:w="3402"/>
          </w:tcPr>
          <w:p>
            <w:pPr>
              <w:spacing w:lineRule="exact" w:line="600"/>
              <w:jc w:val="center"/>
            </w:pPr>
            <w:r/>
            <w:r>
              <w:rPr>
                <w:rFonts w:ascii="仿宋_GB2312" w:hAnsi="仿宋_GB2312" w:eastAsia="仿宋_GB2312"/>
                <w:b w:val="0"/>
                <w:color w:val="000000"/>
                <w:sz w:val="32"/>
              </w:rPr>
              <w:t>济铁物流园</w:t>
            </w:r>
          </w:p>
        </w:tc>
        <w:tc>
          <w:tcPr>
            <w:tcW w:type="dxa" w:w="3402"/>
          </w:tcPr>
          <w:p>
            <w:pPr>
              <w:spacing w:lineRule="exact" w:line="600"/>
              <w:jc w:val="center"/>
            </w:pPr>
            <w:r/>
            <w:r>
              <w:rPr>
                <w:rFonts w:ascii="仿宋_GB2312" w:hAnsi="仿宋_GB2312" w:eastAsia="仿宋_GB2312"/>
                <w:b w:val="0"/>
                <w:color w:val="000000"/>
                <w:sz w:val="32"/>
              </w:rPr>
              <w:t>便捷出口</w:t>
            </w:r>
          </w:p>
        </w:tc>
      </w:tr>
    </w:tbl>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120" w:after="120"/>
        <w:ind w:firstLine="420"/>
        <w:jc w:val="left"/>
      </w:pPr>
      <w:r>
        <w:rPr>
          <w:rFonts w:ascii="楷体_GB2312" w:hAnsi="楷体_GB2312" w:eastAsia="楷体_GB2312"/>
          <w:b w:val="0"/>
          <w:color w:val="000000"/>
          <w:sz w:val="32"/>
        </w:rPr>
        <w:t>（一）机遇</w:t>
      </w:r>
    </w:p>
    <w:p>
      <w:pPr>
        <w:spacing w:lineRule="exact" w:line="600" w:before="0" w:after="0"/>
        <w:ind w:firstLine="420"/>
        <w:jc w:val="both"/>
      </w:pPr>
      <w:r>
        <w:rPr>
          <w:rFonts w:ascii="仿宋_GB2312" w:hAnsi="仿宋_GB2312" w:eastAsia="仿宋_GB2312"/>
          <w:b w:val="0"/>
          <w:color w:val="000000"/>
          <w:sz w:val="32"/>
        </w:rPr>
        <w:t>新茶饮与咖啡供应链、健康休闲零食、出口市场持续扩容；HPP等保鲜技术支撑高端鲜榨放量（来源：行业共性研判、沙土镇报道，2024）。</w:t>
      </w:r>
    </w:p>
    <w:p>
      <w:pPr>
        <w:spacing w:lineRule="exact" w:line="600" w:before="120" w:after="120"/>
        <w:ind w:firstLine="420"/>
        <w:jc w:val="left"/>
      </w:pPr>
      <w:r>
        <w:rPr>
          <w:rFonts w:ascii="楷体_GB2312" w:hAnsi="楷体_GB2312" w:eastAsia="楷体_GB2312"/>
          <w:b w:val="0"/>
          <w:color w:val="000000"/>
          <w:sz w:val="32"/>
        </w:rPr>
        <w:t>（二）挑战</w:t>
      </w:r>
    </w:p>
    <w:p>
      <w:pPr>
        <w:spacing w:lineRule="exact" w:line="600" w:before="0" w:after="0"/>
        <w:ind w:firstLine="420"/>
        <w:jc w:val="both"/>
      </w:pPr>
      <w:r>
        <w:rPr>
          <w:rFonts w:ascii="仿宋_GB2312" w:hAnsi="仿宋_GB2312" w:eastAsia="仿宋_GB2312"/>
          <w:b w:val="0"/>
          <w:color w:val="000000"/>
          <w:sz w:val="32"/>
        </w:rPr>
        <w:t>坚果炒货同质化与价格战、原料周期波动、新茶饮客户集中带来的议价压力；中小代工利润薄（来源：行业共性研判）。</w:t>
      </w:r>
    </w:p>
    <w:p>
      <w:pPr>
        <w:spacing w:lineRule="exact" w:line="600" w:before="120" w:after="120"/>
        <w:ind w:firstLine="420"/>
        <w:jc w:val="left"/>
      </w:pPr>
      <w:r>
        <w:rPr>
          <w:rFonts w:ascii="楷体_GB2312" w:hAnsi="楷体_GB2312" w:eastAsia="楷体_GB2312"/>
          <w:b w:val="0"/>
          <w:color w:val="000000"/>
          <w:sz w:val="32"/>
        </w:rPr>
        <w:t>（三）风险</w:t>
      </w:r>
    </w:p>
    <w:p>
      <w:pPr>
        <w:spacing w:lineRule="exact" w:line="600" w:before="0" w:after="0"/>
        <w:ind w:firstLine="420"/>
        <w:jc w:val="both"/>
      </w:pPr>
      <w:r>
        <w:rPr>
          <w:rFonts w:ascii="仿宋_GB2312" w:hAnsi="仿宋_GB2312" w:eastAsia="仿宋_GB2312"/>
          <w:b w:val="0"/>
          <w:color w:val="000000"/>
          <w:sz w:val="32"/>
        </w:rPr>
        <w:t>原料价格大幅波动、食安事件、出口技术性贸易壁垒与汇率风险，为主要风险点（来源：行业共性研判）。</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维度</w:t>
            </w:r>
          </w:p>
        </w:tc>
        <w:tc>
          <w:tcPr>
            <w:tcW w:type="dxa" w:w="3685"/>
          </w:tcPr>
          <w:p>
            <w:pPr>
              <w:spacing w:lineRule="exact" w:line="600"/>
              <w:jc w:val="center"/>
            </w:pPr>
            <w:r/>
            <w:r>
              <w:rPr>
                <w:rFonts w:ascii="黑体" w:hAnsi="黑体" w:eastAsia="黑体"/>
                <w:b/>
                <w:color w:val="000000"/>
                <w:sz w:val="32"/>
              </w:rPr>
              <w:t>内容</w:t>
            </w:r>
          </w:p>
        </w:tc>
        <w:tc>
          <w:tcPr>
            <w:tcW w:type="dxa" w:w="3118"/>
          </w:tcPr>
          <w:p>
            <w:pPr>
              <w:spacing w:lineRule="exact" w:line="600"/>
              <w:jc w:val="center"/>
            </w:pPr>
            <w:r/>
            <w:r>
              <w:rPr>
                <w:rFonts w:ascii="黑体" w:hAnsi="黑体" w:eastAsia="黑体"/>
                <w:b/>
                <w:color w:val="000000"/>
                <w:sz w:val="32"/>
              </w:rPr>
              <w:t>影响</w:t>
            </w:r>
          </w:p>
        </w:tc>
      </w:tr>
      <w:tr>
        <w:tc>
          <w:tcPr>
            <w:tcW w:type="dxa" w:w="2268"/>
          </w:tcPr>
          <w:p>
            <w:pPr>
              <w:spacing w:lineRule="exact" w:line="600"/>
              <w:jc w:val="center"/>
            </w:pPr>
            <w:r/>
            <w:r>
              <w:rPr>
                <w:rFonts w:ascii="仿宋_GB2312" w:hAnsi="仿宋_GB2312" w:eastAsia="仿宋_GB2312"/>
                <w:b w:val="0"/>
                <w:color w:val="000000"/>
                <w:sz w:val="32"/>
              </w:rPr>
              <w:t>机遇</w:t>
            </w:r>
          </w:p>
        </w:tc>
        <w:tc>
          <w:tcPr>
            <w:tcW w:type="dxa" w:w="3685"/>
          </w:tcPr>
          <w:p>
            <w:pPr>
              <w:spacing w:lineRule="exact" w:line="600"/>
              <w:jc w:val="center"/>
            </w:pPr>
            <w:r/>
            <w:r>
              <w:rPr>
                <w:rFonts w:ascii="仿宋_GB2312" w:hAnsi="仿宋_GB2312" w:eastAsia="仿宋_GB2312"/>
                <w:b w:val="0"/>
                <w:color w:val="000000"/>
                <w:sz w:val="32"/>
              </w:rPr>
              <w:t>新茶饮/健康/出口</w:t>
            </w:r>
          </w:p>
        </w:tc>
        <w:tc>
          <w:tcPr>
            <w:tcW w:type="dxa" w:w="3118"/>
          </w:tcPr>
          <w:p>
            <w:pPr>
              <w:spacing w:lineRule="exact" w:line="600"/>
              <w:jc w:val="center"/>
            </w:pPr>
            <w:r/>
            <w:r>
              <w:rPr>
                <w:rFonts w:ascii="仿宋_GB2312" w:hAnsi="仿宋_GB2312" w:eastAsia="仿宋_GB2312"/>
                <w:b w:val="0"/>
                <w:color w:val="000000"/>
                <w:sz w:val="32"/>
              </w:rPr>
              <w:t>需求升级</w:t>
            </w:r>
          </w:p>
        </w:tc>
      </w:tr>
      <w:tr>
        <w:tc>
          <w:tcPr>
            <w:tcW w:type="dxa" w:w="2268"/>
          </w:tcPr>
          <w:p>
            <w:pPr>
              <w:spacing w:lineRule="exact" w:line="600"/>
              <w:jc w:val="center"/>
            </w:pPr>
            <w:r/>
            <w:r>
              <w:rPr>
                <w:rFonts w:ascii="仿宋_GB2312" w:hAnsi="仿宋_GB2312" w:eastAsia="仿宋_GB2312"/>
                <w:b w:val="0"/>
                <w:color w:val="000000"/>
                <w:sz w:val="32"/>
              </w:rPr>
              <w:t>挑战</w:t>
            </w:r>
          </w:p>
        </w:tc>
        <w:tc>
          <w:tcPr>
            <w:tcW w:type="dxa" w:w="3685"/>
          </w:tcPr>
          <w:p>
            <w:pPr>
              <w:spacing w:lineRule="exact" w:line="600"/>
              <w:jc w:val="center"/>
            </w:pPr>
            <w:r/>
            <w:r>
              <w:rPr>
                <w:rFonts w:ascii="仿宋_GB2312" w:hAnsi="仿宋_GB2312" w:eastAsia="仿宋_GB2312"/>
                <w:b w:val="0"/>
                <w:color w:val="000000"/>
                <w:sz w:val="32"/>
              </w:rPr>
              <w:t>同质化/原料/客户集中</w:t>
            </w:r>
          </w:p>
        </w:tc>
        <w:tc>
          <w:tcPr>
            <w:tcW w:type="dxa" w:w="3118"/>
          </w:tcPr>
          <w:p>
            <w:pPr>
              <w:spacing w:lineRule="exact" w:line="600"/>
              <w:jc w:val="center"/>
            </w:pPr>
            <w:r/>
            <w:r>
              <w:rPr>
                <w:rFonts w:ascii="仿宋_GB2312" w:hAnsi="仿宋_GB2312" w:eastAsia="仿宋_GB2312"/>
                <w:b w:val="0"/>
                <w:color w:val="000000"/>
                <w:sz w:val="32"/>
              </w:rPr>
              <w:t>利润受限</w:t>
            </w:r>
          </w:p>
        </w:tc>
      </w:tr>
      <w:tr>
        <w:tc>
          <w:tcPr>
            <w:tcW w:type="dxa" w:w="2268"/>
          </w:tcPr>
          <w:p>
            <w:pPr>
              <w:spacing w:lineRule="exact" w:line="600"/>
              <w:jc w:val="center"/>
            </w:pPr>
            <w:r/>
            <w:r>
              <w:rPr>
                <w:rFonts w:ascii="仿宋_GB2312" w:hAnsi="仿宋_GB2312" w:eastAsia="仿宋_GB2312"/>
                <w:b w:val="0"/>
                <w:color w:val="000000"/>
                <w:sz w:val="32"/>
              </w:rPr>
              <w:t>风险</w:t>
            </w:r>
          </w:p>
        </w:tc>
        <w:tc>
          <w:tcPr>
            <w:tcW w:type="dxa" w:w="3685"/>
          </w:tcPr>
          <w:p>
            <w:pPr>
              <w:spacing w:lineRule="exact" w:line="600"/>
              <w:jc w:val="center"/>
            </w:pPr>
            <w:r/>
            <w:r>
              <w:rPr>
                <w:rFonts w:ascii="仿宋_GB2312" w:hAnsi="仿宋_GB2312" w:eastAsia="仿宋_GB2312"/>
                <w:b w:val="0"/>
                <w:color w:val="000000"/>
                <w:sz w:val="32"/>
              </w:rPr>
              <w:t>价波动/食安/贸易壁垒</w:t>
            </w:r>
          </w:p>
        </w:tc>
        <w:tc>
          <w:tcPr>
            <w:tcW w:type="dxa" w:w="3118"/>
          </w:tcPr>
          <w:p>
            <w:pPr>
              <w:spacing w:lineRule="exact" w:line="600"/>
              <w:jc w:val="center"/>
            </w:pPr>
            <w:r/>
            <w:r>
              <w:rPr>
                <w:rFonts w:ascii="仿宋_GB2312" w:hAnsi="仿宋_GB2312" w:eastAsia="仿宋_GB2312"/>
                <w:b w:val="0"/>
                <w:color w:val="000000"/>
                <w:sz w:val="32"/>
              </w:rPr>
              <w:t>经营波动</w:t>
            </w:r>
          </w:p>
        </w:tc>
      </w:tr>
      <w:tr>
        <w:tc>
          <w:tcPr>
            <w:tcW w:type="dxa" w:w="2268"/>
          </w:tcPr>
          <w:p>
            <w:pPr>
              <w:spacing w:lineRule="exact" w:line="600"/>
              <w:jc w:val="center"/>
            </w:pPr>
            <w:r/>
            <w:r>
              <w:rPr>
                <w:rFonts w:ascii="仿宋_GB2312" w:hAnsi="仿宋_GB2312" w:eastAsia="仿宋_GB2312"/>
                <w:b w:val="0"/>
                <w:color w:val="000000"/>
                <w:sz w:val="32"/>
              </w:rPr>
              <w:t>对策</w:t>
            </w:r>
          </w:p>
        </w:tc>
        <w:tc>
          <w:tcPr>
            <w:tcW w:type="dxa" w:w="3685"/>
          </w:tcPr>
          <w:p>
            <w:pPr>
              <w:spacing w:lineRule="exact" w:line="600"/>
              <w:jc w:val="center"/>
            </w:pPr>
            <w:r/>
            <w:r>
              <w:rPr>
                <w:rFonts w:ascii="仿宋_GB2312" w:hAnsi="仿宋_GB2312" w:eastAsia="仿宋_GB2312"/>
                <w:b w:val="0"/>
                <w:color w:val="000000"/>
                <w:sz w:val="32"/>
              </w:rPr>
              <w:t>技术+品牌+基地</w:t>
            </w:r>
          </w:p>
        </w:tc>
        <w:tc>
          <w:tcPr>
            <w:tcW w:type="dxa" w:w="3118"/>
          </w:tcPr>
          <w:p>
            <w:pPr>
              <w:spacing w:lineRule="exact" w:line="600"/>
              <w:jc w:val="center"/>
            </w:pPr>
            <w:r/>
            <w:r>
              <w:rPr>
                <w:rFonts w:ascii="仿宋_GB2312" w:hAnsi="仿宋_GB2312" w:eastAsia="仿宋_GB2312"/>
                <w:b w:val="0"/>
                <w:color w:val="000000"/>
                <w:sz w:val="32"/>
              </w:rPr>
              <w:t>增强韧性</w:t>
            </w:r>
          </w:p>
        </w:tc>
      </w:tr>
    </w:tbl>
    <w:p>
      <w:pPr>
        <w:spacing w:lineRule="exact" w:line="600" w:before="120" w:after="120"/>
        <w:ind w:firstLine="420"/>
        <w:jc w:val="left"/>
      </w:pPr>
      <w:r>
        <w:rPr>
          <w:rFonts w:ascii="楷体_GB2312" w:hAnsi="楷体_GB2312" w:eastAsia="楷体_GB2312"/>
          <w:b w:val="0"/>
          <w:color w:val="000000"/>
          <w:sz w:val="32"/>
        </w:rPr>
        <w:t>（七）省级层面机遇、挑战与风险框架参照</w:t>
      </w:r>
    </w:p>
    <w:p>
      <w:pPr>
        <w:spacing w:lineRule="exact" w:line="600" w:before="0" w:after="0"/>
        <w:ind w:firstLine="420"/>
        <w:jc w:val="both"/>
      </w:pPr>
      <w:r>
        <w:rPr>
          <w:rFonts w:ascii="仿宋_GB2312" w:hAnsi="仿宋_GB2312" w:eastAsia="仿宋_GB2312"/>
          <w:b w:val="0"/>
          <w:color w:val="000000"/>
          <w:sz w:val="32"/>
        </w:rPr>
        <w:t>从省级产业环境看，本集群面临三方面宏观态势。机遇：山东省以“链长制”（总链长+链长+链主，19条标志性产业链）推进“融链固链”，绿色低碳高质量发展先行区引导基金规模100亿元、撬动不低于300亿元投资，为升级项目提供资金与场景；省级科技资金2024年145.2亿元、技改专项贷等工具降低创新与技改成本。挑战：双碳约束趋紧，“十四五”期间规模以上工业单位增加值能耗需下降17%左右，重点行业先进产能占比到2027年目标超过60%，节能降碳改造压力大。风险：部分细分领域存在产能过剩与同质化竞争，国际贸易摩擦与原材料价格波动亦对出口型环节形成扰动，需强化产业链韧性与供应链安全。（来源：山东省发展改革委/省工信厅，《先进制造业强省行动计划（2022—2025年）》；省新动能基金/大众日报，2024—2025；省财政厅，2024）（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3685"/>
          </w:tcPr>
          <w:p>
            <w:pPr>
              <w:spacing w:lineRule="exact" w:line="600"/>
              <w:jc w:val="center"/>
            </w:pPr>
            <w:r/>
            <w:r>
              <w:rPr>
                <w:rFonts w:ascii="黑体" w:hAnsi="黑体" w:eastAsia="黑体"/>
                <w:b/>
                <w:color w:val="000000"/>
                <w:sz w:val="32"/>
              </w:rPr>
              <w:t>省级态势</w:t>
            </w:r>
          </w:p>
        </w:tc>
        <w:tc>
          <w:tcPr>
            <w:tcW w:type="dxa" w:w="3118"/>
          </w:tcPr>
          <w:p>
            <w:pPr>
              <w:spacing w:lineRule="exact" w:line="600"/>
              <w:jc w:val="center"/>
            </w:pPr>
            <w:r/>
            <w:r>
              <w:rPr>
                <w:rFonts w:ascii="黑体" w:hAnsi="黑体" w:eastAsia="黑体"/>
                <w:b/>
                <w:color w:val="000000"/>
                <w:sz w:val="32"/>
              </w:rPr>
              <w:t>关键指标/方向</w:t>
            </w:r>
          </w:p>
        </w:tc>
        <w:tc>
          <w:tcPr>
            <w:tcW w:type="dxa" w:w="2551"/>
          </w:tcPr>
          <w:p>
            <w:pPr>
              <w:spacing w:lineRule="exact" w:line="600"/>
              <w:jc w:val="center"/>
            </w:pPr>
            <w:r/>
            <w:r>
              <w:rPr>
                <w:rFonts w:ascii="黑体" w:hAnsi="黑体" w:eastAsia="黑体"/>
                <w:b/>
                <w:color w:val="000000"/>
                <w:sz w:val="32"/>
              </w:rPr>
              <w:t>来源/年份</w:t>
            </w:r>
          </w:p>
        </w:tc>
      </w:tr>
      <w:tr>
        <w:tc>
          <w:tcPr>
            <w:tcW w:type="dxa" w:w="3685"/>
          </w:tcPr>
          <w:p>
            <w:pPr>
              <w:spacing w:lineRule="exact" w:line="600"/>
              <w:jc w:val="center"/>
            </w:pPr>
            <w:r/>
            <w:r>
              <w:rPr>
                <w:rFonts w:ascii="仿宋_GB2312" w:hAnsi="仿宋_GB2312" w:eastAsia="仿宋_GB2312"/>
                <w:b w:val="0"/>
                <w:color w:val="000000"/>
                <w:sz w:val="32"/>
              </w:rPr>
              <w:t>机遇：标志性产业链</w:t>
            </w:r>
          </w:p>
        </w:tc>
        <w:tc>
          <w:tcPr>
            <w:tcW w:type="dxa" w:w="3118"/>
          </w:tcPr>
          <w:p>
            <w:pPr>
              <w:spacing w:lineRule="exact" w:line="600"/>
              <w:jc w:val="center"/>
            </w:pPr>
            <w:r/>
            <w:r>
              <w:rPr>
                <w:rFonts w:ascii="仿宋_GB2312" w:hAnsi="仿宋_GB2312" w:eastAsia="仿宋_GB2312"/>
                <w:b w:val="0"/>
                <w:color w:val="000000"/>
                <w:sz w:val="32"/>
              </w:rPr>
              <w:t>19条（链长制）</w:t>
            </w:r>
          </w:p>
        </w:tc>
        <w:tc>
          <w:tcPr>
            <w:tcW w:type="dxa" w:w="2551"/>
          </w:tcPr>
          <w:p>
            <w:pPr>
              <w:spacing w:lineRule="exact" w:line="600"/>
              <w:jc w:val="center"/>
            </w:pPr>
            <w:r/>
            <w:r>
              <w:rPr>
                <w:rFonts w:ascii="仿宋_GB2312" w:hAnsi="仿宋_GB2312" w:eastAsia="仿宋_GB2312"/>
                <w:b w:val="0"/>
                <w:color w:val="000000"/>
                <w:sz w:val="32"/>
              </w:rPr>
              <w:t>省工信厅，2025</w:t>
            </w:r>
          </w:p>
        </w:tc>
      </w:tr>
      <w:tr>
        <w:tc>
          <w:tcPr>
            <w:tcW w:type="dxa" w:w="3685"/>
          </w:tcPr>
          <w:p>
            <w:pPr>
              <w:spacing w:lineRule="exact" w:line="600"/>
              <w:jc w:val="center"/>
            </w:pPr>
            <w:r/>
            <w:r>
              <w:rPr>
                <w:rFonts w:ascii="仿宋_GB2312" w:hAnsi="仿宋_GB2312" w:eastAsia="仿宋_GB2312"/>
                <w:b w:val="0"/>
                <w:color w:val="000000"/>
                <w:sz w:val="32"/>
              </w:rPr>
              <w:t>机遇：绿色引导基金</w:t>
            </w:r>
          </w:p>
        </w:tc>
        <w:tc>
          <w:tcPr>
            <w:tcW w:type="dxa" w:w="3118"/>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3685"/>
          </w:tcPr>
          <w:p>
            <w:pPr>
              <w:spacing w:lineRule="exact" w:line="600"/>
              <w:jc w:val="center"/>
            </w:pPr>
            <w:r/>
            <w:r>
              <w:rPr>
                <w:rFonts w:ascii="仿宋_GB2312" w:hAnsi="仿宋_GB2312" w:eastAsia="仿宋_GB2312"/>
                <w:b w:val="0"/>
                <w:color w:val="000000"/>
                <w:sz w:val="32"/>
              </w:rPr>
              <w:t>机遇：科技/技改资金</w:t>
            </w:r>
          </w:p>
        </w:tc>
        <w:tc>
          <w:tcPr>
            <w:tcW w:type="dxa" w:w="3118"/>
          </w:tcPr>
          <w:p>
            <w:pPr>
              <w:spacing w:lineRule="exact" w:line="600"/>
              <w:jc w:val="center"/>
            </w:pPr>
            <w:r/>
            <w:r>
              <w:rPr>
                <w:rFonts w:ascii="仿宋_GB2312" w:hAnsi="仿宋_GB2312" w:eastAsia="仿宋_GB2312"/>
                <w:b w:val="0"/>
                <w:color w:val="000000"/>
                <w:sz w:val="32"/>
              </w:rPr>
              <w:t>145.2亿 / 6.25亿元</w:t>
            </w:r>
          </w:p>
        </w:tc>
        <w:tc>
          <w:tcPr>
            <w:tcW w:type="dxa" w:w="2551"/>
          </w:tcPr>
          <w:p>
            <w:pPr>
              <w:spacing w:lineRule="exact" w:line="600"/>
              <w:jc w:val="center"/>
            </w:pPr>
            <w:r/>
            <w:r>
              <w:rPr>
                <w:rFonts w:ascii="仿宋_GB2312" w:hAnsi="仿宋_GB2312" w:eastAsia="仿宋_GB2312"/>
                <w:b w:val="0"/>
                <w:color w:val="000000"/>
                <w:sz w:val="32"/>
              </w:rPr>
              <w:t>省财政厅/发改委，2024-2025</w:t>
            </w:r>
          </w:p>
        </w:tc>
      </w:tr>
      <w:tr>
        <w:tc>
          <w:tcPr>
            <w:tcW w:type="dxa" w:w="3685"/>
          </w:tcPr>
          <w:p>
            <w:pPr>
              <w:spacing w:lineRule="exact" w:line="600"/>
              <w:jc w:val="center"/>
            </w:pPr>
            <w:r/>
            <w:r>
              <w:rPr>
                <w:rFonts w:ascii="仿宋_GB2312" w:hAnsi="仿宋_GB2312" w:eastAsia="仿宋_GB2312"/>
                <w:b w:val="0"/>
                <w:color w:val="000000"/>
                <w:sz w:val="32"/>
              </w:rPr>
              <w:t>挑战：规上工业能耗</w:t>
            </w:r>
          </w:p>
        </w:tc>
        <w:tc>
          <w:tcPr>
            <w:tcW w:type="dxa" w:w="3118"/>
          </w:tcPr>
          <w:p>
            <w:pPr>
              <w:spacing w:lineRule="exact" w:line="600"/>
              <w:jc w:val="center"/>
            </w:pPr>
            <w:r/>
            <w:r>
              <w:rPr>
                <w:rFonts w:ascii="仿宋_GB2312" w:hAnsi="仿宋_GB2312" w:eastAsia="仿宋_GB2312"/>
                <w:b w:val="0"/>
                <w:color w:val="000000"/>
                <w:sz w:val="32"/>
              </w:rPr>
              <w:t>十四五降17%左右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挑战：先进产能占比</w:t>
            </w:r>
          </w:p>
        </w:tc>
        <w:tc>
          <w:tcPr>
            <w:tcW w:type="dxa" w:w="3118"/>
          </w:tcPr>
          <w:p>
            <w:pPr>
              <w:spacing w:lineRule="exact" w:line="600"/>
              <w:jc w:val="center"/>
            </w:pPr>
            <w:r/>
            <w:r>
              <w:rPr>
                <w:rFonts w:ascii="仿宋_GB2312" w:hAnsi="仿宋_GB2312" w:eastAsia="仿宋_GB2312"/>
                <w:b w:val="0"/>
                <w:color w:val="000000"/>
                <w:sz w:val="32"/>
              </w:rPr>
              <w:t>到2027年超过60%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风险：过剩/贸易/价格波动</w:t>
            </w:r>
          </w:p>
        </w:tc>
        <w:tc>
          <w:tcPr>
            <w:tcW w:type="dxa" w:w="3118"/>
          </w:tcPr>
          <w:p>
            <w:pPr>
              <w:spacing w:lineRule="exact" w:line="600"/>
              <w:jc w:val="center"/>
            </w:pPr>
            <w:r/>
            <w:r>
              <w:rPr>
                <w:rFonts w:ascii="仿宋_GB2312" w:hAnsi="仿宋_GB2312" w:eastAsia="仿宋_GB2312"/>
                <w:b w:val="0"/>
                <w:color w:val="000000"/>
                <w:sz w:val="32"/>
              </w:rPr>
              <w:t>需强化产业链韧性</w:t>
            </w:r>
          </w:p>
        </w:tc>
        <w:tc>
          <w:tcPr>
            <w:tcW w:type="dxa" w:w="2551"/>
          </w:tcPr>
          <w:p>
            <w:pPr>
              <w:spacing w:lineRule="exact" w:line="600"/>
              <w:jc w:val="center"/>
            </w:pPr>
            <w:r/>
            <w:r>
              <w:rPr>
                <w:rFonts w:ascii="仿宋_GB2312" w:hAnsi="仿宋_GB2312" w:eastAsia="仿宋_GB2312"/>
                <w:b w:val="0"/>
                <w:color w:val="000000"/>
                <w:sz w:val="32"/>
              </w:rPr>
              <w:t>行业共性研判</w:t>
            </w:r>
          </w:p>
        </w:tc>
      </w:tr>
    </w:tbl>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120" w:after="120"/>
        <w:ind w:firstLine="420"/>
        <w:jc w:val="left"/>
      </w:pPr>
      <w:r>
        <w:rPr>
          <w:rFonts w:ascii="楷体_GB2312" w:hAnsi="楷体_GB2312" w:eastAsia="楷体_GB2312"/>
          <w:b w:val="0"/>
          <w:color w:val="000000"/>
          <w:sz w:val="32"/>
        </w:rPr>
        <w:t>（一）技术高端化</w:t>
      </w:r>
    </w:p>
    <w:p>
      <w:pPr>
        <w:spacing w:lineRule="exact" w:line="600" w:before="0" w:after="0"/>
        <w:ind w:firstLine="420"/>
        <w:jc w:val="both"/>
      </w:pPr>
      <w:r>
        <w:rPr>
          <w:rFonts w:ascii="仿宋_GB2312" w:hAnsi="仿宋_GB2312" w:eastAsia="仿宋_GB2312"/>
          <w:b w:val="0"/>
          <w:color w:val="000000"/>
          <w:sz w:val="32"/>
        </w:rPr>
        <w:t>以HPP超高压、无菌灌装、全自动化提升品质与产能，佳美产能由2万吨跃升至10万吨，鲜榨果汁切入高端茶饮供应链（来源：沙土镇综述，2024）。</w:t>
      </w:r>
    </w:p>
    <w:p>
      <w:pPr>
        <w:spacing w:lineRule="exact" w:line="600" w:before="120" w:after="120"/>
        <w:ind w:firstLine="420"/>
        <w:jc w:val="left"/>
      </w:pPr>
      <w:r>
        <w:rPr>
          <w:rFonts w:ascii="楷体_GB2312" w:hAnsi="楷体_GB2312" w:eastAsia="楷体_GB2312"/>
          <w:b w:val="0"/>
          <w:color w:val="000000"/>
          <w:sz w:val="32"/>
        </w:rPr>
        <w:t>（二）产品高附加值化</w:t>
      </w:r>
    </w:p>
    <w:p>
      <w:pPr>
        <w:spacing w:lineRule="exact" w:line="600" w:before="0" w:after="0"/>
        <w:ind w:firstLine="420"/>
        <w:jc w:val="both"/>
      </w:pPr>
      <w:r>
        <w:rPr>
          <w:rFonts w:ascii="仿宋_GB2312" w:hAnsi="仿宋_GB2312" w:eastAsia="仿宋_GB2312"/>
          <w:b w:val="0"/>
          <w:color w:val="000000"/>
          <w:sz w:val="32"/>
        </w:rPr>
        <w:t>沙土由传统瓜子向每日坚果、预制汤品、罐头延伸；新润林拓展每日坚果与预制菜，鲜之源发展冻干蔬菜，延长产业链（来源：沙土镇综述，2024）。</w:t>
      </w:r>
    </w:p>
    <w:p>
      <w:pPr>
        <w:spacing w:lineRule="exact" w:line="600" w:before="120" w:after="120"/>
        <w:ind w:firstLine="420"/>
        <w:jc w:val="left"/>
      </w:pPr>
      <w:r>
        <w:rPr>
          <w:rFonts w:ascii="楷体_GB2312" w:hAnsi="楷体_GB2312" w:eastAsia="楷体_GB2312"/>
          <w:b w:val="0"/>
          <w:color w:val="000000"/>
          <w:sz w:val="32"/>
        </w:rPr>
        <w:t>（三）绿色与品牌化</w:t>
      </w:r>
    </w:p>
    <w:p>
      <w:pPr>
        <w:spacing w:lineRule="exact" w:line="600" w:before="0" w:after="0"/>
        <w:ind w:firstLine="420"/>
        <w:jc w:val="both"/>
      </w:pPr>
      <w:r>
        <w:rPr>
          <w:rFonts w:ascii="仿宋_GB2312" w:hAnsi="仿宋_GB2312" w:eastAsia="仿宋_GB2312"/>
          <w:b w:val="0"/>
          <w:color w:val="000000"/>
          <w:sz w:val="32"/>
        </w:rPr>
        <w:t>集中供热与绿色工厂降低排放；「沙土」中国驰名商标、佳美国家级龙头形成品牌势能，园区朝国家绿色食品产业集群迈进（来源：牡丹区发布、牡丹区政府，2024）。</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路径</w:t>
            </w:r>
          </w:p>
        </w:tc>
        <w:tc>
          <w:tcPr>
            <w:tcW w:type="dxa" w:w="3685"/>
          </w:tcPr>
          <w:p>
            <w:pPr>
              <w:spacing w:lineRule="exact" w:line="600"/>
              <w:jc w:val="center"/>
            </w:pPr>
            <w:r/>
            <w:r>
              <w:rPr>
                <w:rFonts w:ascii="黑体" w:hAnsi="黑体" w:eastAsia="黑体"/>
                <w:b/>
                <w:color w:val="000000"/>
                <w:sz w:val="32"/>
              </w:rPr>
              <w:t>举措</w:t>
            </w:r>
          </w:p>
        </w:tc>
        <w:tc>
          <w:tcPr>
            <w:tcW w:type="dxa" w:w="3118"/>
          </w:tcPr>
          <w:p>
            <w:pPr>
              <w:spacing w:lineRule="exact" w:line="600"/>
              <w:jc w:val="center"/>
            </w:pPr>
            <w:r/>
            <w:r>
              <w:rPr>
                <w:rFonts w:ascii="黑体" w:hAnsi="黑体" w:eastAsia="黑体"/>
                <w:b/>
                <w:color w:val="000000"/>
                <w:sz w:val="32"/>
              </w:rPr>
              <w:t>成效</w:t>
            </w:r>
          </w:p>
        </w:tc>
      </w:tr>
      <w:tr>
        <w:tc>
          <w:tcPr>
            <w:tcW w:type="dxa" w:w="2268"/>
          </w:tcPr>
          <w:p>
            <w:pPr>
              <w:spacing w:lineRule="exact" w:line="600"/>
              <w:jc w:val="center"/>
            </w:pPr>
            <w:r/>
            <w:r>
              <w:rPr>
                <w:rFonts w:ascii="仿宋_GB2312" w:hAnsi="仿宋_GB2312" w:eastAsia="仿宋_GB2312"/>
                <w:b w:val="0"/>
                <w:color w:val="000000"/>
                <w:sz w:val="32"/>
              </w:rPr>
              <w:t>技术化</w:t>
            </w:r>
          </w:p>
        </w:tc>
        <w:tc>
          <w:tcPr>
            <w:tcW w:type="dxa" w:w="3685"/>
          </w:tcPr>
          <w:p>
            <w:pPr>
              <w:spacing w:lineRule="exact" w:line="600"/>
              <w:jc w:val="center"/>
            </w:pPr>
            <w:r/>
            <w:r>
              <w:rPr>
                <w:rFonts w:ascii="仿宋_GB2312" w:hAnsi="仿宋_GB2312" w:eastAsia="仿宋_GB2312"/>
                <w:b w:val="0"/>
                <w:color w:val="000000"/>
                <w:sz w:val="32"/>
              </w:rPr>
              <w:t>HPP/无菌灌装</w:t>
            </w:r>
          </w:p>
        </w:tc>
        <w:tc>
          <w:tcPr>
            <w:tcW w:type="dxa" w:w="3118"/>
          </w:tcPr>
          <w:p>
            <w:pPr>
              <w:spacing w:lineRule="exact" w:line="600"/>
              <w:jc w:val="center"/>
            </w:pPr>
            <w:r/>
            <w:r>
              <w:rPr>
                <w:rFonts w:ascii="仿宋_GB2312" w:hAnsi="仿宋_GB2312" w:eastAsia="仿宋_GB2312"/>
                <w:b w:val="0"/>
                <w:color w:val="000000"/>
                <w:sz w:val="32"/>
              </w:rPr>
              <w:t>产能10万吨</w:t>
            </w:r>
          </w:p>
        </w:tc>
      </w:tr>
      <w:tr>
        <w:tc>
          <w:tcPr>
            <w:tcW w:type="dxa" w:w="2268"/>
          </w:tcPr>
          <w:p>
            <w:pPr>
              <w:spacing w:lineRule="exact" w:line="600"/>
              <w:jc w:val="center"/>
            </w:pPr>
            <w:r/>
            <w:r>
              <w:rPr>
                <w:rFonts w:ascii="仿宋_GB2312" w:hAnsi="仿宋_GB2312" w:eastAsia="仿宋_GB2312"/>
                <w:b w:val="0"/>
                <w:color w:val="000000"/>
                <w:sz w:val="32"/>
              </w:rPr>
              <w:t>高附加值</w:t>
            </w:r>
          </w:p>
        </w:tc>
        <w:tc>
          <w:tcPr>
            <w:tcW w:type="dxa" w:w="3685"/>
          </w:tcPr>
          <w:p>
            <w:pPr>
              <w:spacing w:lineRule="exact" w:line="600"/>
              <w:jc w:val="center"/>
            </w:pPr>
            <w:r/>
            <w:r>
              <w:rPr>
                <w:rFonts w:ascii="仿宋_GB2312" w:hAnsi="仿宋_GB2312" w:eastAsia="仿宋_GB2312"/>
                <w:b w:val="0"/>
                <w:color w:val="000000"/>
                <w:sz w:val="32"/>
              </w:rPr>
              <w:t>每日坚果/预制</w:t>
            </w:r>
          </w:p>
        </w:tc>
        <w:tc>
          <w:tcPr>
            <w:tcW w:type="dxa" w:w="3118"/>
          </w:tcPr>
          <w:p>
            <w:pPr>
              <w:spacing w:lineRule="exact" w:line="600"/>
              <w:jc w:val="center"/>
            </w:pPr>
            <w:r/>
            <w:r>
              <w:rPr>
                <w:rFonts w:ascii="仿宋_GB2312" w:hAnsi="仿宋_GB2312" w:eastAsia="仿宋_GB2312"/>
                <w:b w:val="0"/>
                <w:color w:val="000000"/>
                <w:sz w:val="32"/>
              </w:rPr>
              <w:t>溢价提升</w:t>
            </w:r>
          </w:p>
        </w:tc>
      </w:tr>
      <w:tr>
        <w:tc>
          <w:tcPr>
            <w:tcW w:type="dxa" w:w="2268"/>
          </w:tcPr>
          <w:p>
            <w:pPr>
              <w:spacing w:lineRule="exact" w:line="600"/>
              <w:jc w:val="center"/>
            </w:pPr>
            <w:r/>
            <w:r>
              <w:rPr>
                <w:rFonts w:ascii="仿宋_GB2312" w:hAnsi="仿宋_GB2312" w:eastAsia="仿宋_GB2312"/>
                <w:b w:val="0"/>
                <w:color w:val="000000"/>
                <w:sz w:val="32"/>
              </w:rPr>
              <w:t>绿色化</w:t>
            </w:r>
          </w:p>
        </w:tc>
        <w:tc>
          <w:tcPr>
            <w:tcW w:type="dxa" w:w="3685"/>
          </w:tcPr>
          <w:p>
            <w:pPr>
              <w:spacing w:lineRule="exact" w:line="600"/>
              <w:jc w:val="center"/>
            </w:pPr>
            <w:r/>
            <w:r>
              <w:rPr>
                <w:rFonts w:ascii="仿宋_GB2312" w:hAnsi="仿宋_GB2312" w:eastAsia="仿宋_GB2312"/>
                <w:b w:val="0"/>
                <w:color w:val="000000"/>
                <w:sz w:val="32"/>
              </w:rPr>
              <w:t>集中供热</w:t>
            </w:r>
          </w:p>
        </w:tc>
        <w:tc>
          <w:tcPr>
            <w:tcW w:type="dxa" w:w="3118"/>
          </w:tcPr>
          <w:p>
            <w:pPr>
              <w:spacing w:lineRule="exact" w:line="600"/>
              <w:jc w:val="center"/>
            </w:pPr>
            <w:r/>
            <w:r>
              <w:rPr>
                <w:rFonts w:ascii="仿宋_GB2312" w:hAnsi="仿宋_GB2312" w:eastAsia="仿宋_GB2312"/>
                <w:b w:val="0"/>
                <w:color w:val="000000"/>
                <w:sz w:val="32"/>
              </w:rPr>
              <w:t>成本-30%</w:t>
            </w:r>
          </w:p>
        </w:tc>
      </w:tr>
      <w:tr>
        <w:tc>
          <w:tcPr>
            <w:tcW w:type="dxa" w:w="2268"/>
          </w:tcPr>
          <w:p>
            <w:pPr>
              <w:spacing w:lineRule="exact" w:line="600"/>
              <w:jc w:val="center"/>
            </w:pPr>
            <w:r/>
            <w:r>
              <w:rPr>
                <w:rFonts w:ascii="仿宋_GB2312" w:hAnsi="仿宋_GB2312" w:eastAsia="仿宋_GB2312"/>
                <w:b w:val="0"/>
                <w:color w:val="000000"/>
                <w:sz w:val="32"/>
              </w:rPr>
              <w:t>品牌化</w:t>
            </w:r>
          </w:p>
        </w:tc>
        <w:tc>
          <w:tcPr>
            <w:tcW w:type="dxa" w:w="3685"/>
          </w:tcPr>
          <w:p>
            <w:pPr>
              <w:spacing w:lineRule="exact" w:line="600"/>
              <w:jc w:val="center"/>
            </w:pPr>
            <w:r/>
            <w:r>
              <w:rPr>
                <w:rFonts w:ascii="仿宋_GB2312" w:hAnsi="仿宋_GB2312" w:eastAsia="仿宋_GB2312"/>
                <w:b w:val="0"/>
                <w:color w:val="000000"/>
                <w:sz w:val="32"/>
              </w:rPr>
              <w:t>驰名商标/国家级龙头</w:t>
            </w:r>
          </w:p>
        </w:tc>
        <w:tc>
          <w:tcPr>
            <w:tcW w:type="dxa" w:w="3118"/>
          </w:tcPr>
          <w:p>
            <w:pPr>
              <w:spacing w:lineRule="exact" w:line="600"/>
              <w:jc w:val="center"/>
            </w:pPr>
            <w:r/>
            <w:r>
              <w:rPr>
                <w:rFonts w:ascii="仿宋_GB2312" w:hAnsi="仿宋_GB2312" w:eastAsia="仿宋_GB2312"/>
                <w:b w:val="0"/>
                <w:color w:val="000000"/>
                <w:sz w:val="32"/>
              </w:rPr>
              <w:t>集群势能</w:t>
            </w:r>
          </w:p>
        </w:tc>
      </w:tr>
    </w:tbl>
    <w:p>
      <w:pPr>
        <w:spacing w:lineRule="exact" w:line="600" w:before="120" w:after="120"/>
        <w:ind w:firstLine="420"/>
        <w:jc w:val="left"/>
      </w:pPr>
      <w:r>
        <w:rPr>
          <w:rFonts w:ascii="楷体_GB2312" w:hAnsi="楷体_GB2312" w:eastAsia="楷体_GB2312"/>
          <w:b w:val="0"/>
          <w:color w:val="000000"/>
          <w:sz w:val="32"/>
        </w:rPr>
        <w:t>（八）省级制造业升级政策框架参照</w:t>
      </w:r>
    </w:p>
    <w:p>
      <w:pPr>
        <w:spacing w:lineRule="exact" w:line="600" w:before="0" w:after="0"/>
        <w:ind w:firstLine="420"/>
        <w:jc w:val="both"/>
      </w:pPr>
      <w:r>
        <w:rPr>
          <w:rFonts w:ascii="仿宋_GB2312" w:hAnsi="仿宋_GB2312" w:eastAsia="仿宋_GB2312"/>
          <w:b w:val="0"/>
          <w:color w:val="000000"/>
          <w:sz w:val="32"/>
        </w:rPr>
        <w:t>从省级层面看，山东省以“链长制”（总链长+链长+链主，19条标志性产业链）系统推进制造业升级。《先进制造业强省行动计划（2022—2025年）》明确，到2025年培育专精特新中小企业1万家左右、制造业单项冠军企业1000家左右、产业生态主导型“链主”企业200家左右，打造11条左右标志性产业链；力争到2027年重点行业先进产能占比超过60%，“十四五”期间规模以上工业单位增加值能耗下降17%左右。省财政安排技术改造资金6.25亿元，综合运用“技改专项贷”、设备更新补贴、技改股权投资等政策工具，对符合条件的企业给予最高2000万元贷款贴息、最高500万元设备更新补贴。（来源：山东省发展改革委、省工信厅，《先进制造业强省行动计划（2022—2025年）》《山东省“十四五”制造强省建设规划》，2022—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省级升级指标</w:t>
            </w:r>
          </w:p>
        </w:tc>
        <w:tc>
          <w:tcPr>
            <w:tcW w:type="dxa" w:w="2551"/>
          </w:tcPr>
          <w:p>
            <w:pPr>
              <w:spacing w:lineRule="exact" w:line="600"/>
              <w:jc w:val="center"/>
            </w:pPr>
            <w:r/>
            <w:r>
              <w:rPr>
                <w:rFonts w:ascii="黑体" w:hAnsi="黑体" w:eastAsia="黑体"/>
                <w:b/>
                <w:color w:val="000000"/>
                <w:sz w:val="32"/>
              </w:rPr>
              <w:t>目标/规模</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制造业单项冠军企业（到2025）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标志性产业链</w:t>
            </w:r>
          </w:p>
        </w:tc>
        <w:tc>
          <w:tcPr>
            <w:tcW w:type="dxa" w:w="2551"/>
          </w:tcPr>
          <w:p>
            <w:pPr>
              <w:spacing w:lineRule="exact" w:line="600"/>
              <w:jc w:val="center"/>
            </w:pPr>
            <w:r/>
            <w:r>
              <w:rPr>
                <w:rFonts w:ascii="仿宋_GB2312" w:hAnsi="仿宋_GB2312" w:eastAsia="仿宋_GB2312"/>
                <w:b w:val="0"/>
                <w:color w:val="000000"/>
                <w:sz w:val="32"/>
              </w:rPr>
              <w:t>11条左右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重点行业先进产能占比（到2027）</w:t>
            </w:r>
          </w:p>
        </w:tc>
        <w:tc>
          <w:tcPr>
            <w:tcW w:type="dxa" w:w="2551"/>
          </w:tcPr>
          <w:p>
            <w:pPr>
              <w:spacing w:lineRule="exact" w:line="600"/>
              <w:jc w:val="center"/>
            </w:pPr>
            <w:r/>
            <w:r>
              <w:rPr>
                <w:rFonts w:ascii="仿宋_GB2312" w:hAnsi="仿宋_GB2312" w:eastAsia="仿宋_GB2312"/>
                <w:b w:val="0"/>
                <w:color w:val="000000"/>
                <w:sz w:val="32"/>
              </w:rPr>
              <w:t>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规上工业单位增加值能耗（十四五）</w:t>
            </w:r>
          </w:p>
        </w:tc>
        <w:tc>
          <w:tcPr>
            <w:tcW w:type="dxa" w:w="2551"/>
          </w:tcPr>
          <w:p>
            <w:pPr>
              <w:spacing w:lineRule="exact" w:line="600"/>
              <w:jc w:val="center"/>
            </w:pPr>
            <w:r/>
            <w:r>
              <w:rPr>
                <w:rFonts w:ascii="仿宋_GB2312" w:hAnsi="仿宋_GB2312" w:eastAsia="仿宋_GB2312"/>
                <w:b w:val="0"/>
                <w:color w:val="000000"/>
                <w:sz w:val="32"/>
              </w:rPr>
              <w:t>下降17%左右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120" w:after="120"/>
        <w:ind w:firstLine="420"/>
        <w:jc w:val="left"/>
      </w:pPr>
      <w:r>
        <w:rPr>
          <w:rFonts w:ascii="楷体_GB2312" w:hAnsi="楷体_GB2312" w:eastAsia="楷体_GB2312"/>
          <w:b w:val="0"/>
          <w:color w:val="000000"/>
          <w:sz w:val="32"/>
        </w:rPr>
        <w:t>（一）先进设备购置</w:t>
      </w:r>
    </w:p>
    <w:p>
      <w:pPr>
        <w:spacing w:lineRule="exact" w:line="600" w:before="0" w:after="0"/>
        <w:ind w:firstLine="420"/>
        <w:jc w:val="both"/>
      </w:pPr>
      <w:r>
        <w:rPr>
          <w:rFonts w:ascii="仿宋_GB2312" w:hAnsi="仿宋_GB2312" w:eastAsia="仿宋_GB2312"/>
          <w:b w:val="0"/>
          <w:color w:val="000000"/>
          <w:sz w:val="32"/>
        </w:rPr>
        <w:t>佳美1.2亿元HPP与百级净化线、沙土自动化炒货线、新润林2亿元坚果线、鲜之源1.5亿元冻干项目，对设备更新贷款与固贷需求明确（来源：沙土镇综述，2024）。</w:t>
      </w:r>
    </w:p>
    <w:p>
      <w:pPr>
        <w:spacing w:lineRule="exact" w:line="600" w:before="120" w:after="120"/>
        <w:ind w:firstLine="420"/>
        <w:jc w:val="left"/>
      </w:pPr>
      <w:r>
        <w:rPr>
          <w:rFonts w:ascii="楷体_GB2312" w:hAnsi="楷体_GB2312" w:eastAsia="楷体_GB2312"/>
          <w:b w:val="0"/>
          <w:color w:val="000000"/>
          <w:sz w:val="32"/>
        </w:rPr>
        <w:t>（二）原料基地与冷链</w:t>
      </w:r>
    </w:p>
    <w:p>
      <w:pPr>
        <w:spacing w:lineRule="exact" w:line="600" w:before="0" w:after="0"/>
        <w:ind w:firstLine="420"/>
        <w:jc w:val="both"/>
      </w:pPr>
      <w:r>
        <w:rPr>
          <w:rFonts w:ascii="仿宋_GB2312" w:hAnsi="仿宋_GB2312" w:eastAsia="仿宋_GB2312"/>
          <w:b w:val="0"/>
          <w:color w:val="000000"/>
          <w:sz w:val="32"/>
        </w:rPr>
        <w:t>20万亩标准化基地、万吨级冷库与冷链物流建设，需中长期农业信贷与冷链专项融资（来源：网易、菏泽广电，2024）。</w:t>
      </w:r>
    </w:p>
    <w:p>
      <w:pPr>
        <w:spacing w:lineRule="exact" w:line="600" w:before="120" w:after="120"/>
        <w:ind w:firstLine="420"/>
        <w:jc w:val="left"/>
      </w:pPr>
      <w:r>
        <w:rPr>
          <w:rFonts w:ascii="楷体_GB2312" w:hAnsi="楷体_GB2312" w:eastAsia="楷体_GB2312"/>
          <w:b w:val="0"/>
          <w:color w:val="000000"/>
          <w:sz w:val="32"/>
        </w:rPr>
        <w:t>（三）流动资金</w:t>
      </w:r>
    </w:p>
    <w:p>
      <w:pPr>
        <w:spacing w:lineRule="exact" w:line="600" w:before="0" w:after="0"/>
        <w:ind w:firstLine="420"/>
        <w:jc w:val="both"/>
      </w:pPr>
      <w:r>
        <w:rPr>
          <w:rFonts w:ascii="仿宋_GB2312" w:hAnsi="仿宋_GB2312" w:eastAsia="仿宋_GB2312"/>
          <w:b w:val="0"/>
          <w:color w:val="000000"/>
          <w:sz w:val="32"/>
        </w:rPr>
        <w:t>中小微炒货与果汁企业受原料季节收购与回款影响，对收购季流动资金、供应链金融与政策性担保需求突出（来源：行业共性研判）。</w:t>
      </w:r>
    </w:p>
    <w:tbl>
      <w:tblPr>
        <w:tblStyle w:val="TableGrid"/>
        <w:tblW w:type="auto" w:w="0"/>
        <w:jc w:val="center"/>
        <w:tblLook w:firstColumn="1" w:firstRow="1" w:lastColumn="0" w:lastRow="0" w:noHBand="0" w:noVBand="1" w:val="04A0"/>
      </w:tblPr>
      <w:tblGrid>
        <w:gridCol w:w="2948"/>
        <w:gridCol w:w="2948"/>
        <w:gridCol w:w="2948"/>
      </w:tblGrid>
      <w:tr>
        <w:tc>
          <w:tcPr>
            <w:tcW w:type="dxa" w:w="2551"/>
          </w:tcPr>
          <w:p>
            <w:pPr>
              <w:spacing w:lineRule="exact" w:line="600"/>
              <w:jc w:val="center"/>
            </w:pPr>
            <w:r/>
            <w:r>
              <w:rPr>
                <w:rFonts w:ascii="黑体" w:hAnsi="黑体" w:eastAsia="黑体"/>
                <w:b/>
                <w:color w:val="000000"/>
                <w:sz w:val="32"/>
              </w:rPr>
              <w:t>融资方向</w:t>
            </w:r>
          </w:p>
        </w:tc>
        <w:tc>
          <w:tcPr>
            <w:tcW w:type="dxa" w:w="3118"/>
          </w:tcPr>
          <w:p>
            <w:pPr>
              <w:spacing w:lineRule="exact" w:line="600"/>
              <w:jc w:val="center"/>
            </w:pPr>
            <w:r/>
            <w:r>
              <w:rPr>
                <w:rFonts w:ascii="黑体" w:hAnsi="黑体" w:eastAsia="黑体"/>
                <w:b/>
                <w:color w:val="000000"/>
                <w:sz w:val="32"/>
              </w:rPr>
              <w:t>规模</w:t>
            </w:r>
          </w:p>
        </w:tc>
        <w:tc>
          <w:tcPr>
            <w:tcW w:type="dxa" w:w="3402"/>
          </w:tcPr>
          <w:p>
            <w:pPr>
              <w:spacing w:lineRule="exact" w:line="600"/>
              <w:jc w:val="center"/>
            </w:pPr>
            <w:r/>
            <w:r>
              <w:rPr>
                <w:rFonts w:ascii="黑体" w:hAnsi="黑体" w:eastAsia="黑体"/>
                <w:b/>
                <w:color w:val="000000"/>
                <w:sz w:val="32"/>
              </w:rPr>
              <w:t>方式</w:t>
            </w:r>
          </w:p>
        </w:tc>
      </w:tr>
      <w:tr>
        <w:tc>
          <w:tcPr>
            <w:tcW w:type="dxa" w:w="2551"/>
          </w:tcPr>
          <w:p>
            <w:pPr>
              <w:spacing w:lineRule="exact" w:line="600"/>
              <w:jc w:val="center"/>
            </w:pPr>
            <w:r/>
            <w:r>
              <w:rPr>
                <w:rFonts w:ascii="仿宋_GB2312" w:hAnsi="仿宋_GB2312" w:eastAsia="仿宋_GB2312"/>
                <w:b w:val="0"/>
                <w:color w:val="000000"/>
                <w:sz w:val="32"/>
              </w:rPr>
              <w:t>HPP/净化线</w:t>
            </w:r>
          </w:p>
        </w:tc>
        <w:tc>
          <w:tcPr>
            <w:tcW w:type="dxa" w:w="3118"/>
          </w:tcPr>
          <w:p>
            <w:pPr>
              <w:spacing w:lineRule="exact" w:line="600"/>
              <w:jc w:val="center"/>
            </w:pPr>
            <w:r/>
            <w:r>
              <w:rPr>
                <w:rFonts w:ascii="仿宋_GB2312" w:hAnsi="仿宋_GB2312" w:eastAsia="仿宋_GB2312"/>
                <w:b w:val="0"/>
                <w:color w:val="000000"/>
                <w:sz w:val="32"/>
              </w:rPr>
              <w:t>1.2亿元（佳美）</w:t>
            </w:r>
          </w:p>
        </w:tc>
        <w:tc>
          <w:tcPr>
            <w:tcW w:type="dxa" w:w="3402"/>
          </w:tcPr>
          <w:p>
            <w:pPr>
              <w:spacing w:lineRule="exact" w:line="600"/>
              <w:jc w:val="center"/>
            </w:pPr>
            <w:r/>
            <w:r>
              <w:rPr>
                <w:rFonts w:ascii="仿宋_GB2312" w:hAnsi="仿宋_GB2312" w:eastAsia="仿宋_GB2312"/>
                <w:b w:val="0"/>
                <w:color w:val="000000"/>
                <w:sz w:val="32"/>
              </w:rPr>
              <w:t>设备更新贷</w:t>
            </w:r>
          </w:p>
        </w:tc>
      </w:tr>
      <w:tr>
        <w:tc>
          <w:tcPr>
            <w:tcW w:type="dxa" w:w="2551"/>
          </w:tcPr>
          <w:p>
            <w:pPr>
              <w:spacing w:lineRule="exact" w:line="600"/>
              <w:jc w:val="center"/>
            </w:pPr>
            <w:r/>
            <w:r>
              <w:rPr>
                <w:rFonts w:ascii="仿宋_GB2312" w:hAnsi="仿宋_GB2312" w:eastAsia="仿宋_GB2312"/>
                <w:b w:val="0"/>
                <w:color w:val="000000"/>
                <w:sz w:val="32"/>
              </w:rPr>
              <w:t>坚果/冻干线</w:t>
            </w:r>
          </w:p>
        </w:tc>
        <w:tc>
          <w:tcPr>
            <w:tcW w:type="dxa" w:w="3118"/>
          </w:tcPr>
          <w:p>
            <w:pPr>
              <w:spacing w:lineRule="exact" w:line="600"/>
              <w:jc w:val="center"/>
            </w:pPr>
            <w:r/>
            <w:r>
              <w:rPr>
                <w:rFonts w:ascii="仿宋_GB2312" w:hAnsi="仿宋_GB2312" w:eastAsia="仿宋_GB2312"/>
                <w:b w:val="0"/>
                <w:color w:val="000000"/>
                <w:sz w:val="32"/>
              </w:rPr>
              <w:t>2亿/1.5亿</w:t>
            </w:r>
          </w:p>
        </w:tc>
        <w:tc>
          <w:tcPr>
            <w:tcW w:type="dxa" w:w="3402"/>
          </w:tcPr>
          <w:p>
            <w:pPr>
              <w:spacing w:lineRule="exact" w:line="600"/>
              <w:jc w:val="center"/>
            </w:pPr>
            <w:r/>
            <w:r>
              <w:rPr>
                <w:rFonts w:ascii="仿宋_GB2312" w:hAnsi="仿宋_GB2312" w:eastAsia="仿宋_GB2312"/>
                <w:b w:val="0"/>
                <w:color w:val="000000"/>
                <w:sz w:val="32"/>
              </w:rPr>
              <w:t>技改固贷</w:t>
            </w:r>
          </w:p>
        </w:tc>
      </w:tr>
      <w:tr>
        <w:tc>
          <w:tcPr>
            <w:tcW w:type="dxa" w:w="2551"/>
          </w:tcPr>
          <w:p>
            <w:pPr>
              <w:spacing w:lineRule="exact" w:line="600"/>
              <w:jc w:val="center"/>
            </w:pPr>
            <w:r/>
            <w:r>
              <w:rPr>
                <w:rFonts w:ascii="仿宋_GB2312" w:hAnsi="仿宋_GB2312" w:eastAsia="仿宋_GB2312"/>
                <w:b w:val="0"/>
                <w:color w:val="000000"/>
                <w:sz w:val="32"/>
              </w:rPr>
              <w:t>冷链/基地</w:t>
            </w:r>
          </w:p>
        </w:tc>
        <w:tc>
          <w:tcPr>
            <w:tcW w:type="dxa" w:w="3118"/>
          </w:tcPr>
          <w:p>
            <w:pPr>
              <w:spacing w:lineRule="exact" w:line="600"/>
              <w:jc w:val="center"/>
            </w:pPr>
            <w:r/>
            <w:r>
              <w:rPr>
                <w:rFonts w:ascii="仿宋_GB2312" w:hAnsi="仿宋_GB2312" w:eastAsia="仿宋_GB2312"/>
                <w:b w:val="0"/>
                <w:color w:val="000000"/>
                <w:sz w:val="32"/>
              </w:rPr>
              <w:t>万吨冷库+20万亩</w:t>
            </w:r>
          </w:p>
        </w:tc>
        <w:tc>
          <w:tcPr>
            <w:tcW w:type="dxa" w:w="3402"/>
          </w:tcPr>
          <w:p>
            <w:pPr>
              <w:spacing w:lineRule="exact" w:line="600"/>
              <w:jc w:val="center"/>
            </w:pPr>
            <w:r/>
            <w:r>
              <w:rPr>
                <w:rFonts w:ascii="仿宋_GB2312" w:hAnsi="仿宋_GB2312" w:eastAsia="仿宋_GB2312"/>
                <w:b w:val="0"/>
                <w:color w:val="000000"/>
                <w:sz w:val="32"/>
              </w:rPr>
              <w:t>农业信贷</w:t>
            </w:r>
          </w:p>
        </w:tc>
      </w:tr>
      <w:tr>
        <w:tc>
          <w:tcPr>
            <w:tcW w:type="dxa" w:w="2551"/>
          </w:tcPr>
          <w:p>
            <w:pPr>
              <w:spacing w:lineRule="exact" w:line="600"/>
              <w:jc w:val="center"/>
            </w:pPr>
            <w:r/>
            <w:r>
              <w:rPr>
                <w:rFonts w:ascii="仿宋_GB2312" w:hAnsi="仿宋_GB2312" w:eastAsia="仿宋_GB2312"/>
                <w:b w:val="0"/>
                <w:color w:val="000000"/>
                <w:sz w:val="32"/>
              </w:rPr>
              <w:t>流贷</w:t>
            </w:r>
          </w:p>
        </w:tc>
        <w:tc>
          <w:tcPr>
            <w:tcW w:type="dxa" w:w="3118"/>
          </w:tcPr>
          <w:p>
            <w:pPr>
              <w:spacing w:lineRule="exact" w:line="600"/>
              <w:jc w:val="center"/>
            </w:pPr>
            <w:r/>
            <w:r>
              <w:rPr>
                <w:rFonts w:ascii="仿宋_GB2312" w:hAnsi="仿宋_GB2312" w:eastAsia="仿宋_GB2312"/>
                <w:b w:val="0"/>
                <w:color w:val="000000"/>
                <w:sz w:val="32"/>
              </w:rPr>
              <w:t>中小微</w:t>
            </w:r>
          </w:p>
        </w:tc>
        <w:tc>
          <w:tcPr>
            <w:tcW w:type="dxa" w:w="3402"/>
          </w:tcPr>
          <w:p>
            <w:pPr>
              <w:spacing w:lineRule="exact" w:line="600"/>
              <w:jc w:val="center"/>
            </w:pPr>
            <w:r/>
            <w:r>
              <w:rPr>
                <w:rFonts w:ascii="仿宋_GB2312" w:hAnsi="仿宋_GB2312" w:eastAsia="仿宋_GB2312"/>
                <w:b w:val="0"/>
                <w:color w:val="000000"/>
                <w:sz w:val="32"/>
              </w:rPr>
              <w:t>供应链金融</w:t>
            </w:r>
          </w:p>
        </w:tc>
      </w:tr>
    </w:tbl>
    <w:p>
      <w:pPr>
        <w:spacing w:lineRule="exact" w:line="600" w:before="120" w:after="120"/>
        <w:ind w:firstLine="420"/>
        <w:jc w:val="left"/>
      </w:pPr>
      <w:r>
        <w:rPr>
          <w:rFonts w:ascii="楷体_GB2312" w:hAnsi="楷体_GB2312" w:eastAsia="楷体_GB2312"/>
          <w:b w:val="0"/>
          <w:color w:val="000000"/>
          <w:sz w:val="32"/>
        </w:rPr>
        <w:t>（九）省级产业投融资工具参照</w:t>
      </w:r>
    </w:p>
    <w:p>
      <w:pPr>
        <w:spacing w:lineRule="exact" w:line="600" w:before="0" w:after="0"/>
        <w:ind w:firstLine="420"/>
        <w:jc w:val="both"/>
      </w:pPr>
      <w:r>
        <w:rPr>
          <w:rFonts w:ascii="仿宋_GB2312" w:hAnsi="仿宋_GB2312" w:eastAsia="仿宋_GB2312"/>
          <w:b w:val="0"/>
          <w:color w:val="000000"/>
          <w:sz w:val="32"/>
        </w:rPr>
        <w:t>从省级产业投融资体系看，山东省已构建多层次资金支持工具。2024年12月，规模100亿元的省级绿色低碳高质量发展先行区建设引导基金完成注册，通过子基金和直接投资撬动不低于300亿元投资规模；省新旧动能转换基金累计投资“十强”产业项目1300多个、金额约1300亿元，带动社会资本投融资超5000亿元，其中绿色低碳相关项目355个、带动社会资本投资1824亿元。省级科技资金2024年达145.2亿元；人民银行济南分行每年安排再贷款专项额度100亿元扩大绿色信贷供给。对企业端，“技改专项贷”与设备更新补贴可对符合条件的项目给予最高2000万元贷款贴息、最高500万元设备更新补贴。（来源：山东省新动能基金管理有限公司/大众日报，2024—2025；山东省财政厅，2024；省发展改革委，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省级金融工具</w:t>
            </w:r>
          </w:p>
        </w:tc>
        <w:tc>
          <w:tcPr>
            <w:tcW w:type="dxa" w:w="2551"/>
          </w:tcPr>
          <w:p>
            <w:pPr>
              <w:spacing w:lineRule="exact" w:line="600"/>
              <w:jc w:val="center"/>
            </w:pPr>
            <w:r/>
            <w:r>
              <w:rPr>
                <w:rFonts w:ascii="黑体" w:hAnsi="黑体" w:eastAsia="黑体"/>
                <w:b/>
                <w:color w:val="000000"/>
                <w:sz w:val="32"/>
              </w:rPr>
              <w:t>规模/力度</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绿色低碳高质量发展先行区引导基金</w:t>
            </w:r>
          </w:p>
        </w:tc>
        <w:tc>
          <w:tcPr>
            <w:tcW w:type="dxa" w:w="2551"/>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省新动能基金/大众日报，2024</w:t>
            </w:r>
          </w:p>
        </w:tc>
      </w:tr>
      <w:tr>
        <w:tc>
          <w:tcPr>
            <w:tcW w:type="dxa" w:w="4252"/>
          </w:tcPr>
          <w:p>
            <w:pPr>
              <w:spacing w:lineRule="exact" w:line="600"/>
              <w:jc w:val="center"/>
            </w:pPr>
            <w:r/>
            <w:r>
              <w:rPr>
                <w:rFonts w:ascii="仿宋_GB2312" w:hAnsi="仿宋_GB2312" w:eastAsia="仿宋_GB2312"/>
                <w:b w:val="0"/>
                <w:color w:val="000000"/>
                <w:sz w:val="32"/>
              </w:rPr>
              <w:t>新旧动能转换基金（十强产业）</w:t>
            </w:r>
          </w:p>
        </w:tc>
        <w:tc>
          <w:tcPr>
            <w:tcW w:type="dxa" w:w="2551"/>
          </w:tcPr>
          <w:p>
            <w:pPr>
              <w:spacing w:lineRule="exact" w:line="600"/>
              <w:jc w:val="center"/>
            </w:pPr>
            <w:r/>
            <w:r>
              <w:rPr>
                <w:rFonts w:ascii="仿宋_GB2312" w:hAnsi="仿宋_GB2312" w:eastAsia="仿宋_GB2312"/>
                <w:b w:val="0"/>
                <w:color w:val="000000"/>
                <w:sz w:val="32"/>
              </w:rPr>
              <w:t>投资约1300亿元、带动超5000亿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绿色低碳相关项目投资</w:t>
            </w:r>
          </w:p>
        </w:tc>
        <w:tc>
          <w:tcPr>
            <w:tcW w:type="dxa" w:w="2551"/>
          </w:tcPr>
          <w:p>
            <w:pPr>
              <w:spacing w:lineRule="exact" w:line="600"/>
              <w:jc w:val="center"/>
            </w:pPr>
            <w:r/>
            <w:r>
              <w:rPr>
                <w:rFonts w:ascii="仿宋_GB2312" w:hAnsi="仿宋_GB2312" w:eastAsia="仿宋_GB2312"/>
                <w:b w:val="0"/>
                <w:color w:val="000000"/>
                <w:sz w:val="32"/>
              </w:rPr>
              <w:t>355个、带动1824亿元</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省级科技资金</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绿色再贷款专项额度</w:t>
            </w:r>
          </w:p>
        </w:tc>
        <w:tc>
          <w:tcPr>
            <w:tcW w:type="dxa" w:w="2551"/>
          </w:tcPr>
          <w:p>
            <w:pPr>
              <w:spacing w:lineRule="exact" w:line="600"/>
              <w:jc w:val="center"/>
            </w:pPr>
            <w:r/>
            <w:r>
              <w:rPr>
                <w:rFonts w:ascii="仿宋_GB2312" w:hAnsi="仿宋_GB2312" w:eastAsia="仿宋_GB2312"/>
                <w:b w:val="0"/>
                <w:color w:val="000000"/>
                <w:sz w:val="32"/>
              </w:rPr>
              <w:t>100亿元/年</w:t>
            </w:r>
          </w:p>
        </w:tc>
        <w:tc>
          <w:tcPr>
            <w:tcW w:type="dxa" w:w="2551"/>
          </w:tcPr>
          <w:p>
            <w:pPr>
              <w:spacing w:lineRule="exact" w:line="600"/>
              <w:jc w:val="center"/>
            </w:pPr>
            <w:r/>
            <w:r>
              <w:rPr>
                <w:rFonts w:ascii="仿宋_GB2312" w:hAnsi="仿宋_GB2312" w:eastAsia="仿宋_GB2312"/>
                <w:b w:val="0"/>
                <w:color w:val="000000"/>
                <w:sz w:val="32"/>
              </w:rPr>
              <w:t>人民银行济南分行，2024</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佳美食品工业有限公司：亚洲最大浓缩果蔬汁供应商、国家级农业产业化重点龙头企业；采用6000大气压HPP超高压冷灭菌技术，年产浓缩与鲜榨果汁4万吨，产能由2万吨提升至10万吨；为瑞幸、喜茶、娃哈哈、汇源、统一等供货；2024年营收9.06亿—10亿元，出口创汇3200万美元、销往30多国；22次增资累计超2亿美元，签约20万亩基地、带动10余万户增收。来源：牡丹区政府官网、网易、菏泽广电，2024。</w:t>
      </w:r>
    </w:p>
    <w:p>
      <w:pPr>
        <w:spacing w:lineRule="exact" w:line="600" w:before="0" w:after="0"/>
        <w:ind w:firstLine="420"/>
        <w:jc w:val="both"/>
      </w:pPr>
      <w:r>
        <w:rPr>
          <w:rFonts w:ascii="仿宋_GB2312" w:hAnsi="仿宋_GB2312" w:eastAsia="仿宋_GB2312"/>
          <w:b w:val="0"/>
          <w:color w:val="000000"/>
          <w:sz w:val="32"/>
        </w:rPr>
        <w:t>山东沙土食品工业有限公司：1988年创立的本土炒货龙头，「沙土」为中国驰名商标，湿瓜子、南瓜子全国销量第一；230亩厂区、5分厂、12条流水线，年生产瓜子花生坚果1.5万吨（葵瓜子1万吨、黑瓜子1万吨、花生2万吨）；2024年营收3.1亿元，1—10月营收2.3亿元、税收1300万元（同比+15%）；新开发每日坚果、预制汤品、罐头提升附加值。来源：牡丹区政府官网、沙土食品报道，2024。</w:t>
      </w:r>
    </w:p>
    <w:p>
      <w:pPr>
        <w:spacing w:lineRule="exact" w:line="600" w:before="0" w:after="0"/>
        <w:ind w:firstLine="420"/>
        <w:jc w:val="both"/>
      </w:pPr>
      <w:r>
        <w:rPr>
          <w:rFonts w:ascii="仿宋_GB2312" w:hAnsi="仿宋_GB2312" w:eastAsia="仿宋_GB2312"/>
          <w:b w:val="0"/>
          <w:color w:val="000000"/>
          <w:sz w:val="32"/>
        </w:rPr>
        <w:t>菏泽盛鑫源食品有限公司：牡丹区食品集群骨干，主营脱水蔬菜与预制菜，与米村拌饭、海底捞等头部餐饮连锁长期合作，是沙土休闲食品特色产业园膨化烘焙与果蔬休闲食品环节的重要配套企业。来源：牡丹区政府官网、沙土镇报道，2024。</w:t>
      </w:r>
    </w:p>
    <w:p>
      <w:pPr>
        <w:spacing w:lineRule="exact" w:line="600" w:before="0" w:after="0"/>
        <w:jc w:val="left"/>
      </w:pPr>
      <w:r>
        <w:rPr>
          <w:rFonts w:ascii="仿宋_GB2312" w:hAnsi="仿宋_GB2312" w:eastAsia="仿宋_GB2312"/>
          <w:b w:val="0"/>
          <w:color w:val="000000"/>
          <w:sz w:val="28"/>
        </w:rPr>
        <w:t>主要数据来源：牡丹区人民政府官网《关于推进沙土镇工业园区基础设施建设的建议的答复》（园区、佳美、沙土、虎运），2024；菏泽广电《牡丹区：小镇干出70亿大产业》（70亿、佳美HPP、冷链），2024；网易《菏泽沃土育佳美》（佳美营收、基地、出口创汇），2024；牡丹区发布/今日头条《沙土镇：「土特产」锻造成高质量发展的「金钥匙」》（企业数量、税收），2024；沙土镇重点项目建设综述（新润林、鲜之源、HPP投资），2024；百度百科 山东沙土食品工业有限公司（产能、税收、资产），2024</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