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山东菏泽牡丹区（绿色休闲食品）特色产业集群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食品原料基地与品牌流通行业深度分析报告</w:t>
      </w:r>
    </w:p>
    <w:p>
      <w:pPr>
        <w:spacing w:lineRule="exact" w:line="600" w:before="0" w:after="0"/>
        <w:jc w:val="left"/>
      </w:pPr>
      <w:r>
        <w:rPr>
          <w:rFonts w:ascii="仿宋_GB2312" w:hAnsi="仿宋_GB2312" w:eastAsia="仿宋_GB2312"/>
          <w:b w:val="0"/>
          <w:color w:val="000000"/>
          <w:sz w:val="28"/>
        </w:rPr>
        <w:t>本报告聚焦绿色休闲食品原料基地、品牌建设与冷链物流/出口流通环节，数据来源于牡丹区政府官网、菏泽广电、网易等公开报道。数据截至2024年，部分细分领域公开统计有限，已标注共性研判。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食品原料基地与品牌流通是牡丹区绿色休闲食品集群的根基与价值出口。沙土镇果蔬种植面积超10万亩，佳美食品签约20万亩标准化农产品基地、带动10余万户增收、年创收4000万元以上，形成「龙头企业+合作社+农户+基地」一体化模式。品牌方面，佳美跻身国家级重点龙头企业、沙土「沙土瓜子」为中国驰名商标，园区汇聚52家链上企业、300余种产品。流通方面，园区实现「七通一平」，配建污水处理厂、热力管网、冷链物流（万吨级冷库）与食品检测中心，紧邻牡丹机场、高铁站与济铁菏泽物流园；产品远销欧美、日韩等10余国，2024年全镇食品加工产值突破70亿元、税收2.1亿元，品牌与流通双轮驱动集群迈向百亿级。</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果蔬种植面积</w:t>
            </w:r>
          </w:p>
        </w:tc>
        <w:tc>
          <w:tcPr>
            <w:tcW w:type="dxa" w:w="2835"/>
          </w:tcPr>
          <w:p>
            <w:pPr>
              <w:spacing w:lineRule="exact" w:line="600"/>
              <w:jc w:val="center"/>
            </w:pPr>
            <w:r/>
            <w:r>
              <w:rPr>
                <w:rFonts w:ascii="仿宋_GB2312" w:hAnsi="仿宋_GB2312" w:eastAsia="仿宋_GB2312"/>
                <w:b w:val="0"/>
                <w:color w:val="000000"/>
                <w:sz w:val="32"/>
              </w:rPr>
              <w:t>超10万亩</w:t>
            </w:r>
          </w:p>
        </w:tc>
        <w:tc>
          <w:tcPr>
            <w:tcW w:type="dxa" w:w="3118"/>
          </w:tcPr>
          <w:p>
            <w:pPr>
              <w:spacing w:lineRule="exact" w:line="600"/>
              <w:jc w:val="center"/>
            </w:pPr>
            <w:r/>
            <w:r>
              <w:rPr>
                <w:rFonts w:ascii="仿宋_GB2312" w:hAnsi="仿宋_GB2312" w:eastAsia="仿宋_GB2312"/>
                <w:b w:val="0"/>
                <w:color w:val="000000"/>
                <w:sz w:val="32"/>
              </w:rPr>
              <w:t>菏泽广电，2024</w:t>
            </w:r>
          </w:p>
        </w:tc>
      </w:tr>
      <w:tr>
        <w:tc>
          <w:tcPr>
            <w:tcW w:type="dxa" w:w="2835"/>
          </w:tcPr>
          <w:p>
            <w:pPr>
              <w:spacing w:lineRule="exact" w:line="600"/>
              <w:jc w:val="center"/>
            </w:pPr>
            <w:r/>
            <w:r>
              <w:rPr>
                <w:rFonts w:ascii="仿宋_GB2312" w:hAnsi="仿宋_GB2312" w:eastAsia="仿宋_GB2312"/>
                <w:b w:val="0"/>
                <w:color w:val="000000"/>
                <w:sz w:val="32"/>
              </w:rPr>
              <w:t>佳美标准化基地</w:t>
            </w:r>
          </w:p>
        </w:tc>
        <w:tc>
          <w:tcPr>
            <w:tcW w:type="dxa" w:w="2835"/>
          </w:tcPr>
          <w:p>
            <w:pPr>
              <w:spacing w:lineRule="exact" w:line="600"/>
              <w:jc w:val="center"/>
            </w:pPr>
            <w:r/>
            <w:r>
              <w:rPr>
                <w:rFonts w:ascii="仿宋_GB2312" w:hAnsi="仿宋_GB2312" w:eastAsia="仿宋_GB2312"/>
                <w:b w:val="0"/>
                <w:color w:val="000000"/>
                <w:sz w:val="32"/>
              </w:rPr>
              <w:t>20万亩</w:t>
            </w:r>
          </w:p>
        </w:tc>
        <w:tc>
          <w:tcPr>
            <w:tcW w:type="dxa" w:w="3118"/>
          </w:tcPr>
          <w:p>
            <w:pPr>
              <w:spacing w:lineRule="exact" w:line="600"/>
              <w:jc w:val="center"/>
            </w:pPr>
            <w:r/>
            <w:r>
              <w:rPr>
                <w:rFonts w:ascii="仿宋_GB2312" w:hAnsi="仿宋_GB2312" w:eastAsia="仿宋_GB2312"/>
                <w:b w:val="0"/>
                <w:color w:val="000000"/>
                <w:sz w:val="32"/>
              </w:rPr>
              <w:t>网易，2024</w:t>
            </w:r>
          </w:p>
        </w:tc>
      </w:tr>
      <w:tr>
        <w:tc>
          <w:tcPr>
            <w:tcW w:type="dxa" w:w="2835"/>
          </w:tcPr>
          <w:p>
            <w:pPr>
              <w:spacing w:lineRule="exact" w:line="600"/>
              <w:jc w:val="center"/>
            </w:pPr>
            <w:r/>
            <w:r>
              <w:rPr>
                <w:rFonts w:ascii="仿宋_GB2312" w:hAnsi="仿宋_GB2312" w:eastAsia="仿宋_GB2312"/>
                <w:b w:val="0"/>
                <w:color w:val="000000"/>
                <w:sz w:val="32"/>
              </w:rPr>
              <w:t>带动农户</w:t>
            </w:r>
          </w:p>
        </w:tc>
        <w:tc>
          <w:tcPr>
            <w:tcW w:type="dxa" w:w="2835"/>
          </w:tcPr>
          <w:p>
            <w:pPr>
              <w:spacing w:lineRule="exact" w:line="600"/>
              <w:jc w:val="center"/>
            </w:pPr>
            <w:r/>
            <w:r>
              <w:rPr>
                <w:rFonts w:ascii="仿宋_GB2312" w:hAnsi="仿宋_GB2312" w:eastAsia="仿宋_GB2312"/>
                <w:b w:val="0"/>
                <w:color w:val="000000"/>
                <w:sz w:val="32"/>
              </w:rPr>
              <w:t>10余万户</w:t>
            </w:r>
          </w:p>
        </w:tc>
        <w:tc>
          <w:tcPr>
            <w:tcW w:type="dxa" w:w="3118"/>
          </w:tcPr>
          <w:p>
            <w:pPr>
              <w:spacing w:lineRule="exact" w:line="600"/>
              <w:jc w:val="center"/>
            </w:pPr>
            <w:r/>
            <w:r>
              <w:rPr>
                <w:rFonts w:ascii="仿宋_GB2312" w:hAnsi="仿宋_GB2312" w:eastAsia="仿宋_GB2312"/>
                <w:b w:val="0"/>
                <w:color w:val="000000"/>
                <w:sz w:val="32"/>
              </w:rPr>
              <w:t>网易，2024</w:t>
            </w:r>
          </w:p>
        </w:tc>
      </w:tr>
      <w:tr>
        <w:tc>
          <w:tcPr>
            <w:tcW w:type="dxa" w:w="2835"/>
          </w:tcPr>
          <w:p>
            <w:pPr>
              <w:spacing w:lineRule="exact" w:line="600"/>
              <w:jc w:val="center"/>
            </w:pPr>
            <w:r/>
            <w:r>
              <w:rPr>
                <w:rFonts w:ascii="仿宋_GB2312" w:hAnsi="仿宋_GB2312" w:eastAsia="仿宋_GB2312"/>
                <w:b w:val="0"/>
                <w:color w:val="000000"/>
                <w:sz w:val="32"/>
              </w:rPr>
              <w:t>农户年创收</w:t>
            </w:r>
          </w:p>
        </w:tc>
        <w:tc>
          <w:tcPr>
            <w:tcW w:type="dxa" w:w="2835"/>
          </w:tcPr>
          <w:p>
            <w:pPr>
              <w:spacing w:lineRule="exact" w:line="600"/>
              <w:jc w:val="center"/>
            </w:pPr>
            <w:r/>
            <w:r>
              <w:rPr>
                <w:rFonts w:ascii="仿宋_GB2312" w:hAnsi="仿宋_GB2312" w:eastAsia="仿宋_GB2312"/>
                <w:b w:val="0"/>
                <w:color w:val="000000"/>
                <w:sz w:val="32"/>
              </w:rPr>
              <w:t>4000万元以上</w:t>
            </w:r>
          </w:p>
        </w:tc>
        <w:tc>
          <w:tcPr>
            <w:tcW w:type="dxa" w:w="3118"/>
          </w:tcPr>
          <w:p>
            <w:pPr>
              <w:spacing w:lineRule="exact" w:line="600"/>
              <w:jc w:val="center"/>
            </w:pPr>
            <w:r/>
            <w:r>
              <w:rPr>
                <w:rFonts w:ascii="仿宋_GB2312" w:hAnsi="仿宋_GB2312" w:eastAsia="仿宋_GB2312"/>
                <w:b w:val="0"/>
                <w:color w:val="000000"/>
                <w:sz w:val="32"/>
              </w:rPr>
              <w:t>网易，2024</w:t>
            </w:r>
          </w:p>
        </w:tc>
      </w:tr>
      <w:tr>
        <w:tc>
          <w:tcPr>
            <w:tcW w:type="dxa" w:w="2835"/>
          </w:tcPr>
          <w:p>
            <w:pPr>
              <w:spacing w:lineRule="exact" w:line="600"/>
              <w:jc w:val="center"/>
            </w:pPr>
            <w:r/>
            <w:r>
              <w:rPr>
                <w:rFonts w:ascii="仿宋_GB2312" w:hAnsi="仿宋_GB2312" w:eastAsia="仿宋_GB2312"/>
                <w:b w:val="0"/>
                <w:color w:val="000000"/>
                <w:sz w:val="32"/>
              </w:rPr>
              <w:t>就地转化</w:t>
            </w:r>
          </w:p>
        </w:tc>
        <w:tc>
          <w:tcPr>
            <w:tcW w:type="dxa" w:w="2835"/>
          </w:tcPr>
          <w:p>
            <w:pPr>
              <w:spacing w:lineRule="exact" w:line="600"/>
              <w:jc w:val="center"/>
            </w:pPr>
            <w:r/>
            <w:r>
              <w:rPr>
                <w:rFonts w:ascii="仿宋_GB2312" w:hAnsi="仿宋_GB2312" w:eastAsia="仿宋_GB2312"/>
                <w:b w:val="0"/>
                <w:color w:val="000000"/>
                <w:sz w:val="32"/>
              </w:rPr>
              <w:t>95%</w:t>
            </w:r>
          </w:p>
        </w:tc>
        <w:tc>
          <w:tcPr>
            <w:tcW w:type="dxa" w:w="3118"/>
          </w:tcPr>
          <w:p>
            <w:pPr>
              <w:spacing w:lineRule="exact" w:line="600"/>
              <w:jc w:val="center"/>
            </w:pPr>
            <w:r/>
            <w:r>
              <w:rPr>
                <w:rFonts w:ascii="仿宋_GB2312" w:hAnsi="仿宋_GB2312" w:eastAsia="仿宋_GB2312"/>
                <w:b w:val="0"/>
                <w:color w:val="000000"/>
                <w:sz w:val="32"/>
              </w:rPr>
              <w:t>网易，2024</w:t>
            </w:r>
          </w:p>
        </w:tc>
      </w:tr>
      <w:tr>
        <w:tc>
          <w:tcPr>
            <w:tcW w:type="dxa" w:w="2835"/>
          </w:tcPr>
          <w:p>
            <w:pPr>
              <w:spacing w:lineRule="exact" w:line="600"/>
              <w:jc w:val="center"/>
            </w:pPr>
            <w:r/>
            <w:r>
              <w:rPr>
                <w:rFonts w:ascii="仿宋_GB2312" w:hAnsi="仿宋_GB2312" w:eastAsia="仿宋_GB2312"/>
                <w:b w:val="0"/>
                <w:color w:val="000000"/>
                <w:sz w:val="32"/>
              </w:rPr>
              <w:t>园区链上企业</w:t>
            </w:r>
          </w:p>
        </w:tc>
        <w:tc>
          <w:tcPr>
            <w:tcW w:type="dxa" w:w="2835"/>
          </w:tcPr>
          <w:p>
            <w:pPr>
              <w:spacing w:lineRule="exact" w:line="600"/>
              <w:jc w:val="center"/>
            </w:pPr>
            <w:r/>
            <w:r>
              <w:rPr>
                <w:rFonts w:ascii="仿宋_GB2312" w:hAnsi="仿宋_GB2312" w:eastAsia="仿宋_GB2312"/>
                <w:b w:val="0"/>
                <w:color w:val="000000"/>
                <w:sz w:val="32"/>
              </w:rPr>
              <w:t>52家/300余品种</w:t>
            </w:r>
          </w:p>
        </w:tc>
        <w:tc>
          <w:tcPr>
            <w:tcW w:type="dxa" w:w="3118"/>
          </w:tcPr>
          <w:p>
            <w:pPr>
              <w:spacing w:lineRule="exact" w:line="600"/>
              <w:jc w:val="center"/>
            </w:pPr>
            <w:r/>
            <w:r>
              <w:rPr>
                <w:rFonts w:ascii="仿宋_GB2312" w:hAnsi="仿宋_GB2312" w:eastAsia="仿宋_GB2312"/>
                <w:b w:val="0"/>
                <w:color w:val="000000"/>
                <w:sz w:val="32"/>
              </w:rPr>
              <w:t>牡丹区政府，2024</w:t>
            </w:r>
          </w:p>
        </w:tc>
      </w:tr>
      <w:tr>
        <w:tc>
          <w:tcPr>
            <w:tcW w:type="dxa" w:w="2835"/>
          </w:tcPr>
          <w:p>
            <w:pPr>
              <w:spacing w:lineRule="exact" w:line="600"/>
              <w:jc w:val="center"/>
            </w:pPr>
            <w:r/>
            <w:r>
              <w:rPr>
                <w:rFonts w:ascii="仿宋_GB2312" w:hAnsi="仿宋_GB2312" w:eastAsia="仿宋_GB2312"/>
                <w:b w:val="0"/>
                <w:color w:val="000000"/>
                <w:sz w:val="32"/>
              </w:rPr>
              <w:t>全镇食品产值</w:t>
            </w:r>
          </w:p>
        </w:tc>
        <w:tc>
          <w:tcPr>
            <w:tcW w:type="dxa" w:w="2835"/>
          </w:tcPr>
          <w:p>
            <w:pPr>
              <w:spacing w:lineRule="exact" w:line="600"/>
              <w:jc w:val="center"/>
            </w:pPr>
            <w:r/>
            <w:r>
              <w:rPr>
                <w:rFonts w:ascii="仿宋_GB2312" w:hAnsi="仿宋_GB2312" w:eastAsia="仿宋_GB2312"/>
                <w:b w:val="0"/>
                <w:color w:val="000000"/>
                <w:sz w:val="32"/>
              </w:rPr>
              <w:t>突破70亿元</w:t>
            </w:r>
          </w:p>
        </w:tc>
        <w:tc>
          <w:tcPr>
            <w:tcW w:type="dxa" w:w="3118"/>
          </w:tcPr>
          <w:p>
            <w:pPr>
              <w:spacing w:lineRule="exact" w:line="600"/>
              <w:jc w:val="center"/>
            </w:pPr>
            <w:r/>
            <w:r>
              <w:rPr>
                <w:rFonts w:ascii="仿宋_GB2312" w:hAnsi="仿宋_GB2312" w:eastAsia="仿宋_GB2312"/>
                <w:b w:val="0"/>
                <w:color w:val="000000"/>
                <w:sz w:val="32"/>
              </w:rPr>
              <w:t>菏泽广电，2024</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（一）政策导向</w:t>
      </w:r>
    </w:p>
    <w:p>
      <w:pPr>
        <w:spacing w:lineRule="exact" w:line="600" w:before="0" w:after="0"/>
        <w:ind w:firstLine="420"/>
        <w:jc w:val="both"/>
      </w:pPr>
      <w:r>
        <w:rPr>
          <w:rFonts w:ascii="仿宋_GB2312" w:hAnsi="仿宋_GB2312" w:eastAsia="仿宋_GB2312"/>
          <w:b w:val="0"/>
          <w:color w:val="000000"/>
          <w:sz w:val="32"/>
        </w:rPr>
        <w:t>国家实施「农头工尾」「粮头食尾」与乡村振兴，鼓励龙头企业建基地、带农户、强品牌。农业农村部开展国家重点龙头企业监测，佳美2024年入选，实现牡丹区国家级龙头「零突破」（来源：农业农村部、牡丹区政府，2024）。</w:t>
      </w:r>
    </w:p>
    <w:p>
      <w:pPr>
        <w:spacing w:lineRule="exact" w:line="600" w:before="120" w:after="120"/>
        <w:ind w:firstLine="420"/>
        <w:jc w:val="left"/>
      </w:pPr>
      <w:r>
        <w:rPr>
          <w:rFonts w:ascii="楷体_GB2312" w:hAnsi="楷体_GB2312" w:eastAsia="楷体_GB2312"/>
          <w:b w:val="0"/>
          <w:color w:val="000000"/>
          <w:sz w:val="32"/>
        </w:rPr>
        <w:t>（二）区域定位</w:t>
      </w:r>
    </w:p>
    <w:p>
      <w:pPr>
        <w:spacing w:lineRule="exact" w:line="600" w:before="0" w:after="0"/>
        <w:ind w:firstLine="420"/>
        <w:jc w:val="both"/>
      </w:pPr>
      <w:r>
        <w:rPr>
          <w:rFonts w:ascii="仿宋_GB2312" w:hAnsi="仿宋_GB2312" w:eastAsia="仿宋_GB2312"/>
          <w:b w:val="0"/>
          <w:color w:val="000000"/>
          <w:sz w:val="32"/>
        </w:rPr>
        <w:t>牡丹区打造绿色休闲食品产业园区，培育畜禽肉制品、果蔬加工、休闲食品龙头矩阵；沙土镇举全镇之力建休闲食品产业园，投资8000余万元新建4万余平米厂房与热力、污水管网（来源：菏泽广电、牡丹区政府，2024）。</w:t>
      </w:r>
    </w:p>
    <w:p>
      <w:pPr>
        <w:spacing w:lineRule="exact" w:line="600" w:before="120" w:after="120"/>
        <w:ind w:firstLine="420"/>
        <w:jc w:val="left"/>
      </w:pPr>
      <w:r>
        <w:rPr>
          <w:rFonts w:ascii="楷体_GB2312" w:hAnsi="楷体_GB2312" w:eastAsia="楷体_GB2312"/>
          <w:b w:val="0"/>
          <w:color w:val="000000"/>
          <w:sz w:val="32"/>
        </w:rPr>
        <w:t>（三）规模基础</w:t>
      </w:r>
    </w:p>
    <w:p>
      <w:pPr>
        <w:spacing w:lineRule="exact" w:line="600" w:before="0" w:after="0"/>
        <w:ind w:firstLine="420"/>
        <w:jc w:val="both"/>
      </w:pPr>
      <w:r>
        <w:rPr>
          <w:rFonts w:ascii="仿宋_GB2312" w:hAnsi="仿宋_GB2312" w:eastAsia="仿宋_GB2312"/>
          <w:b w:val="0"/>
          <w:color w:val="000000"/>
          <w:sz w:val="32"/>
        </w:rPr>
        <w:t>沙土镇聚集食品加工企业100余家、全镇农副加工500余家，形成四大门类600余品种；2024年全镇产值突破70亿元、税收2.1亿元（来源：菏泽广电、网易，2024）。</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食品加工企业</w:t>
            </w:r>
          </w:p>
        </w:tc>
        <w:tc>
          <w:tcPr>
            <w:tcW w:type="dxa" w:w="3118"/>
          </w:tcPr>
          <w:p>
            <w:pPr>
              <w:spacing w:lineRule="exact" w:line="600"/>
              <w:jc w:val="center"/>
            </w:pPr>
            <w:r/>
            <w:r>
              <w:rPr>
                <w:rFonts w:ascii="仿宋_GB2312" w:hAnsi="仿宋_GB2312" w:eastAsia="仿宋_GB2312"/>
                <w:b w:val="0"/>
                <w:color w:val="000000"/>
                <w:sz w:val="32"/>
              </w:rPr>
              <w:t>100余家</w:t>
            </w:r>
          </w:p>
        </w:tc>
        <w:tc>
          <w:tcPr>
            <w:tcW w:type="dxa" w:w="3118"/>
          </w:tcPr>
          <w:p>
            <w:pPr>
              <w:spacing w:lineRule="exact" w:line="600"/>
              <w:jc w:val="center"/>
            </w:pPr>
            <w:r/>
            <w:r>
              <w:rPr>
                <w:rFonts w:ascii="仿宋_GB2312" w:hAnsi="仿宋_GB2312" w:eastAsia="仿宋_GB2312"/>
                <w:b w:val="0"/>
                <w:color w:val="000000"/>
                <w:sz w:val="32"/>
              </w:rPr>
              <w:t>沙土镇，2024</w:t>
            </w:r>
          </w:p>
        </w:tc>
      </w:tr>
      <w:tr>
        <w:tc>
          <w:tcPr>
            <w:tcW w:type="dxa" w:w="2835"/>
          </w:tcPr>
          <w:p>
            <w:pPr>
              <w:spacing w:lineRule="exact" w:line="600"/>
              <w:jc w:val="center"/>
            </w:pPr>
            <w:r/>
            <w:r>
              <w:rPr>
                <w:rFonts w:ascii="仿宋_GB2312" w:hAnsi="仿宋_GB2312" w:eastAsia="仿宋_GB2312"/>
                <w:b w:val="0"/>
                <w:color w:val="000000"/>
                <w:sz w:val="32"/>
              </w:rPr>
              <w:t>全镇农副加工</w:t>
            </w:r>
          </w:p>
        </w:tc>
        <w:tc>
          <w:tcPr>
            <w:tcW w:type="dxa" w:w="3118"/>
          </w:tcPr>
          <w:p>
            <w:pPr>
              <w:spacing w:lineRule="exact" w:line="600"/>
              <w:jc w:val="center"/>
            </w:pPr>
            <w:r/>
            <w:r>
              <w:rPr>
                <w:rFonts w:ascii="仿宋_GB2312" w:hAnsi="仿宋_GB2312" w:eastAsia="仿宋_GB2312"/>
                <w:b w:val="0"/>
                <w:color w:val="000000"/>
                <w:sz w:val="32"/>
              </w:rPr>
              <w:t>500余家</w:t>
            </w:r>
          </w:p>
        </w:tc>
        <w:tc>
          <w:tcPr>
            <w:tcW w:type="dxa" w:w="3118"/>
          </w:tcPr>
          <w:p>
            <w:pPr>
              <w:spacing w:lineRule="exact" w:line="600"/>
              <w:jc w:val="center"/>
            </w:pPr>
            <w:r/>
            <w:r>
              <w:rPr>
                <w:rFonts w:ascii="仿宋_GB2312" w:hAnsi="仿宋_GB2312" w:eastAsia="仿宋_GB2312"/>
                <w:b w:val="0"/>
                <w:color w:val="000000"/>
                <w:sz w:val="32"/>
              </w:rPr>
              <w:t>网易，2024</w:t>
            </w:r>
          </w:p>
        </w:tc>
      </w:tr>
      <w:tr>
        <w:tc>
          <w:tcPr>
            <w:tcW w:type="dxa" w:w="2835"/>
          </w:tcPr>
          <w:p>
            <w:pPr>
              <w:spacing w:lineRule="exact" w:line="600"/>
              <w:jc w:val="center"/>
            </w:pPr>
            <w:r/>
            <w:r>
              <w:rPr>
                <w:rFonts w:ascii="仿宋_GB2312" w:hAnsi="仿宋_GB2312" w:eastAsia="仿宋_GB2312"/>
                <w:b w:val="0"/>
                <w:color w:val="000000"/>
                <w:sz w:val="32"/>
              </w:rPr>
              <w:t>产品品类</w:t>
            </w:r>
          </w:p>
        </w:tc>
        <w:tc>
          <w:tcPr>
            <w:tcW w:type="dxa" w:w="3118"/>
          </w:tcPr>
          <w:p>
            <w:pPr>
              <w:spacing w:lineRule="exact" w:line="600"/>
              <w:jc w:val="center"/>
            </w:pPr>
            <w:r/>
            <w:r>
              <w:rPr>
                <w:rFonts w:ascii="仿宋_GB2312" w:hAnsi="仿宋_GB2312" w:eastAsia="仿宋_GB2312"/>
                <w:b w:val="0"/>
                <w:color w:val="000000"/>
                <w:sz w:val="32"/>
              </w:rPr>
              <w:t>四大门类600余品种</w:t>
            </w:r>
          </w:p>
        </w:tc>
        <w:tc>
          <w:tcPr>
            <w:tcW w:type="dxa" w:w="3118"/>
          </w:tcPr>
          <w:p>
            <w:pPr>
              <w:spacing w:lineRule="exact" w:line="600"/>
              <w:jc w:val="center"/>
            </w:pPr>
            <w:r/>
            <w:r>
              <w:rPr>
                <w:rFonts w:ascii="仿宋_GB2312" w:hAnsi="仿宋_GB2312" w:eastAsia="仿宋_GB2312"/>
                <w:b w:val="0"/>
                <w:color w:val="000000"/>
                <w:sz w:val="32"/>
              </w:rPr>
              <w:t>沙土镇，2024</w:t>
            </w:r>
          </w:p>
        </w:tc>
      </w:tr>
      <w:tr>
        <w:tc>
          <w:tcPr>
            <w:tcW w:type="dxa" w:w="2835"/>
          </w:tcPr>
          <w:p>
            <w:pPr>
              <w:spacing w:lineRule="exact" w:line="600"/>
              <w:jc w:val="center"/>
            </w:pPr>
            <w:r/>
            <w:r>
              <w:rPr>
                <w:rFonts w:ascii="仿宋_GB2312" w:hAnsi="仿宋_GB2312" w:eastAsia="仿宋_GB2312"/>
                <w:b w:val="0"/>
                <w:color w:val="000000"/>
                <w:sz w:val="32"/>
              </w:rPr>
              <w:t>全镇产值</w:t>
            </w:r>
          </w:p>
        </w:tc>
        <w:tc>
          <w:tcPr>
            <w:tcW w:type="dxa" w:w="3118"/>
          </w:tcPr>
          <w:p>
            <w:pPr>
              <w:spacing w:lineRule="exact" w:line="600"/>
              <w:jc w:val="center"/>
            </w:pPr>
            <w:r/>
            <w:r>
              <w:rPr>
                <w:rFonts w:ascii="仿宋_GB2312" w:hAnsi="仿宋_GB2312" w:eastAsia="仿宋_GB2312"/>
                <w:b w:val="0"/>
                <w:color w:val="000000"/>
                <w:sz w:val="32"/>
              </w:rPr>
              <w:t>突破70亿元</w:t>
            </w:r>
          </w:p>
        </w:tc>
        <w:tc>
          <w:tcPr>
            <w:tcW w:type="dxa" w:w="3118"/>
          </w:tcPr>
          <w:p>
            <w:pPr>
              <w:spacing w:lineRule="exact" w:line="600"/>
              <w:jc w:val="center"/>
            </w:pPr>
            <w:r/>
            <w:r>
              <w:rPr>
                <w:rFonts w:ascii="仿宋_GB2312" w:hAnsi="仿宋_GB2312" w:eastAsia="仿宋_GB2312"/>
                <w:b w:val="0"/>
                <w:color w:val="000000"/>
                <w:sz w:val="32"/>
              </w:rPr>
              <w:t>菏泽广电，2024</w:t>
            </w:r>
          </w:p>
        </w:tc>
      </w:tr>
      <w:tr>
        <w:tc>
          <w:tcPr>
            <w:tcW w:type="dxa" w:w="2835"/>
          </w:tcPr>
          <w:p>
            <w:pPr>
              <w:spacing w:lineRule="exact" w:line="600"/>
              <w:jc w:val="center"/>
            </w:pPr>
            <w:r/>
            <w:r>
              <w:rPr>
                <w:rFonts w:ascii="仿宋_GB2312" w:hAnsi="仿宋_GB2312" w:eastAsia="仿宋_GB2312"/>
                <w:b w:val="0"/>
                <w:color w:val="000000"/>
                <w:sz w:val="32"/>
              </w:rPr>
              <w:t>全镇税收</w:t>
            </w:r>
          </w:p>
        </w:tc>
        <w:tc>
          <w:tcPr>
            <w:tcW w:type="dxa" w:w="3118"/>
          </w:tcPr>
          <w:p>
            <w:pPr>
              <w:spacing w:lineRule="exact" w:line="600"/>
              <w:jc w:val="center"/>
            </w:pPr>
            <w:r/>
            <w:r>
              <w:rPr>
                <w:rFonts w:ascii="仿宋_GB2312" w:hAnsi="仿宋_GB2312" w:eastAsia="仿宋_GB2312"/>
                <w:b w:val="0"/>
                <w:color w:val="000000"/>
                <w:sz w:val="32"/>
              </w:rPr>
              <w:t>2.1亿元</w:t>
            </w:r>
          </w:p>
        </w:tc>
        <w:tc>
          <w:tcPr>
            <w:tcW w:type="dxa" w:w="3118"/>
          </w:tcPr>
          <w:p>
            <w:pPr>
              <w:spacing w:lineRule="exact" w:line="600"/>
              <w:jc w:val="center"/>
            </w:pPr>
            <w:r/>
            <w:r>
              <w:rPr>
                <w:rFonts w:ascii="仿宋_GB2312" w:hAnsi="仿宋_GB2312" w:eastAsia="仿宋_GB2312"/>
                <w:b w:val="0"/>
                <w:color w:val="000000"/>
                <w:sz w:val="32"/>
              </w:rPr>
              <w:t>牡丹区发布，2024</w:t>
            </w:r>
          </w:p>
        </w:tc>
      </w:tr>
      <w:tr>
        <w:tc>
          <w:tcPr>
            <w:tcW w:type="dxa" w:w="2835"/>
          </w:tcPr>
          <w:p>
            <w:pPr>
              <w:spacing w:lineRule="exact" w:line="600"/>
              <w:jc w:val="center"/>
            </w:pPr>
            <w:r/>
            <w:r>
              <w:rPr>
                <w:rFonts w:ascii="仿宋_GB2312" w:hAnsi="仿宋_GB2312" w:eastAsia="仿宋_GB2312"/>
                <w:b w:val="0"/>
                <w:color w:val="000000"/>
                <w:sz w:val="32"/>
              </w:rPr>
              <w:t>一般公共预算</w:t>
            </w:r>
          </w:p>
        </w:tc>
        <w:tc>
          <w:tcPr>
            <w:tcW w:type="dxa" w:w="3118"/>
          </w:tcPr>
          <w:p>
            <w:pPr>
              <w:spacing w:lineRule="exact" w:line="600"/>
              <w:jc w:val="center"/>
            </w:pPr>
            <w:r/>
            <w:r>
              <w:rPr>
                <w:rFonts w:ascii="仿宋_GB2312" w:hAnsi="仿宋_GB2312" w:eastAsia="仿宋_GB2312"/>
                <w:b w:val="0"/>
                <w:color w:val="000000"/>
                <w:sz w:val="32"/>
              </w:rPr>
              <w:t>1.1亿元</w:t>
            </w:r>
          </w:p>
        </w:tc>
        <w:tc>
          <w:tcPr>
            <w:tcW w:type="dxa" w:w="3118"/>
          </w:tcPr>
          <w:p>
            <w:pPr>
              <w:spacing w:lineRule="exact" w:line="600"/>
              <w:jc w:val="center"/>
            </w:pPr>
            <w:r/>
            <w:r>
              <w:rPr>
                <w:rFonts w:ascii="仿宋_GB2312" w:hAnsi="仿宋_GB2312" w:eastAsia="仿宋_GB2312"/>
                <w:b w:val="0"/>
                <w:color w:val="000000"/>
                <w:sz w:val="32"/>
              </w:rPr>
              <w:t>牡丹区发布，2024</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（一）原料基地层</w:t>
      </w:r>
    </w:p>
    <w:p>
      <w:pPr>
        <w:spacing w:lineRule="exact" w:line="600" w:before="0" w:after="0"/>
        <w:ind w:firstLine="420"/>
        <w:jc w:val="both"/>
      </w:pPr>
      <w:r>
        <w:rPr>
          <w:rFonts w:ascii="仿宋_GB2312" w:hAnsi="仿宋_GB2312" w:eastAsia="仿宋_GB2312"/>
          <w:b w:val="0"/>
          <w:color w:val="000000"/>
          <w:sz w:val="32"/>
        </w:rPr>
        <w:t>沙土镇果蔬种植超10万亩，佳美签约20万亩标准化农产品基地，10万亩核心蔬菜基地辐射带动周边20余万亩种植区，95%蔬菜果品实现就地转化（来源：菏泽广电、网易，2024）。</w:t>
      </w:r>
    </w:p>
    <w:p>
      <w:pPr>
        <w:spacing w:lineRule="exact" w:line="600" w:before="120" w:after="120"/>
        <w:ind w:firstLine="420"/>
        <w:jc w:val="left"/>
      </w:pPr>
      <w:r>
        <w:rPr>
          <w:rFonts w:ascii="楷体_GB2312" w:hAnsi="楷体_GB2312" w:eastAsia="楷体_GB2312"/>
          <w:b w:val="0"/>
          <w:color w:val="000000"/>
          <w:sz w:val="32"/>
        </w:rPr>
        <w:t>（二）品牌制造层</w:t>
      </w:r>
    </w:p>
    <w:p>
      <w:pPr>
        <w:spacing w:lineRule="exact" w:line="600" w:before="0" w:after="0"/>
        <w:ind w:firstLine="420"/>
        <w:jc w:val="both"/>
      </w:pPr>
      <w:r>
        <w:rPr>
          <w:rFonts w:ascii="仿宋_GB2312" w:hAnsi="仿宋_GB2312" w:eastAsia="仿宋_GB2312"/>
          <w:b w:val="0"/>
          <w:color w:val="000000"/>
          <w:sz w:val="32"/>
        </w:rPr>
        <w:t>以佳美（果蔬汁）、沙土（炒货）、虎运（牛肉）、盛鑫源（脱水蔬菜）等品牌企业为制造核心，园区52家链上企业形成300余品种矩阵（来源：牡丹区政府，2024）。</w:t>
      </w:r>
    </w:p>
    <w:p>
      <w:pPr>
        <w:spacing w:lineRule="exact" w:line="600" w:before="120" w:after="120"/>
        <w:ind w:firstLine="420"/>
        <w:jc w:val="left"/>
      </w:pPr>
      <w:r>
        <w:rPr>
          <w:rFonts w:ascii="楷体_GB2312" w:hAnsi="楷体_GB2312" w:eastAsia="楷体_GB2312"/>
          <w:b w:val="0"/>
          <w:color w:val="000000"/>
          <w:sz w:val="32"/>
        </w:rPr>
        <w:t>（三）流通服务层</w:t>
      </w:r>
    </w:p>
    <w:p>
      <w:pPr>
        <w:spacing w:lineRule="exact" w:line="600" w:before="0" w:after="0"/>
        <w:ind w:firstLine="420"/>
        <w:jc w:val="both"/>
      </w:pPr>
      <w:r>
        <w:rPr>
          <w:rFonts w:ascii="仿宋_GB2312" w:hAnsi="仿宋_GB2312" w:eastAsia="仿宋_GB2312"/>
          <w:b w:val="0"/>
          <w:color w:val="000000"/>
          <w:sz w:val="32"/>
        </w:rPr>
        <w:t>园区配建冷链物流（冰韵冷链10个库、零下18/30度）、食品检测中心、污水处理厂与热力管网，毗邻牡丹机场、高铁站、济铁菏泽物流园，支撑鲜品与出口流通（来源：牡丹区政府、菏泽广电，2024）。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层级</w:t>
            </w:r>
          </w:p>
        </w:tc>
        <w:tc>
          <w:tcPr>
            <w:tcW w:type="dxa" w:w="3685"/>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关键数据</w:t>
            </w:r>
          </w:p>
        </w:tc>
      </w:tr>
      <w:tr>
        <w:tc>
          <w:tcPr>
            <w:tcW w:type="dxa" w:w="2268"/>
          </w:tcPr>
          <w:p>
            <w:pPr>
              <w:spacing w:lineRule="exact" w:line="600"/>
              <w:jc w:val="center"/>
            </w:pPr>
            <w:r/>
            <w:r>
              <w:rPr>
                <w:rFonts w:ascii="仿宋_GB2312" w:hAnsi="仿宋_GB2312" w:eastAsia="仿宋_GB2312"/>
                <w:b w:val="0"/>
                <w:color w:val="000000"/>
                <w:sz w:val="32"/>
              </w:rPr>
              <w:t>原料</w:t>
            </w:r>
          </w:p>
        </w:tc>
        <w:tc>
          <w:tcPr>
            <w:tcW w:type="dxa" w:w="3685"/>
          </w:tcPr>
          <w:p>
            <w:pPr>
              <w:spacing w:lineRule="exact" w:line="600"/>
              <w:jc w:val="center"/>
            </w:pPr>
            <w:r/>
            <w:r>
              <w:rPr>
                <w:rFonts w:ascii="仿宋_GB2312" w:hAnsi="仿宋_GB2312" w:eastAsia="仿宋_GB2312"/>
                <w:b w:val="0"/>
                <w:color w:val="000000"/>
                <w:sz w:val="32"/>
              </w:rPr>
              <w:t>果蔬10万亩+基地20万亩</w:t>
            </w:r>
          </w:p>
        </w:tc>
        <w:tc>
          <w:tcPr>
            <w:tcW w:type="dxa" w:w="3118"/>
          </w:tcPr>
          <w:p>
            <w:pPr>
              <w:spacing w:lineRule="exact" w:line="600"/>
              <w:jc w:val="center"/>
            </w:pPr>
            <w:r/>
            <w:r>
              <w:rPr>
                <w:rFonts w:ascii="仿宋_GB2312" w:hAnsi="仿宋_GB2312" w:eastAsia="仿宋_GB2312"/>
                <w:b w:val="0"/>
                <w:color w:val="000000"/>
                <w:sz w:val="32"/>
              </w:rPr>
              <w:t>就地转化95%</w:t>
            </w:r>
          </w:p>
        </w:tc>
      </w:tr>
      <w:tr>
        <w:tc>
          <w:tcPr>
            <w:tcW w:type="dxa" w:w="2268"/>
          </w:tcPr>
          <w:p>
            <w:pPr>
              <w:spacing w:lineRule="exact" w:line="600"/>
              <w:jc w:val="center"/>
            </w:pPr>
            <w:r/>
            <w:r>
              <w:rPr>
                <w:rFonts w:ascii="仿宋_GB2312" w:hAnsi="仿宋_GB2312" w:eastAsia="仿宋_GB2312"/>
                <w:b w:val="0"/>
                <w:color w:val="000000"/>
                <w:sz w:val="32"/>
              </w:rPr>
              <w:t>品牌</w:t>
            </w:r>
          </w:p>
        </w:tc>
        <w:tc>
          <w:tcPr>
            <w:tcW w:type="dxa" w:w="3685"/>
          </w:tcPr>
          <w:p>
            <w:pPr>
              <w:spacing w:lineRule="exact" w:line="600"/>
              <w:jc w:val="center"/>
            </w:pPr>
            <w:r/>
            <w:r>
              <w:rPr>
                <w:rFonts w:ascii="仿宋_GB2312" w:hAnsi="仿宋_GB2312" w:eastAsia="仿宋_GB2312"/>
                <w:b w:val="0"/>
                <w:color w:val="000000"/>
                <w:sz w:val="32"/>
              </w:rPr>
              <w:t>佳美/沙土/虎运/盛鑫源</w:t>
            </w:r>
          </w:p>
        </w:tc>
        <w:tc>
          <w:tcPr>
            <w:tcW w:type="dxa" w:w="3118"/>
          </w:tcPr>
          <w:p>
            <w:pPr>
              <w:spacing w:lineRule="exact" w:line="600"/>
              <w:jc w:val="center"/>
            </w:pPr>
            <w:r/>
            <w:r>
              <w:rPr>
                <w:rFonts w:ascii="仿宋_GB2312" w:hAnsi="仿宋_GB2312" w:eastAsia="仿宋_GB2312"/>
                <w:b w:val="0"/>
                <w:color w:val="000000"/>
                <w:sz w:val="32"/>
              </w:rPr>
              <w:t>52家链上</w:t>
            </w:r>
          </w:p>
        </w:tc>
      </w:tr>
      <w:tr>
        <w:tc>
          <w:tcPr>
            <w:tcW w:type="dxa" w:w="2268"/>
          </w:tcPr>
          <w:p>
            <w:pPr>
              <w:spacing w:lineRule="exact" w:line="600"/>
              <w:jc w:val="center"/>
            </w:pPr>
            <w:r/>
            <w:r>
              <w:rPr>
                <w:rFonts w:ascii="仿宋_GB2312" w:hAnsi="仿宋_GB2312" w:eastAsia="仿宋_GB2312"/>
                <w:b w:val="0"/>
                <w:color w:val="000000"/>
                <w:sz w:val="32"/>
              </w:rPr>
              <w:t>品类</w:t>
            </w:r>
          </w:p>
        </w:tc>
        <w:tc>
          <w:tcPr>
            <w:tcW w:type="dxa" w:w="3685"/>
          </w:tcPr>
          <w:p>
            <w:pPr>
              <w:spacing w:lineRule="exact" w:line="600"/>
              <w:jc w:val="center"/>
            </w:pPr>
            <w:r/>
            <w:r>
              <w:rPr>
                <w:rFonts w:ascii="仿宋_GB2312" w:hAnsi="仿宋_GB2312" w:eastAsia="仿宋_GB2312"/>
                <w:b w:val="0"/>
                <w:color w:val="000000"/>
                <w:sz w:val="32"/>
              </w:rPr>
              <w:t>300余品种</w:t>
            </w:r>
          </w:p>
        </w:tc>
        <w:tc>
          <w:tcPr>
            <w:tcW w:type="dxa" w:w="3118"/>
          </w:tcPr>
          <w:p>
            <w:pPr>
              <w:spacing w:lineRule="exact" w:line="600"/>
              <w:jc w:val="center"/>
            </w:pPr>
            <w:r/>
            <w:r>
              <w:rPr>
                <w:rFonts w:ascii="仿宋_GB2312" w:hAnsi="仿宋_GB2312" w:eastAsia="仿宋_GB2312"/>
                <w:b w:val="0"/>
                <w:color w:val="000000"/>
                <w:sz w:val="32"/>
              </w:rPr>
              <w:t>四大门类</w:t>
            </w:r>
          </w:p>
        </w:tc>
      </w:tr>
      <w:tr>
        <w:tc>
          <w:tcPr>
            <w:tcW w:type="dxa" w:w="2268"/>
          </w:tcPr>
          <w:p>
            <w:pPr>
              <w:spacing w:lineRule="exact" w:line="600"/>
              <w:jc w:val="center"/>
            </w:pPr>
            <w:r/>
            <w:r>
              <w:rPr>
                <w:rFonts w:ascii="仿宋_GB2312" w:hAnsi="仿宋_GB2312" w:eastAsia="仿宋_GB2312"/>
                <w:b w:val="0"/>
                <w:color w:val="000000"/>
                <w:sz w:val="32"/>
              </w:rPr>
              <w:t>流通</w:t>
            </w:r>
          </w:p>
        </w:tc>
        <w:tc>
          <w:tcPr>
            <w:tcW w:type="dxa" w:w="3685"/>
          </w:tcPr>
          <w:p>
            <w:pPr>
              <w:spacing w:lineRule="exact" w:line="600"/>
              <w:jc w:val="center"/>
            </w:pPr>
            <w:r/>
            <w:r>
              <w:rPr>
                <w:rFonts w:ascii="仿宋_GB2312" w:hAnsi="仿宋_GB2312" w:eastAsia="仿宋_GB2312"/>
                <w:b w:val="0"/>
                <w:color w:val="000000"/>
                <w:sz w:val="32"/>
              </w:rPr>
              <w:t>冷链+检测+物流园</w:t>
            </w:r>
          </w:p>
        </w:tc>
        <w:tc>
          <w:tcPr>
            <w:tcW w:type="dxa" w:w="3118"/>
          </w:tcPr>
          <w:p>
            <w:pPr>
              <w:spacing w:lineRule="exact" w:line="600"/>
              <w:jc w:val="center"/>
            </w:pPr>
            <w:r/>
            <w:r>
              <w:rPr>
                <w:rFonts w:ascii="仿宋_GB2312" w:hAnsi="仿宋_GB2312" w:eastAsia="仿宋_GB2312"/>
                <w:b w:val="0"/>
                <w:color w:val="000000"/>
                <w:sz w:val="32"/>
              </w:rPr>
              <w:t>出口10余国</w:t>
            </w:r>
          </w:p>
        </w:tc>
      </w:tr>
      <w:tr>
        <w:tc>
          <w:tcPr>
            <w:tcW w:type="dxa" w:w="2268"/>
          </w:tcPr>
          <w:p>
            <w:pPr>
              <w:spacing w:lineRule="exact" w:line="600"/>
              <w:jc w:val="center"/>
            </w:pPr>
            <w:r/>
            <w:r>
              <w:rPr>
                <w:rFonts w:ascii="仿宋_GB2312" w:hAnsi="仿宋_GB2312" w:eastAsia="仿宋_GB2312"/>
                <w:b w:val="0"/>
                <w:color w:val="000000"/>
                <w:sz w:val="32"/>
              </w:rPr>
              <w:t>基建</w:t>
            </w:r>
          </w:p>
        </w:tc>
        <w:tc>
          <w:tcPr>
            <w:tcW w:type="dxa" w:w="3685"/>
          </w:tcPr>
          <w:p>
            <w:pPr>
              <w:spacing w:lineRule="exact" w:line="600"/>
              <w:jc w:val="center"/>
            </w:pPr>
            <w:r/>
            <w:r>
              <w:rPr>
                <w:rFonts w:ascii="仿宋_GB2312" w:hAnsi="仿宋_GB2312" w:eastAsia="仿宋_GB2312"/>
                <w:b w:val="0"/>
                <w:color w:val="000000"/>
                <w:sz w:val="32"/>
              </w:rPr>
              <w:t>七通一平</w:t>
            </w:r>
          </w:p>
        </w:tc>
        <w:tc>
          <w:tcPr>
            <w:tcW w:type="dxa" w:w="3118"/>
          </w:tcPr>
          <w:p>
            <w:pPr>
              <w:spacing w:lineRule="exact" w:line="600"/>
              <w:jc w:val="center"/>
            </w:pPr>
            <w:r/>
            <w:r>
              <w:rPr>
                <w:rFonts w:ascii="仿宋_GB2312" w:hAnsi="仿宋_GB2312" w:eastAsia="仿宋_GB2312"/>
                <w:b w:val="0"/>
                <w:color w:val="000000"/>
                <w:sz w:val="32"/>
              </w:rPr>
              <w:t>8000余万厂房</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（一）基地供需</w:t>
      </w:r>
    </w:p>
    <w:p>
      <w:pPr>
        <w:spacing w:lineRule="exact" w:line="600" w:before="0" w:after="0"/>
        <w:ind w:firstLine="420"/>
        <w:jc w:val="both"/>
      </w:pPr>
      <w:r>
        <w:rPr>
          <w:rFonts w:ascii="仿宋_GB2312" w:hAnsi="仿宋_GB2312" w:eastAsia="仿宋_GB2312"/>
          <w:b w:val="0"/>
          <w:color w:val="000000"/>
          <w:sz w:val="32"/>
        </w:rPr>
        <w:t>「企业+农户」模式使原料稳定供给、农户增收。佳美带动10余万户、年创收4000万元以上；种菜大户收入较单干翻番，一体化模式改变农业生态（来源：网易，2024）。</w:t>
      </w:r>
    </w:p>
    <w:p>
      <w:pPr>
        <w:spacing w:lineRule="exact" w:line="600" w:before="120" w:after="120"/>
        <w:ind w:firstLine="420"/>
        <w:jc w:val="left"/>
      </w:pPr>
      <w:r>
        <w:rPr>
          <w:rFonts w:ascii="楷体_GB2312" w:hAnsi="楷体_GB2312" w:eastAsia="楷体_GB2312"/>
          <w:b w:val="0"/>
          <w:color w:val="000000"/>
          <w:sz w:val="32"/>
        </w:rPr>
        <w:t>（二）品牌竞争</w:t>
      </w:r>
    </w:p>
    <w:p>
      <w:pPr>
        <w:spacing w:lineRule="exact" w:line="600" w:before="0" w:after="0"/>
        <w:ind w:firstLine="420"/>
        <w:jc w:val="both"/>
      </w:pPr>
      <w:r>
        <w:rPr>
          <w:rFonts w:ascii="仿宋_GB2312" w:hAnsi="仿宋_GB2312" w:eastAsia="仿宋_GB2312"/>
          <w:b w:val="0"/>
          <w:color w:val="000000"/>
          <w:sz w:val="32"/>
        </w:rPr>
        <w:t>品牌集中度提升：佳美国家级龙头、沙土中国驰名商标形成认知壁垒；中小代工以性价比参与。园区产品远销30多国，品牌出海初具规模（来源：牡丹区发布、沙土食品报道，2024）。</w:t>
      </w:r>
    </w:p>
    <w:p>
      <w:pPr>
        <w:spacing w:lineRule="exact" w:line="600" w:before="120" w:after="120"/>
        <w:ind w:firstLine="420"/>
        <w:jc w:val="left"/>
      </w:pPr>
      <w:r>
        <w:rPr>
          <w:rFonts w:ascii="楷体_GB2312" w:hAnsi="楷体_GB2312" w:eastAsia="楷体_GB2312"/>
          <w:b w:val="0"/>
          <w:color w:val="000000"/>
          <w:sz w:val="32"/>
        </w:rPr>
        <w:t>（三）流通效率</w:t>
      </w:r>
    </w:p>
    <w:p>
      <w:pPr>
        <w:spacing w:lineRule="exact" w:line="600" w:before="0" w:after="0"/>
        <w:ind w:firstLine="420"/>
        <w:jc w:val="both"/>
      </w:pPr>
      <w:r>
        <w:rPr>
          <w:rFonts w:ascii="仿宋_GB2312" w:hAnsi="仿宋_GB2312" w:eastAsia="仿宋_GB2312"/>
          <w:b w:val="0"/>
          <w:color w:val="000000"/>
          <w:sz w:val="32"/>
        </w:rPr>
        <w:t>冷链与物流园使鲜榨果汁、冻品可就近仓储外运，降低损耗；园区2024年产值60亿（园区口径）—70亿（全镇口径），工业企业用电量同比+17.2%（来源：牡丹区政府、菏泽广电，2024）。</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维度</w:t>
            </w:r>
          </w:p>
        </w:tc>
        <w:tc>
          <w:tcPr>
            <w:tcW w:type="dxa" w:w="3118"/>
          </w:tcPr>
          <w:p>
            <w:pPr>
              <w:spacing w:lineRule="exact" w:line="600"/>
              <w:jc w:val="center"/>
            </w:pPr>
            <w:r/>
            <w:r>
              <w:rPr>
                <w:rFonts w:ascii="黑体" w:hAnsi="黑体" w:eastAsia="黑体"/>
                <w:b/>
                <w:color w:val="000000"/>
                <w:sz w:val="32"/>
              </w:rPr>
              <w:t>数据</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基地带动农户</w:t>
            </w:r>
          </w:p>
        </w:tc>
        <w:tc>
          <w:tcPr>
            <w:tcW w:type="dxa" w:w="3118"/>
          </w:tcPr>
          <w:p>
            <w:pPr>
              <w:spacing w:lineRule="exact" w:line="600"/>
              <w:jc w:val="center"/>
            </w:pPr>
            <w:r/>
            <w:r>
              <w:rPr>
                <w:rFonts w:ascii="仿宋_GB2312" w:hAnsi="仿宋_GB2312" w:eastAsia="仿宋_GB2312"/>
                <w:b w:val="0"/>
                <w:color w:val="000000"/>
                <w:sz w:val="32"/>
              </w:rPr>
              <w:t>10余万户</w:t>
            </w:r>
          </w:p>
        </w:tc>
        <w:tc>
          <w:tcPr>
            <w:tcW w:type="dxa" w:w="3118"/>
          </w:tcPr>
          <w:p>
            <w:pPr>
              <w:spacing w:lineRule="exact" w:line="600"/>
              <w:jc w:val="center"/>
            </w:pPr>
            <w:r/>
            <w:r>
              <w:rPr>
                <w:rFonts w:ascii="仿宋_GB2312" w:hAnsi="仿宋_GB2312" w:eastAsia="仿宋_GB2312"/>
                <w:b w:val="0"/>
                <w:color w:val="000000"/>
                <w:sz w:val="32"/>
              </w:rPr>
              <w:t>网易，2024</w:t>
            </w:r>
          </w:p>
        </w:tc>
      </w:tr>
      <w:tr>
        <w:tc>
          <w:tcPr>
            <w:tcW w:type="dxa" w:w="2835"/>
          </w:tcPr>
          <w:p>
            <w:pPr>
              <w:spacing w:lineRule="exact" w:line="600"/>
              <w:jc w:val="center"/>
            </w:pPr>
            <w:r/>
            <w:r>
              <w:rPr>
                <w:rFonts w:ascii="仿宋_GB2312" w:hAnsi="仿宋_GB2312" w:eastAsia="仿宋_GB2312"/>
                <w:b w:val="0"/>
                <w:color w:val="000000"/>
                <w:sz w:val="32"/>
              </w:rPr>
              <w:t>农户年创收</w:t>
            </w:r>
          </w:p>
        </w:tc>
        <w:tc>
          <w:tcPr>
            <w:tcW w:type="dxa" w:w="3118"/>
          </w:tcPr>
          <w:p>
            <w:pPr>
              <w:spacing w:lineRule="exact" w:line="600"/>
              <w:jc w:val="center"/>
            </w:pPr>
            <w:r/>
            <w:r>
              <w:rPr>
                <w:rFonts w:ascii="仿宋_GB2312" w:hAnsi="仿宋_GB2312" w:eastAsia="仿宋_GB2312"/>
                <w:b w:val="0"/>
                <w:color w:val="000000"/>
                <w:sz w:val="32"/>
              </w:rPr>
              <w:t>4000万元以上</w:t>
            </w:r>
          </w:p>
        </w:tc>
        <w:tc>
          <w:tcPr>
            <w:tcW w:type="dxa" w:w="3118"/>
          </w:tcPr>
          <w:p>
            <w:pPr>
              <w:spacing w:lineRule="exact" w:line="600"/>
              <w:jc w:val="center"/>
            </w:pPr>
            <w:r/>
            <w:r>
              <w:rPr>
                <w:rFonts w:ascii="仿宋_GB2312" w:hAnsi="仿宋_GB2312" w:eastAsia="仿宋_GB2312"/>
                <w:b w:val="0"/>
                <w:color w:val="000000"/>
                <w:sz w:val="32"/>
              </w:rPr>
              <w:t>网易，2024</w:t>
            </w:r>
          </w:p>
        </w:tc>
      </w:tr>
      <w:tr>
        <w:tc>
          <w:tcPr>
            <w:tcW w:type="dxa" w:w="2835"/>
          </w:tcPr>
          <w:p>
            <w:pPr>
              <w:spacing w:lineRule="exact" w:line="600"/>
              <w:jc w:val="center"/>
            </w:pPr>
            <w:r/>
            <w:r>
              <w:rPr>
                <w:rFonts w:ascii="仿宋_GB2312" w:hAnsi="仿宋_GB2312" w:eastAsia="仿宋_GB2312"/>
                <w:b w:val="0"/>
                <w:color w:val="000000"/>
                <w:sz w:val="32"/>
              </w:rPr>
              <w:t>就地转化</w:t>
            </w:r>
          </w:p>
        </w:tc>
        <w:tc>
          <w:tcPr>
            <w:tcW w:type="dxa" w:w="3118"/>
          </w:tcPr>
          <w:p>
            <w:pPr>
              <w:spacing w:lineRule="exact" w:line="600"/>
              <w:jc w:val="center"/>
            </w:pPr>
            <w:r/>
            <w:r>
              <w:rPr>
                <w:rFonts w:ascii="仿宋_GB2312" w:hAnsi="仿宋_GB2312" w:eastAsia="仿宋_GB2312"/>
                <w:b w:val="0"/>
                <w:color w:val="000000"/>
                <w:sz w:val="32"/>
              </w:rPr>
              <w:t>95%</w:t>
            </w:r>
          </w:p>
        </w:tc>
        <w:tc>
          <w:tcPr>
            <w:tcW w:type="dxa" w:w="3118"/>
          </w:tcPr>
          <w:p>
            <w:pPr>
              <w:spacing w:lineRule="exact" w:line="600"/>
              <w:jc w:val="center"/>
            </w:pPr>
            <w:r/>
            <w:r>
              <w:rPr>
                <w:rFonts w:ascii="仿宋_GB2312" w:hAnsi="仿宋_GB2312" w:eastAsia="仿宋_GB2312"/>
                <w:b w:val="0"/>
                <w:color w:val="000000"/>
                <w:sz w:val="32"/>
              </w:rPr>
              <w:t>网易，2024</w:t>
            </w:r>
          </w:p>
        </w:tc>
      </w:tr>
      <w:tr>
        <w:tc>
          <w:tcPr>
            <w:tcW w:type="dxa" w:w="2835"/>
          </w:tcPr>
          <w:p>
            <w:pPr>
              <w:spacing w:lineRule="exact" w:line="600"/>
              <w:jc w:val="center"/>
            </w:pPr>
            <w:r/>
            <w:r>
              <w:rPr>
                <w:rFonts w:ascii="仿宋_GB2312" w:hAnsi="仿宋_GB2312" w:eastAsia="仿宋_GB2312"/>
                <w:b w:val="0"/>
                <w:color w:val="000000"/>
                <w:sz w:val="32"/>
              </w:rPr>
              <w:t>出口</w:t>
            </w:r>
          </w:p>
        </w:tc>
        <w:tc>
          <w:tcPr>
            <w:tcW w:type="dxa" w:w="3118"/>
          </w:tcPr>
          <w:p>
            <w:pPr>
              <w:spacing w:lineRule="exact" w:line="600"/>
              <w:jc w:val="center"/>
            </w:pPr>
            <w:r/>
            <w:r>
              <w:rPr>
                <w:rFonts w:ascii="仿宋_GB2312" w:hAnsi="仿宋_GB2312" w:eastAsia="仿宋_GB2312"/>
                <w:b w:val="0"/>
                <w:color w:val="000000"/>
                <w:sz w:val="32"/>
              </w:rPr>
              <w:t>10—30余国</w:t>
            </w:r>
          </w:p>
        </w:tc>
        <w:tc>
          <w:tcPr>
            <w:tcW w:type="dxa" w:w="3118"/>
          </w:tcPr>
          <w:p>
            <w:pPr>
              <w:spacing w:lineRule="exact" w:line="600"/>
              <w:jc w:val="center"/>
            </w:pPr>
            <w:r/>
            <w:r>
              <w:rPr>
                <w:rFonts w:ascii="仿宋_GB2312" w:hAnsi="仿宋_GB2312" w:eastAsia="仿宋_GB2312"/>
                <w:b w:val="0"/>
                <w:color w:val="000000"/>
                <w:sz w:val="32"/>
              </w:rPr>
              <w:t>牡丹区政府/网易</w:t>
            </w:r>
          </w:p>
        </w:tc>
      </w:tr>
      <w:tr>
        <w:tc>
          <w:tcPr>
            <w:tcW w:type="dxa" w:w="2835"/>
          </w:tcPr>
          <w:p>
            <w:pPr>
              <w:spacing w:lineRule="exact" w:line="600"/>
              <w:jc w:val="center"/>
            </w:pPr>
            <w:r/>
            <w:r>
              <w:rPr>
                <w:rFonts w:ascii="仿宋_GB2312" w:hAnsi="仿宋_GB2312" w:eastAsia="仿宋_GB2312"/>
                <w:b w:val="0"/>
                <w:color w:val="000000"/>
                <w:sz w:val="32"/>
              </w:rPr>
              <w:t>用电</w:t>
            </w:r>
          </w:p>
        </w:tc>
        <w:tc>
          <w:tcPr>
            <w:tcW w:type="dxa" w:w="3118"/>
          </w:tcPr>
          <w:p>
            <w:pPr>
              <w:spacing w:lineRule="exact" w:line="600"/>
              <w:jc w:val="center"/>
            </w:pPr>
            <w:r/>
            <w:r>
              <w:rPr>
                <w:rFonts w:ascii="仿宋_GB2312" w:hAnsi="仿宋_GB2312" w:eastAsia="仿宋_GB2312"/>
                <w:b w:val="0"/>
                <w:color w:val="000000"/>
                <w:sz w:val="32"/>
              </w:rPr>
              <w:t>同比+17.2%</w:t>
            </w:r>
          </w:p>
        </w:tc>
        <w:tc>
          <w:tcPr>
            <w:tcW w:type="dxa" w:w="3118"/>
          </w:tcPr>
          <w:p>
            <w:pPr>
              <w:spacing w:lineRule="exact" w:line="600"/>
              <w:jc w:val="center"/>
            </w:pPr>
            <w:r/>
            <w:r>
              <w:rPr>
                <w:rFonts w:ascii="仿宋_GB2312" w:hAnsi="仿宋_GB2312" w:eastAsia="仿宋_GB2312"/>
                <w:b w:val="0"/>
                <w:color w:val="000000"/>
                <w:sz w:val="32"/>
              </w:rPr>
              <w:t>牡丹区发布，2024</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（一）龙头与品牌矩阵</w:t>
      </w:r>
    </w:p>
    <w:p>
      <w:pPr>
        <w:spacing w:lineRule="exact" w:line="600" w:before="0" w:after="0"/>
        <w:ind w:firstLine="420"/>
        <w:jc w:val="both"/>
      </w:pPr>
      <w:r>
        <w:rPr>
          <w:rFonts w:ascii="仿宋_GB2312" w:hAnsi="仿宋_GB2312" w:eastAsia="仿宋_GB2312"/>
          <w:b w:val="0"/>
          <w:color w:val="000000"/>
          <w:sz w:val="32"/>
        </w:rPr>
        <w:t>佳美（国家级龙头）、沙土（中国驰名商标）、虎运、盛鑫源构成品牌梯队；园区省级农业龙头3家、高企5家、进出口权企业9家（来源：牡丹区政府，2024）。</w:t>
      </w:r>
    </w:p>
    <w:p>
      <w:pPr>
        <w:spacing w:lineRule="exact" w:line="600" w:before="120" w:after="120"/>
        <w:ind w:firstLine="420"/>
        <w:jc w:val="left"/>
      </w:pPr>
      <w:r>
        <w:rPr>
          <w:rFonts w:ascii="楷体_GB2312" w:hAnsi="楷体_GB2312" w:eastAsia="楷体_GB2312"/>
          <w:b w:val="0"/>
          <w:color w:val="000000"/>
          <w:sz w:val="32"/>
        </w:rPr>
        <w:t>（二）合作社与农户协同</w:t>
      </w:r>
    </w:p>
    <w:p>
      <w:pPr>
        <w:spacing w:lineRule="exact" w:line="600" w:before="0" w:after="0"/>
        <w:ind w:firstLine="420"/>
        <w:jc w:val="both"/>
      </w:pPr>
      <w:r>
        <w:rPr>
          <w:rFonts w:ascii="仿宋_GB2312" w:hAnsi="仿宋_GB2312" w:eastAsia="仿宋_GB2312"/>
          <w:b w:val="0"/>
          <w:color w:val="000000"/>
          <w:sz w:val="32"/>
        </w:rPr>
        <w:t>178个农业合作社与25家加工企业紧密协作，构建集种养、加工、仓储、物流、销售于一体的全产业链；佳美「龙头企业+合作社+农户+基地」模式辐射10余万户（来源：网易，2024）。</w:t>
      </w:r>
    </w:p>
    <w:p>
      <w:pPr>
        <w:spacing w:lineRule="exact" w:line="600" w:before="120" w:after="120"/>
        <w:ind w:firstLine="420"/>
        <w:jc w:val="left"/>
      </w:pPr>
      <w:r>
        <w:rPr>
          <w:rFonts w:ascii="楷体_GB2312" w:hAnsi="楷体_GB2312" w:eastAsia="楷体_GB2312"/>
          <w:b w:val="0"/>
          <w:color w:val="000000"/>
          <w:sz w:val="32"/>
        </w:rPr>
        <w:t>（三）中外与资本</w:t>
      </w:r>
    </w:p>
    <w:p>
      <w:pPr>
        <w:spacing w:lineRule="exact" w:line="600" w:before="0" w:after="0"/>
        <w:ind w:firstLine="420"/>
        <w:jc w:val="both"/>
      </w:pPr>
      <w:r>
        <w:rPr>
          <w:rFonts w:ascii="仿宋_GB2312" w:hAnsi="仿宋_GB2312" w:eastAsia="仿宋_GB2312"/>
          <w:b w:val="0"/>
          <w:color w:val="000000"/>
          <w:sz w:val="32"/>
        </w:rPr>
        <w:t>佳美为台资企业，22次增资累计超2亿美元，亩均投入超1000万元、亩均产出500万元、亩均税收50万元；新加坡上市公司中华食品工业集团新投鲜绿园果汁项目，两岸融合与外资集聚明显（来源：网易、沙土镇报道，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主体</w:t>
            </w:r>
          </w:p>
        </w:tc>
        <w:tc>
          <w:tcPr>
            <w:tcW w:type="dxa" w:w="2551"/>
          </w:tcPr>
          <w:p>
            <w:pPr>
              <w:spacing w:lineRule="exact" w:line="600"/>
              <w:jc w:val="center"/>
            </w:pPr>
            <w:r/>
            <w:r>
              <w:rPr>
                <w:rFonts w:ascii="黑体" w:hAnsi="黑体" w:eastAsia="黑体"/>
                <w:b/>
                <w:color w:val="000000"/>
                <w:sz w:val="32"/>
              </w:rPr>
              <w:t>数量/数据</w:t>
            </w:r>
          </w:p>
        </w:tc>
        <w:tc>
          <w:tcPr>
            <w:tcW w:type="dxa" w:w="4252"/>
          </w:tcPr>
          <w:p>
            <w:pPr>
              <w:spacing w:lineRule="exact" w:line="600"/>
              <w:jc w:val="center"/>
            </w:pPr>
            <w:r/>
            <w:r>
              <w:rPr>
                <w:rFonts w:ascii="黑体" w:hAnsi="黑体" w:eastAsia="黑体"/>
                <w:b/>
                <w:color w:val="000000"/>
                <w:sz w:val="32"/>
              </w:rPr>
              <w:t>代表</w:t>
            </w:r>
          </w:p>
        </w:tc>
      </w:tr>
      <w:tr>
        <w:tc>
          <w:tcPr>
            <w:tcW w:type="dxa" w:w="2551"/>
          </w:tcPr>
          <w:p>
            <w:pPr>
              <w:spacing w:lineRule="exact" w:line="600"/>
              <w:jc w:val="center"/>
            </w:pPr>
            <w:r/>
            <w:r>
              <w:rPr>
                <w:rFonts w:ascii="仿宋_GB2312" w:hAnsi="仿宋_GB2312" w:eastAsia="仿宋_GB2312"/>
                <w:b w:val="0"/>
                <w:color w:val="000000"/>
                <w:sz w:val="32"/>
              </w:rPr>
              <w:t>国家级龙头</w:t>
            </w:r>
          </w:p>
        </w:tc>
        <w:tc>
          <w:tcPr>
            <w:tcW w:type="dxa" w:w="2551"/>
          </w:tcPr>
          <w:p>
            <w:pPr>
              <w:spacing w:lineRule="exact" w:line="600"/>
              <w:jc w:val="center"/>
            </w:pPr>
            <w:r/>
            <w:r>
              <w:rPr>
                <w:rFonts w:ascii="仿宋_GB2312" w:hAnsi="仿宋_GB2312" w:eastAsia="仿宋_GB2312"/>
                <w:b w:val="0"/>
                <w:color w:val="000000"/>
                <w:sz w:val="32"/>
              </w:rPr>
              <w:t>1家</w:t>
            </w:r>
          </w:p>
        </w:tc>
        <w:tc>
          <w:tcPr>
            <w:tcW w:type="dxa" w:w="4252"/>
          </w:tcPr>
          <w:p>
            <w:pPr>
              <w:spacing w:lineRule="exact" w:line="600"/>
              <w:jc w:val="center"/>
            </w:pPr>
            <w:r/>
            <w:r>
              <w:rPr>
                <w:rFonts w:ascii="仿宋_GB2312" w:hAnsi="仿宋_GB2312" w:eastAsia="仿宋_GB2312"/>
                <w:b w:val="0"/>
                <w:color w:val="000000"/>
                <w:sz w:val="32"/>
              </w:rPr>
              <w:t>佳美</w:t>
            </w:r>
          </w:p>
        </w:tc>
      </w:tr>
      <w:tr>
        <w:tc>
          <w:tcPr>
            <w:tcW w:type="dxa" w:w="2551"/>
          </w:tcPr>
          <w:p>
            <w:pPr>
              <w:spacing w:lineRule="exact" w:line="600"/>
              <w:jc w:val="center"/>
            </w:pPr>
            <w:r/>
            <w:r>
              <w:rPr>
                <w:rFonts w:ascii="仿宋_GB2312" w:hAnsi="仿宋_GB2312" w:eastAsia="仿宋_GB2312"/>
                <w:b w:val="0"/>
                <w:color w:val="000000"/>
                <w:sz w:val="32"/>
              </w:rPr>
              <w:t>省级农业龙头</w:t>
            </w:r>
          </w:p>
        </w:tc>
        <w:tc>
          <w:tcPr>
            <w:tcW w:type="dxa" w:w="2551"/>
          </w:tcPr>
          <w:p>
            <w:pPr>
              <w:spacing w:lineRule="exact" w:line="600"/>
              <w:jc w:val="center"/>
            </w:pPr>
            <w:r/>
            <w:r>
              <w:rPr>
                <w:rFonts w:ascii="仿宋_GB2312" w:hAnsi="仿宋_GB2312" w:eastAsia="仿宋_GB2312"/>
                <w:b w:val="0"/>
                <w:color w:val="000000"/>
                <w:sz w:val="32"/>
              </w:rPr>
              <w:t>3家</w:t>
            </w:r>
          </w:p>
        </w:tc>
        <w:tc>
          <w:tcPr>
            <w:tcW w:type="dxa" w:w="4252"/>
          </w:tcPr>
          <w:p>
            <w:pPr>
              <w:spacing w:lineRule="exact" w:line="600"/>
              <w:jc w:val="center"/>
            </w:pPr>
            <w:r/>
            <w:r>
              <w:rPr>
                <w:rFonts w:ascii="仿宋_GB2312" w:hAnsi="仿宋_GB2312" w:eastAsia="仿宋_GB2312"/>
                <w:b w:val="0"/>
                <w:color w:val="000000"/>
                <w:sz w:val="32"/>
              </w:rPr>
              <w:t>园区</w:t>
            </w:r>
          </w:p>
        </w:tc>
      </w:tr>
      <w:tr>
        <w:tc>
          <w:tcPr>
            <w:tcW w:type="dxa" w:w="2551"/>
          </w:tcPr>
          <w:p>
            <w:pPr>
              <w:spacing w:lineRule="exact" w:line="600"/>
              <w:jc w:val="center"/>
            </w:pPr>
            <w:r/>
            <w:r>
              <w:rPr>
                <w:rFonts w:ascii="仿宋_GB2312" w:hAnsi="仿宋_GB2312" w:eastAsia="仿宋_GB2312"/>
                <w:b w:val="0"/>
                <w:color w:val="000000"/>
                <w:sz w:val="32"/>
              </w:rPr>
              <w:t>合作社</w:t>
            </w:r>
          </w:p>
        </w:tc>
        <w:tc>
          <w:tcPr>
            <w:tcW w:type="dxa" w:w="2551"/>
          </w:tcPr>
          <w:p>
            <w:pPr>
              <w:spacing w:lineRule="exact" w:line="600"/>
              <w:jc w:val="center"/>
            </w:pPr>
            <w:r/>
            <w:r>
              <w:rPr>
                <w:rFonts w:ascii="仿宋_GB2312" w:hAnsi="仿宋_GB2312" w:eastAsia="仿宋_GB2312"/>
                <w:b w:val="0"/>
                <w:color w:val="000000"/>
                <w:sz w:val="32"/>
              </w:rPr>
              <w:t>178个</w:t>
            </w:r>
          </w:p>
        </w:tc>
        <w:tc>
          <w:tcPr>
            <w:tcW w:type="dxa" w:w="4252"/>
          </w:tcPr>
          <w:p>
            <w:pPr>
              <w:spacing w:lineRule="exact" w:line="600"/>
              <w:jc w:val="center"/>
            </w:pPr>
            <w:r/>
            <w:r>
              <w:rPr>
                <w:rFonts w:ascii="仿宋_GB2312" w:hAnsi="仿宋_GB2312" w:eastAsia="仿宋_GB2312"/>
                <w:b w:val="0"/>
                <w:color w:val="000000"/>
                <w:sz w:val="32"/>
              </w:rPr>
              <w:t>联动25家加工</w:t>
            </w:r>
          </w:p>
        </w:tc>
      </w:tr>
      <w:tr>
        <w:tc>
          <w:tcPr>
            <w:tcW w:type="dxa" w:w="2551"/>
          </w:tcPr>
          <w:p>
            <w:pPr>
              <w:spacing w:lineRule="exact" w:line="600"/>
              <w:jc w:val="center"/>
            </w:pPr>
            <w:r/>
            <w:r>
              <w:rPr>
                <w:rFonts w:ascii="仿宋_GB2312" w:hAnsi="仿宋_GB2312" w:eastAsia="仿宋_GB2312"/>
                <w:b w:val="0"/>
                <w:color w:val="000000"/>
                <w:sz w:val="32"/>
              </w:rPr>
              <w:t>台资增资</w:t>
            </w:r>
          </w:p>
        </w:tc>
        <w:tc>
          <w:tcPr>
            <w:tcW w:type="dxa" w:w="2551"/>
          </w:tcPr>
          <w:p>
            <w:pPr>
              <w:spacing w:lineRule="exact" w:line="600"/>
              <w:jc w:val="center"/>
            </w:pPr>
            <w:r/>
            <w:r>
              <w:rPr>
                <w:rFonts w:ascii="仿宋_GB2312" w:hAnsi="仿宋_GB2312" w:eastAsia="仿宋_GB2312"/>
                <w:b w:val="0"/>
                <w:color w:val="000000"/>
                <w:sz w:val="32"/>
              </w:rPr>
              <w:t>超2亿美元</w:t>
            </w:r>
          </w:p>
        </w:tc>
        <w:tc>
          <w:tcPr>
            <w:tcW w:type="dxa" w:w="4252"/>
          </w:tcPr>
          <w:p>
            <w:pPr>
              <w:spacing w:lineRule="exact" w:line="600"/>
              <w:jc w:val="center"/>
            </w:pPr>
            <w:r/>
            <w:r>
              <w:rPr>
                <w:rFonts w:ascii="仿宋_GB2312" w:hAnsi="仿宋_GB2312" w:eastAsia="仿宋_GB2312"/>
                <w:b w:val="0"/>
                <w:color w:val="000000"/>
                <w:sz w:val="32"/>
              </w:rPr>
              <w:t>佳美22次</w:t>
            </w:r>
          </w:p>
        </w:tc>
      </w:tr>
      <w:tr>
        <w:tc>
          <w:tcPr>
            <w:tcW w:type="dxa" w:w="2551"/>
          </w:tcPr>
          <w:p>
            <w:pPr>
              <w:spacing w:lineRule="exact" w:line="600"/>
              <w:jc w:val="center"/>
            </w:pPr>
            <w:r/>
            <w:r>
              <w:rPr>
                <w:rFonts w:ascii="仿宋_GB2312" w:hAnsi="仿宋_GB2312" w:eastAsia="仿宋_GB2312"/>
                <w:b w:val="0"/>
                <w:color w:val="000000"/>
                <w:sz w:val="32"/>
              </w:rPr>
              <w:t>进出口权企业</w:t>
            </w:r>
          </w:p>
        </w:tc>
        <w:tc>
          <w:tcPr>
            <w:tcW w:type="dxa" w:w="2551"/>
          </w:tcPr>
          <w:p>
            <w:pPr>
              <w:spacing w:lineRule="exact" w:line="600"/>
              <w:jc w:val="center"/>
            </w:pPr>
            <w:r/>
            <w:r>
              <w:rPr>
                <w:rFonts w:ascii="仿宋_GB2312" w:hAnsi="仿宋_GB2312" w:eastAsia="仿宋_GB2312"/>
                <w:b w:val="0"/>
                <w:color w:val="000000"/>
                <w:sz w:val="32"/>
              </w:rPr>
              <w:t>9家</w:t>
            </w:r>
          </w:p>
        </w:tc>
        <w:tc>
          <w:tcPr>
            <w:tcW w:type="dxa" w:w="4252"/>
          </w:tcPr>
          <w:p>
            <w:pPr>
              <w:spacing w:lineRule="exact" w:line="600"/>
              <w:jc w:val="center"/>
            </w:pPr>
            <w:r/>
            <w:r>
              <w:rPr>
                <w:rFonts w:ascii="仿宋_GB2312" w:hAnsi="仿宋_GB2312" w:eastAsia="仿宋_GB2312"/>
                <w:b w:val="0"/>
                <w:color w:val="000000"/>
                <w:sz w:val="32"/>
              </w:rPr>
              <w:t>园区</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（一）基地标准化技术</w:t>
      </w:r>
    </w:p>
    <w:p>
      <w:pPr>
        <w:spacing w:lineRule="exact" w:line="600" w:before="0" w:after="0"/>
        <w:ind w:firstLine="420"/>
        <w:jc w:val="both"/>
      </w:pPr>
      <w:r>
        <w:rPr>
          <w:rFonts w:ascii="仿宋_GB2312" w:hAnsi="仿宋_GB2312" w:eastAsia="仿宋_GB2312"/>
          <w:b w:val="0"/>
          <w:color w:val="000000"/>
          <w:sz w:val="32"/>
        </w:rPr>
        <w:t>佳美签约20万亩标准化农产品基地，推行统一品种、农资、管理，提升原料一致性与安全性；鲁西黄牛以数字化种质资源库实现良种繁育（来源：网易、牡丹区政府，2024）。</w:t>
      </w:r>
    </w:p>
    <w:p>
      <w:pPr>
        <w:spacing w:lineRule="exact" w:line="600" w:before="120" w:after="120"/>
        <w:ind w:firstLine="420"/>
        <w:jc w:val="left"/>
      </w:pPr>
      <w:r>
        <w:rPr>
          <w:rFonts w:ascii="楷体_GB2312" w:hAnsi="楷体_GB2312" w:eastAsia="楷体_GB2312"/>
          <w:b w:val="0"/>
          <w:color w:val="000000"/>
          <w:sz w:val="32"/>
        </w:rPr>
        <w:t>（二）冷链与保鲜技术</w:t>
      </w:r>
    </w:p>
    <w:p>
      <w:pPr>
        <w:spacing w:lineRule="exact" w:line="600" w:before="0" w:after="0"/>
        <w:ind w:firstLine="420"/>
        <w:jc w:val="both"/>
      </w:pPr>
      <w:r>
        <w:rPr>
          <w:rFonts w:ascii="仿宋_GB2312" w:hAnsi="仿宋_GB2312" w:eastAsia="仿宋_GB2312"/>
          <w:b w:val="0"/>
          <w:color w:val="000000"/>
          <w:sz w:val="32"/>
        </w:rPr>
        <w:t>HPP超高压冷灭菌（6000大气压）使鲜榨果汁无需高温杀菌；冰韵冷链10个零下18/30度库满足急速冷冻，支撑基地到餐桌低温链（来源：菏泽广电、牡丹区政府，2024）。</w:t>
      </w:r>
    </w:p>
    <w:p>
      <w:pPr>
        <w:spacing w:lineRule="exact" w:line="600" w:before="120" w:after="120"/>
        <w:ind w:firstLine="420"/>
        <w:jc w:val="left"/>
      </w:pPr>
      <w:r>
        <w:rPr>
          <w:rFonts w:ascii="楷体_GB2312" w:hAnsi="楷体_GB2312" w:eastAsia="楷体_GB2312"/>
          <w:b w:val="0"/>
          <w:color w:val="000000"/>
          <w:sz w:val="32"/>
        </w:rPr>
        <w:t>（三）数字与绿色管理</w:t>
      </w:r>
    </w:p>
    <w:p>
      <w:pPr>
        <w:spacing w:lineRule="exact" w:line="600" w:before="0" w:after="0"/>
        <w:ind w:firstLine="420"/>
        <w:jc w:val="both"/>
      </w:pPr>
      <w:r>
        <w:rPr>
          <w:rFonts w:ascii="仿宋_GB2312" w:hAnsi="仿宋_GB2312" w:eastAsia="仿宋_GB2312"/>
          <w:b w:val="0"/>
          <w:color w:val="000000"/>
          <w:sz w:val="32"/>
        </w:rPr>
        <w:t>集中供热覆盖食品园，年减排超千吨、用能成本-30%以上；龙头企业完成自动化与无菌灌装升级，数字化管理提升品控与追溯（来源：牡丹区发布，2024）。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技术</w:t>
            </w:r>
          </w:p>
        </w:tc>
        <w:tc>
          <w:tcPr>
            <w:tcW w:type="dxa" w:w="3118"/>
          </w:tcPr>
          <w:p>
            <w:pPr>
              <w:spacing w:lineRule="exact" w:line="600"/>
              <w:jc w:val="center"/>
            </w:pPr>
            <w:r/>
            <w:r>
              <w:rPr>
                <w:rFonts w:ascii="黑体" w:hAnsi="黑体" w:eastAsia="黑体"/>
                <w:b/>
                <w:color w:val="000000"/>
                <w:sz w:val="32"/>
              </w:rPr>
              <w:t>应用</w:t>
            </w:r>
          </w:p>
        </w:tc>
        <w:tc>
          <w:tcPr>
            <w:tcW w:type="dxa" w:w="3402"/>
          </w:tcPr>
          <w:p>
            <w:pPr>
              <w:spacing w:lineRule="exact" w:line="600"/>
              <w:jc w:val="center"/>
            </w:pPr>
            <w:r/>
            <w:r>
              <w:rPr>
                <w:rFonts w:ascii="黑体" w:hAnsi="黑体" w:eastAsia="黑体"/>
                <w:b/>
                <w:color w:val="000000"/>
                <w:sz w:val="32"/>
              </w:rPr>
              <w:t>效果</w:t>
            </w:r>
          </w:p>
        </w:tc>
      </w:tr>
      <w:tr>
        <w:tc>
          <w:tcPr>
            <w:tcW w:type="dxa" w:w="2551"/>
          </w:tcPr>
          <w:p>
            <w:pPr>
              <w:spacing w:lineRule="exact" w:line="600"/>
              <w:jc w:val="center"/>
            </w:pPr>
            <w:r/>
            <w:r>
              <w:rPr>
                <w:rFonts w:ascii="仿宋_GB2312" w:hAnsi="仿宋_GB2312" w:eastAsia="仿宋_GB2312"/>
                <w:b w:val="0"/>
                <w:color w:val="000000"/>
                <w:sz w:val="32"/>
              </w:rPr>
              <w:t>标准化基地</w:t>
            </w:r>
          </w:p>
        </w:tc>
        <w:tc>
          <w:tcPr>
            <w:tcW w:type="dxa" w:w="3118"/>
          </w:tcPr>
          <w:p>
            <w:pPr>
              <w:spacing w:lineRule="exact" w:line="600"/>
              <w:jc w:val="center"/>
            </w:pPr>
            <w:r/>
            <w:r>
              <w:rPr>
                <w:rFonts w:ascii="仿宋_GB2312" w:hAnsi="仿宋_GB2312" w:eastAsia="仿宋_GB2312"/>
                <w:b w:val="0"/>
                <w:color w:val="000000"/>
                <w:sz w:val="32"/>
              </w:rPr>
              <w:t>20万亩</w:t>
            </w:r>
          </w:p>
        </w:tc>
        <w:tc>
          <w:tcPr>
            <w:tcW w:type="dxa" w:w="3402"/>
          </w:tcPr>
          <w:p>
            <w:pPr>
              <w:spacing w:lineRule="exact" w:line="600"/>
              <w:jc w:val="center"/>
            </w:pPr>
            <w:r/>
            <w:r>
              <w:rPr>
                <w:rFonts w:ascii="仿宋_GB2312" w:hAnsi="仿宋_GB2312" w:eastAsia="仿宋_GB2312"/>
                <w:b w:val="0"/>
                <w:color w:val="000000"/>
                <w:sz w:val="32"/>
              </w:rPr>
              <w:t>原料一致</w:t>
            </w:r>
          </w:p>
        </w:tc>
      </w:tr>
      <w:tr>
        <w:tc>
          <w:tcPr>
            <w:tcW w:type="dxa" w:w="2551"/>
          </w:tcPr>
          <w:p>
            <w:pPr>
              <w:spacing w:lineRule="exact" w:line="600"/>
              <w:jc w:val="center"/>
            </w:pPr>
            <w:r/>
            <w:r>
              <w:rPr>
                <w:rFonts w:ascii="仿宋_GB2312" w:hAnsi="仿宋_GB2312" w:eastAsia="仿宋_GB2312"/>
                <w:b w:val="0"/>
                <w:color w:val="000000"/>
                <w:sz w:val="32"/>
              </w:rPr>
              <w:t>HPP冷灭菌</w:t>
            </w:r>
          </w:p>
        </w:tc>
        <w:tc>
          <w:tcPr>
            <w:tcW w:type="dxa" w:w="3118"/>
          </w:tcPr>
          <w:p>
            <w:pPr>
              <w:spacing w:lineRule="exact" w:line="600"/>
              <w:jc w:val="center"/>
            </w:pPr>
            <w:r/>
            <w:r>
              <w:rPr>
                <w:rFonts w:ascii="仿宋_GB2312" w:hAnsi="仿宋_GB2312" w:eastAsia="仿宋_GB2312"/>
                <w:b w:val="0"/>
                <w:color w:val="000000"/>
                <w:sz w:val="32"/>
              </w:rPr>
              <w:t>鲜榨果汁</w:t>
            </w:r>
          </w:p>
        </w:tc>
        <w:tc>
          <w:tcPr>
            <w:tcW w:type="dxa" w:w="3402"/>
          </w:tcPr>
          <w:p>
            <w:pPr>
              <w:spacing w:lineRule="exact" w:line="600"/>
              <w:jc w:val="center"/>
            </w:pPr>
            <w:r/>
            <w:r>
              <w:rPr>
                <w:rFonts w:ascii="仿宋_GB2312" w:hAnsi="仿宋_GB2312" w:eastAsia="仿宋_GB2312"/>
                <w:b w:val="0"/>
                <w:color w:val="000000"/>
                <w:sz w:val="32"/>
              </w:rPr>
              <w:t>保留营养</w:t>
            </w:r>
          </w:p>
        </w:tc>
      </w:tr>
      <w:tr>
        <w:tc>
          <w:tcPr>
            <w:tcW w:type="dxa" w:w="2551"/>
          </w:tcPr>
          <w:p>
            <w:pPr>
              <w:spacing w:lineRule="exact" w:line="600"/>
              <w:jc w:val="center"/>
            </w:pPr>
            <w:r/>
            <w:r>
              <w:rPr>
                <w:rFonts w:ascii="仿宋_GB2312" w:hAnsi="仿宋_GB2312" w:eastAsia="仿宋_GB2312"/>
                <w:b w:val="0"/>
                <w:color w:val="000000"/>
                <w:sz w:val="32"/>
              </w:rPr>
              <w:t>万吨冷库</w:t>
            </w:r>
          </w:p>
        </w:tc>
        <w:tc>
          <w:tcPr>
            <w:tcW w:type="dxa" w:w="3118"/>
          </w:tcPr>
          <w:p>
            <w:pPr>
              <w:spacing w:lineRule="exact" w:line="600"/>
              <w:jc w:val="center"/>
            </w:pPr>
            <w:r/>
            <w:r>
              <w:rPr>
                <w:rFonts w:ascii="仿宋_GB2312" w:hAnsi="仿宋_GB2312" w:eastAsia="仿宋_GB2312"/>
                <w:b w:val="0"/>
                <w:color w:val="000000"/>
                <w:sz w:val="32"/>
              </w:rPr>
              <w:t>冰韵冷链</w:t>
            </w:r>
          </w:p>
        </w:tc>
        <w:tc>
          <w:tcPr>
            <w:tcW w:type="dxa" w:w="3402"/>
          </w:tcPr>
          <w:p>
            <w:pPr>
              <w:spacing w:lineRule="exact" w:line="600"/>
              <w:jc w:val="center"/>
            </w:pPr>
            <w:r/>
            <w:r>
              <w:rPr>
                <w:rFonts w:ascii="仿宋_GB2312" w:hAnsi="仿宋_GB2312" w:eastAsia="仿宋_GB2312"/>
                <w:b w:val="0"/>
                <w:color w:val="000000"/>
                <w:sz w:val="32"/>
              </w:rPr>
              <w:t>急速冷冻</w:t>
            </w:r>
          </w:p>
        </w:tc>
      </w:tr>
      <w:tr>
        <w:tc>
          <w:tcPr>
            <w:tcW w:type="dxa" w:w="2551"/>
          </w:tcPr>
          <w:p>
            <w:pPr>
              <w:spacing w:lineRule="exact" w:line="600"/>
              <w:jc w:val="center"/>
            </w:pPr>
            <w:r/>
            <w:r>
              <w:rPr>
                <w:rFonts w:ascii="仿宋_GB2312" w:hAnsi="仿宋_GB2312" w:eastAsia="仿宋_GB2312"/>
                <w:b w:val="0"/>
                <w:color w:val="000000"/>
                <w:sz w:val="32"/>
              </w:rPr>
              <w:t>集中供热</w:t>
            </w:r>
          </w:p>
        </w:tc>
        <w:tc>
          <w:tcPr>
            <w:tcW w:type="dxa" w:w="3118"/>
          </w:tcPr>
          <w:p>
            <w:pPr>
              <w:spacing w:lineRule="exact" w:line="600"/>
              <w:jc w:val="center"/>
            </w:pPr>
            <w:r/>
            <w:r>
              <w:rPr>
                <w:rFonts w:ascii="仿宋_GB2312" w:hAnsi="仿宋_GB2312" w:eastAsia="仿宋_GB2312"/>
                <w:b w:val="0"/>
                <w:color w:val="000000"/>
                <w:sz w:val="32"/>
              </w:rPr>
              <w:t>园区</w:t>
            </w:r>
          </w:p>
        </w:tc>
        <w:tc>
          <w:tcPr>
            <w:tcW w:type="dxa" w:w="3402"/>
          </w:tcPr>
          <w:p>
            <w:pPr>
              <w:spacing w:lineRule="exact" w:line="600"/>
              <w:jc w:val="center"/>
            </w:pPr>
            <w:r/>
            <w:r>
              <w:rPr>
                <w:rFonts w:ascii="仿宋_GB2312" w:hAnsi="仿宋_GB2312" w:eastAsia="仿宋_GB2312"/>
                <w:b w:val="0"/>
                <w:color w:val="000000"/>
                <w:sz w:val="32"/>
              </w:rPr>
              <w:t>成本-30%以上</w:t>
            </w:r>
          </w:p>
        </w:tc>
      </w:tr>
      <w:tr>
        <w:tc>
          <w:tcPr>
            <w:tcW w:type="dxa" w:w="2551"/>
          </w:tcPr>
          <w:p>
            <w:pPr>
              <w:spacing w:lineRule="exact" w:line="600"/>
              <w:jc w:val="center"/>
            </w:pPr>
            <w:r/>
            <w:r>
              <w:rPr>
                <w:rFonts w:ascii="仿宋_GB2312" w:hAnsi="仿宋_GB2312" w:eastAsia="仿宋_GB2312"/>
                <w:b w:val="0"/>
                <w:color w:val="000000"/>
                <w:sz w:val="32"/>
              </w:rPr>
              <w:t>自动化</w:t>
            </w:r>
          </w:p>
        </w:tc>
        <w:tc>
          <w:tcPr>
            <w:tcW w:type="dxa" w:w="3118"/>
          </w:tcPr>
          <w:p>
            <w:pPr>
              <w:spacing w:lineRule="exact" w:line="600"/>
              <w:jc w:val="center"/>
            </w:pPr>
            <w:r/>
            <w:r>
              <w:rPr>
                <w:rFonts w:ascii="仿宋_GB2312" w:hAnsi="仿宋_GB2312" w:eastAsia="仿宋_GB2312"/>
                <w:b w:val="0"/>
                <w:color w:val="000000"/>
                <w:sz w:val="32"/>
              </w:rPr>
              <w:t>无菌灌装</w:t>
            </w:r>
          </w:p>
        </w:tc>
        <w:tc>
          <w:tcPr>
            <w:tcW w:type="dxa" w:w="3402"/>
          </w:tcPr>
          <w:p>
            <w:pPr>
              <w:spacing w:lineRule="exact" w:line="600"/>
              <w:jc w:val="center"/>
            </w:pPr>
            <w:r/>
            <w:r>
              <w:rPr>
                <w:rFonts w:ascii="仿宋_GB2312" w:hAnsi="仿宋_GB2312" w:eastAsia="仿宋_GB2312"/>
                <w:b w:val="0"/>
                <w:color w:val="000000"/>
                <w:sz w:val="32"/>
              </w:rPr>
              <w:t>品控提升</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（一）基地与成本</w:t>
      </w:r>
    </w:p>
    <w:p>
      <w:pPr>
        <w:spacing w:lineRule="exact" w:line="600" w:before="0" w:after="0"/>
        <w:ind w:firstLine="420"/>
        <w:jc w:val="both"/>
      </w:pPr>
      <w:r>
        <w:rPr>
          <w:rFonts w:ascii="仿宋_GB2312" w:hAnsi="仿宋_GB2312" w:eastAsia="仿宋_GB2312"/>
          <w:b w:val="0"/>
          <w:color w:val="000000"/>
          <w:sz w:val="32"/>
        </w:rPr>
        <w:t>20万亩基地直采降低原料外购与运输成本，农户就近增收；集中供热使园区用能成本降低30%以上，改善盈利（来源：网易、牡丹区发布，2024）。</w:t>
      </w:r>
    </w:p>
    <w:p>
      <w:pPr>
        <w:spacing w:lineRule="exact" w:line="600" w:before="120" w:after="120"/>
        <w:ind w:firstLine="420"/>
        <w:jc w:val="left"/>
      </w:pPr>
      <w:r>
        <w:rPr>
          <w:rFonts w:ascii="楷体_GB2312" w:hAnsi="楷体_GB2312" w:eastAsia="楷体_GB2312"/>
          <w:b w:val="0"/>
          <w:color w:val="000000"/>
          <w:sz w:val="32"/>
        </w:rPr>
        <w:t>（二）品牌溢价与盈利</w:t>
      </w:r>
    </w:p>
    <w:p>
      <w:pPr>
        <w:spacing w:lineRule="exact" w:line="600" w:before="0" w:after="0"/>
        <w:ind w:firstLine="420"/>
        <w:jc w:val="both"/>
      </w:pPr>
      <w:r>
        <w:rPr>
          <w:rFonts w:ascii="仿宋_GB2312" w:hAnsi="仿宋_GB2312" w:eastAsia="仿宋_GB2312"/>
          <w:b w:val="0"/>
          <w:color w:val="000000"/>
          <w:sz w:val="32"/>
        </w:rPr>
        <w:t>佳美营收9.06亿—10亿元、沙土营收3.1亿元，品牌溢价显著；佳美亩均税收50万元，体现高效产出（来源：牡丹区政府、网易，2024）。</w:t>
      </w:r>
    </w:p>
    <w:p>
      <w:pPr>
        <w:spacing w:lineRule="exact" w:line="600" w:before="120" w:after="120"/>
        <w:ind w:firstLine="420"/>
        <w:jc w:val="left"/>
      </w:pPr>
      <w:r>
        <w:rPr>
          <w:rFonts w:ascii="楷体_GB2312" w:hAnsi="楷体_GB2312" w:eastAsia="楷体_GB2312"/>
          <w:b w:val="0"/>
          <w:color w:val="000000"/>
          <w:sz w:val="32"/>
        </w:rPr>
        <w:t>（三）流通要素保障</w:t>
      </w:r>
    </w:p>
    <w:p>
      <w:pPr>
        <w:spacing w:lineRule="exact" w:line="600" w:before="0" w:after="0"/>
        <w:ind w:firstLine="420"/>
        <w:jc w:val="both"/>
      </w:pPr>
      <w:r>
        <w:rPr>
          <w:rFonts w:ascii="仿宋_GB2312" w:hAnsi="仿宋_GB2312" w:eastAsia="仿宋_GB2312"/>
          <w:b w:val="0"/>
          <w:color w:val="000000"/>
          <w:sz w:val="32"/>
        </w:rPr>
        <w:t>园区「七通一平」+污水厂+热力+冷链+检测中心，毗邻机场/高铁/物流园；投资8000余万元新建4万余平米厂房，提供生产条件（来源：菏泽广电、牡丹区政府，2024）。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供给</w:t>
            </w:r>
          </w:p>
        </w:tc>
        <w:tc>
          <w:tcPr>
            <w:tcW w:type="dxa" w:w="3402"/>
          </w:tcPr>
          <w:p>
            <w:pPr>
              <w:spacing w:lineRule="exact" w:line="600"/>
              <w:jc w:val="center"/>
            </w:pPr>
            <w:r/>
            <w:r>
              <w:rPr>
                <w:rFonts w:ascii="黑体" w:hAnsi="黑体" w:eastAsia="黑体"/>
                <w:b/>
                <w:color w:val="000000"/>
                <w:sz w:val="32"/>
              </w:rPr>
              <w:t>效果</w:t>
            </w:r>
          </w:p>
        </w:tc>
      </w:tr>
      <w:tr>
        <w:tc>
          <w:tcPr>
            <w:tcW w:type="dxa" w:w="2268"/>
          </w:tcPr>
          <w:p>
            <w:pPr>
              <w:spacing w:lineRule="exact" w:line="600"/>
              <w:jc w:val="center"/>
            </w:pPr>
            <w:r/>
            <w:r>
              <w:rPr>
                <w:rFonts w:ascii="仿宋_GB2312" w:hAnsi="仿宋_GB2312" w:eastAsia="仿宋_GB2312"/>
                <w:b w:val="0"/>
                <w:color w:val="000000"/>
                <w:sz w:val="32"/>
              </w:rPr>
              <w:t>基地</w:t>
            </w:r>
          </w:p>
        </w:tc>
        <w:tc>
          <w:tcPr>
            <w:tcW w:type="dxa" w:w="3402"/>
          </w:tcPr>
          <w:p>
            <w:pPr>
              <w:spacing w:lineRule="exact" w:line="600"/>
              <w:jc w:val="center"/>
            </w:pPr>
            <w:r/>
            <w:r>
              <w:rPr>
                <w:rFonts w:ascii="仿宋_GB2312" w:hAnsi="仿宋_GB2312" w:eastAsia="仿宋_GB2312"/>
                <w:b w:val="0"/>
                <w:color w:val="000000"/>
                <w:sz w:val="32"/>
              </w:rPr>
              <w:t>20万亩直采</w:t>
            </w:r>
          </w:p>
        </w:tc>
        <w:tc>
          <w:tcPr>
            <w:tcW w:type="dxa" w:w="3402"/>
          </w:tcPr>
          <w:p>
            <w:pPr>
              <w:spacing w:lineRule="exact" w:line="600"/>
              <w:jc w:val="center"/>
            </w:pPr>
            <w:r/>
            <w:r>
              <w:rPr>
                <w:rFonts w:ascii="仿宋_GB2312" w:hAnsi="仿宋_GB2312" w:eastAsia="仿宋_GB2312"/>
                <w:b w:val="0"/>
                <w:color w:val="000000"/>
                <w:sz w:val="32"/>
              </w:rPr>
              <w:t>成本降低</w:t>
            </w:r>
          </w:p>
        </w:tc>
      </w:tr>
      <w:tr>
        <w:tc>
          <w:tcPr>
            <w:tcW w:type="dxa" w:w="2268"/>
          </w:tcPr>
          <w:p>
            <w:pPr>
              <w:spacing w:lineRule="exact" w:line="600"/>
              <w:jc w:val="center"/>
            </w:pPr>
            <w:r/>
            <w:r>
              <w:rPr>
                <w:rFonts w:ascii="仿宋_GB2312" w:hAnsi="仿宋_GB2312" w:eastAsia="仿宋_GB2312"/>
                <w:b w:val="0"/>
                <w:color w:val="000000"/>
                <w:sz w:val="32"/>
              </w:rPr>
              <w:t>能源</w:t>
            </w:r>
          </w:p>
        </w:tc>
        <w:tc>
          <w:tcPr>
            <w:tcW w:type="dxa" w:w="3402"/>
          </w:tcPr>
          <w:p>
            <w:pPr>
              <w:spacing w:lineRule="exact" w:line="600"/>
              <w:jc w:val="center"/>
            </w:pPr>
            <w:r/>
            <w:r>
              <w:rPr>
                <w:rFonts w:ascii="仿宋_GB2312" w:hAnsi="仿宋_GB2312" w:eastAsia="仿宋_GB2312"/>
                <w:b w:val="0"/>
                <w:color w:val="000000"/>
                <w:sz w:val="32"/>
              </w:rPr>
              <w:t>集中供热</w:t>
            </w:r>
          </w:p>
        </w:tc>
        <w:tc>
          <w:tcPr>
            <w:tcW w:type="dxa" w:w="3402"/>
          </w:tcPr>
          <w:p>
            <w:pPr>
              <w:spacing w:lineRule="exact" w:line="600"/>
              <w:jc w:val="center"/>
            </w:pPr>
            <w:r/>
            <w:r>
              <w:rPr>
                <w:rFonts w:ascii="仿宋_GB2312" w:hAnsi="仿宋_GB2312" w:eastAsia="仿宋_GB2312"/>
                <w:b w:val="0"/>
                <w:color w:val="000000"/>
                <w:sz w:val="32"/>
              </w:rPr>
              <w:t>成本-30%以上</w:t>
            </w:r>
          </w:p>
        </w:tc>
      </w:tr>
      <w:tr>
        <w:tc>
          <w:tcPr>
            <w:tcW w:type="dxa" w:w="2268"/>
          </w:tcPr>
          <w:p>
            <w:pPr>
              <w:spacing w:lineRule="exact" w:line="600"/>
              <w:jc w:val="center"/>
            </w:pPr>
            <w:r/>
            <w:r>
              <w:rPr>
                <w:rFonts w:ascii="仿宋_GB2312" w:hAnsi="仿宋_GB2312" w:eastAsia="仿宋_GB2312"/>
                <w:b w:val="0"/>
                <w:color w:val="000000"/>
                <w:sz w:val="32"/>
              </w:rPr>
              <w:t>冷链</w:t>
            </w:r>
          </w:p>
        </w:tc>
        <w:tc>
          <w:tcPr>
            <w:tcW w:type="dxa" w:w="3402"/>
          </w:tcPr>
          <w:p>
            <w:pPr>
              <w:spacing w:lineRule="exact" w:line="600"/>
              <w:jc w:val="center"/>
            </w:pPr>
            <w:r/>
            <w:r>
              <w:rPr>
                <w:rFonts w:ascii="仿宋_GB2312" w:hAnsi="仿宋_GB2312" w:eastAsia="仿宋_GB2312"/>
                <w:b w:val="0"/>
                <w:color w:val="000000"/>
                <w:sz w:val="32"/>
              </w:rPr>
              <w:t>万吨级冷库</w:t>
            </w:r>
          </w:p>
        </w:tc>
        <w:tc>
          <w:tcPr>
            <w:tcW w:type="dxa" w:w="3402"/>
          </w:tcPr>
          <w:p>
            <w:pPr>
              <w:spacing w:lineRule="exact" w:line="600"/>
              <w:jc w:val="center"/>
            </w:pPr>
            <w:r/>
            <w:r>
              <w:rPr>
                <w:rFonts w:ascii="仿宋_GB2312" w:hAnsi="仿宋_GB2312" w:eastAsia="仿宋_GB2312"/>
                <w:b w:val="0"/>
                <w:color w:val="000000"/>
                <w:sz w:val="32"/>
              </w:rPr>
              <w:t>损耗降低</w:t>
            </w:r>
          </w:p>
        </w:tc>
      </w:tr>
      <w:tr>
        <w:tc>
          <w:tcPr>
            <w:tcW w:type="dxa" w:w="2268"/>
          </w:tcPr>
          <w:p>
            <w:pPr>
              <w:spacing w:lineRule="exact" w:line="600"/>
              <w:jc w:val="center"/>
            </w:pPr>
            <w:r/>
            <w:r>
              <w:rPr>
                <w:rFonts w:ascii="仿宋_GB2312" w:hAnsi="仿宋_GB2312" w:eastAsia="仿宋_GB2312"/>
                <w:b w:val="0"/>
                <w:color w:val="000000"/>
                <w:sz w:val="32"/>
              </w:rPr>
              <w:t>物流</w:t>
            </w:r>
          </w:p>
        </w:tc>
        <w:tc>
          <w:tcPr>
            <w:tcW w:type="dxa" w:w="3402"/>
          </w:tcPr>
          <w:p>
            <w:pPr>
              <w:spacing w:lineRule="exact" w:line="600"/>
              <w:jc w:val="center"/>
            </w:pPr>
            <w:r/>
            <w:r>
              <w:rPr>
                <w:rFonts w:ascii="仿宋_GB2312" w:hAnsi="仿宋_GB2312" w:eastAsia="仿宋_GB2312"/>
                <w:b w:val="0"/>
                <w:color w:val="000000"/>
                <w:sz w:val="32"/>
              </w:rPr>
              <w:t>机场/高铁/物流园</w:t>
            </w:r>
          </w:p>
        </w:tc>
        <w:tc>
          <w:tcPr>
            <w:tcW w:type="dxa" w:w="3402"/>
          </w:tcPr>
          <w:p>
            <w:pPr>
              <w:spacing w:lineRule="exact" w:line="600"/>
              <w:jc w:val="center"/>
            </w:pPr>
            <w:r/>
            <w:r>
              <w:rPr>
                <w:rFonts w:ascii="仿宋_GB2312" w:hAnsi="仿宋_GB2312" w:eastAsia="仿宋_GB2312"/>
                <w:b w:val="0"/>
                <w:color w:val="000000"/>
                <w:sz w:val="32"/>
              </w:rPr>
              <w:t>出口便捷</w:t>
            </w:r>
          </w:p>
        </w:tc>
      </w:tr>
      <w:tr>
        <w:tc>
          <w:tcPr>
            <w:tcW w:type="dxa" w:w="2268"/>
          </w:tcPr>
          <w:p>
            <w:pPr>
              <w:spacing w:lineRule="exact" w:line="600"/>
              <w:jc w:val="center"/>
            </w:pPr>
            <w:r/>
            <w:r>
              <w:rPr>
                <w:rFonts w:ascii="仿宋_GB2312" w:hAnsi="仿宋_GB2312" w:eastAsia="仿宋_GB2312"/>
                <w:b w:val="0"/>
                <w:color w:val="000000"/>
                <w:sz w:val="32"/>
              </w:rPr>
              <w:t>厂房</w:t>
            </w:r>
          </w:p>
        </w:tc>
        <w:tc>
          <w:tcPr>
            <w:tcW w:type="dxa" w:w="3402"/>
          </w:tcPr>
          <w:p>
            <w:pPr>
              <w:spacing w:lineRule="exact" w:line="600"/>
              <w:jc w:val="center"/>
            </w:pPr>
            <w:r/>
            <w:r>
              <w:rPr>
                <w:rFonts w:ascii="仿宋_GB2312" w:hAnsi="仿宋_GB2312" w:eastAsia="仿宋_GB2312"/>
                <w:b w:val="0"/>
                <w:color w:val="000000"/>
                <w:sz w:val="32"/>
              </w:rPr>
              <w:t>4万㎡新建</w:t>
            </w:r>
          </w:p>
        </w:tc>
        <w:tc>
          <w:tcPr>
            <w:tcW w:type="dxa" w:w="3402"/>
          </w:tcPr>
          <w:p>
            <w:pPr>
              <w:spacing w:lineRule="exact" w:line="600"/>
              <w:jc w:val="center"/>
            </w:pPr>
            <w:r/>
            <w:r>
              <w:rPr>
                <w:rFonts w:ascii="仿宋_GB2312" w:hAnsi="仿宋_GB2312" w:eastAsia="仿宋_GB2312"/>
                <w:b w:val="0"/>
                <w:color w:val="000000"/>
                <w:sz w:val="32"/>
              </w:rPr>
              <w:t>生产保障</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品牌化消费、出海带货、预制菜与冷链扩张，为原料基地与流通服务带来增量；两岸融合政策利好台资龙头再投资（来源：行业共性研判、网易，2024）。</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基地标准化程度参差、冷链覆盖不足、品牌出海认证成本高、中小农户组织化待提升（来源：行业共性研判）。</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农产品价格与自然灾害、食安事件、出口壁垒，是基地与流通主要风险（来源：行业共性研判）。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685"/>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685"/>
          </w:tcPr>
          <w:p>
            <w:pPr>
              <w:spacing w:lineRule="exact" w:line="600"/>
              <w:jc w:val="center"/>
            </w:pPr>
            <w:r/>
            <w:r>
              <w:rPr>
                <w:rFonts w:ascii="仿宋_GB2312" w:hAnsi="仿宋_GB2312" w:eastAsia="仿宋_GB2312"/>
                <w:b w:val="0"/>
                <w:color w:val="000000"/>
                <w:sz w:val="32"/>
              </w:rPr>
              <w:t>品牌/出口/冷链</w:t>
            </w:r>
          </w:p>
        </w:tc>
        <w:tc>
          <w:tcPr>
            <w:tcW w:type="dxa" w:w="3118"/>
          </w:tcPr>
          <w:p>
            <w:pPr>
              <w:spacing w:lineRule="exact" w:line="600"/>
              <w:jc w:val="center"/>
            </w:pPr>
            <w:r/>
            <w:r>
              <w:rPr>
                <w:rFonts w:ascii="仿宋_GB2312" w:hAnsi="仿宋_GB2312" w:eastAsia="仿宋_GB2312"/>
                <w:b w:val="0"/>
                <w:color w:val="000000"/>
                <w:sz w:val="32"/>
              </w:rPr>
              <w:t>增量</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685"/>
          </w:tcPr>
          <w:p>
            <w:pPr>
              <w:spacing w:lineRule="exact" w:line="600"/>
              <w:jc w:val="center"/>
            </w:pPr>
            <w:r/>
            <w:r>
              <w:rPr>
                <w:rFonts w:ascii="仿宋_GB2312" w:hAnsi="仿宋_GB2312" w:eastAsia="仿宋_GB2312"/>
                <w:b w:val="0"/>
                <w:color w:val="000000"/>
                <w:sz w:val="32"/>
              </w:rPr>
              <w:t>标准化/冷链/认证</w:t>
            </w:r>
          </w:p>
        </w:tc>
        <w:tc>
          <w:tcPr>
            <w:tcW w:type="dxa" w:w="3118"/>
          </w:tcPr>
          <w:p>
            <w:pPr>
              <w:spacing w:lineRule="exact" w:line="600"/>
              <w:jc w:val="center"/>
            </w:pPr>
            <w:r/>
            <w:r>
              <w:rPr>
                <w:rFonts w:ascii="仿宋_GB2312" w:hAnsi="仿宋_GB2312" w:eastAsia="仿宋_GB2312"/>
                <w:b w:val="0"/>
                <w:color w:val="000000"/>
                <w:sz w:val="32"/>
              </w:rPr>
              <w:t>效率受限</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685"/>
          </w:tcPr>
          <w:p>
            <w:pPr>
              <w:spacing w:lineRule="exact" w:line="600"/>
              <w:jc w:val="center"/>
            </w:pPr>
            <w:r/>
            <w:r>
              <w:rPr>
                <w:rFonts w:ascii="仿宋_GB2312" w:hAnsi="仿宋_GB2312" w:eastAsia="仿宋_GB2312"/>
                <w:b w:val="0"/>
                <w:color w:val="000000"/>
                <w:sz w:val="32"/>
              </w:rPr>
              <w:t>价格/灾害/壁垒</w:t>
            </w:r>
          </w:p>
        </w:tc>
        <w:tc>
          <w:tcPr>
            <w:tcW w:type="dxa" w:w="3118"/>
          </w:tcPr>
          <w:p>
            <w:pPr>
              <w:spacing w:lineRule="exact" w:line="600"/>
              <w:jc w:val="center"/>
            </w:pPr>
            <w:r/>
            <w:r>
              <w:rPr>
                <w:rFonts w:ascii="仿宋_GB2312" w:hAnsi="仿宋_GB2312" w:eastAsia="仿宋_GB2312"/>
                <w:b w:val="0"/>
                <w:color w:val="000000"/>
                <w:sz w:val="32"/>
              </w:rPr>
              <w:t>波动</w:t>
            </w:r>
          </w:p>
        </w:tc>
      </w:tr>
      <w:tr>
        <w:tc>
          <w:tcPr>
            <w:tcW w:type="dxa" w:w="2268"/>
          </w:tcPr>
          <w:p>
            <w:pPr>
              <w:spacing w:lineRule="exact" w:line="600"/>
              <w:jc w:val="center"/>
            </w:pPr>
            <w:r/>
            <w:r>
              <w:rPr>
                <w:rFonts w:ascii="仿宋_GB2312" w:hAnsi="仿宋_GB2312" w:eastAsia="仿宋_GB2312"/>
                <w:b w:val="0"/>
                <w:color w:val="000000"/>
                <w:sz w:val="32"/>
              </w:rPr>
              <w:t>对策</w:t>
            </w:r>
          </w:p>
        </w:tc>
        <w:tc>
          <w:tcPr>
            <w:tcW w:type="dxa" w:w="3685"/>
          </w:tcPr>
          <w:p>
            <w:pPr>
              <w:spacing w:lineRule="exact" w:line="600"/>
              <w:jc w:val="center"/>
            </w:pPr>
            <w:r/>
            <w:r>
              <w:rPr>
                <w:rFonts w:ascii="仿宋_GB2312" w:hAnsi="仿宋_GB2312" w:eastAsia="仿宋_GB2312"/>
                <w:b w:val="0"/>
                <w:color w:val="000000"/>
                <w:sz w:val="32"/>
              </w:rPr>
              <w:t>基地+品牌+冷链</w:t>
            </w:r>
          </w:p>
        </w:tc>
        <w:tc>
          <w:tcPr>
            <w:tcW w:type="dxa" w:w="3118"/>
          </w:tcPr>
          <w:p>
            <w:pPr>
              <w:spacing w:lineRule="exact" w:line="600"/>
              <w:jc w:val="center"/>
            </w:pPr>
            <w:r/>
            <w:r>
              <w:rPr>
                <w:rFonts w:ascii="仿宋_GB2312" w:hAnsi="仿宋_GB2312" w:eastAsia="仿宋_GB2312"/>
                <w:b w:val="0"/>
                <w:color w:val="000000"/>
                <w:sz w:val="32"/>
              </w:rPr>
              <w:t>韧性</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（一）基地规模化标准化</w:t>
      </w:r>
    </w:p>
    <w:p>
      <w:pPr>
        <w:spacing w:lineRule="exact" w:line="600" w:before="0" w:after="0"/>
        <w:ind w:firstLine="420"/>
        <w:jc w:val="both"/>
      </w:pPr>
      <w:r>
        <w:rPr>
          <w:rFonts w:ascii="仿宋_GB2312" w:hAnsi="仿宋_GB2312" w:eastAsia="仿宋_GB2312"/>
          <w:b w:val="0"/>
          <w:color w:val="000000"/>
          <w:sz w:val="32"/>
        </w:rPr>
        <w:t>以20万亩标准化基地为样板，推广「龙头企业+合作社+农户+基地」，提升就地转化与农户增收，目标百亿级集群（来源：网易、菏泽广电，2024）。</w:t>
      </w:r>
    </w:p>
    <w:p>
      <w:pPr>
        <w:spacing w:lineRule="exact" w:line="600" w:before="120" w:after="120"/>
        <w:ind w:firstLine="420"/>
        <w:jc w:val="left"/>
      </w:pPr>
      <w:r>
        <w:rPr>
          <w:rFonts w:ascii="楷体_GB2312" w:hAnsi="楷体_GB2312" w:eastAsia="楷体_GB2312"/>
          <w:b w:val="0"/>
          <w:color w:val="000000"/>
          <w:sz w:val="32"/>
        </w:rPr>
        <w:t>（二）品牌化与出海</w:t>
      </w:r>
    </w:p>
    <w:p>
      <w:pPr>
        <w:spacing w:lineRule="exact" w:line="600" w:before="0" w:after="0"/>
        <w:ind w:firstLine="420"/>
        <w:jc w:val="both"/>
      </w:pPr>
      <w:r>
        <w:rPr>
          <w:rFonts w:ascii="仿宋_GB2312" w:hAnsi="仿宋_GB2312" w:eastAsia="仿宋_GB2312"/>
          <w:b w:val="0"/>
          <w:color w:val="000000"/>
          <w:sz w:val="32"/>
        </w:rPr>
        <w:t>以国家级龙头与中国驰名商标为引领，拓展欧美日韩等市场；新加坡鲜绿园等外资新项目丰富品类，提升国际竞争力（来源：牡丹区政府、沙土镇报道，2024）。</w:t>
      </w:r>
    </w:p>
    <w:p>
      <w:pPr>
        <w:spacing w:lineRule="exact" w:line="600" w:before="120" w:after="120"/>
        <w:ind w:firstLine="420"/>
        <w:jc w:val="left"/>
      </w:pPr>
      <w:r>
        <w:rPr>
          <w:rFonts w:ascii="楷体_GB2312" w:hAnsi="楷体_GB2312" w:eastAsia="楷体_GB2312"/>
          <w:b w:val="0"/>
          <w:color w:val="000000"/>
          <w:sz w:val="32"/>
        </w:rPr>
        <w:t>（三）流通数字化绿色化</w:t>
      </w:r>
    </w:p>
    <w:p>
      <w:pPr>
        <w:spacing w:lineRule="exact" w:line="600" w:before="0" w:after="0"/>
        <w:ind w:firstLine="420"/>
        <w:jc w:val="both"/>
      </w:pPr>
      <w:r>
        <w:rPr>
          <w:rFonts w:ascii="仿宋_GB2312" w:hAnsi="仿宋_GB2312" w:eastAsia="仿宋_GB2312"/>
          <w:b w:val="0"/>
          <w:color w:val="000000"/>
          <w:sz w:val="32"/>
        </w:rPr>
        <w:t>完善冷链与检测中心，推动集中供热与数字追溯，建设国家绿色食品产业集群（来源：牡丹区发布、牡丹区政府，2024）。</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举措</w:t>
            </w:r>
          </w:p>
        </w:tc>
        <w:tc>
          <w:tcPr>
            <w:tcW w:type="dxa" w:w="3118"/>
          </w:tcPr>
          <w:p>
            <w:pPr>
              <w:spacing w:lineRule="exact" w:line="600"/>
              <w:jc w:val="center"/>
            </w:pPr>
            <w:r/>
            <w:r>
              <w:rPr>
                <w:rFonts w:ascii="黑体" w:hAnsi="黑体" w:eastAsia="黑体"/>
                <w:b/>
                <w:color w:val="000000"/>
                <w:sz w:val="32"/>
              </w:rPr>
              <w:t>成效</w:t>
            </w:r>
          </w:p>
        </w:tc>
      </w:tr>
      <w:tr>
        <w:tc>
          <w:tcPr>
            <w:tcW w:type="dxa" w:w="2268"/>
          </w:tcPr>
          <w:p>
            <w:pPr>
              <w:spacing w:lineRule="exact" w:line="600"/>
              <w:jc w:val="center"/>
            </w:pPr>
            <w:r/>
            <w:r>
              <w:rPr>
                <w:rFonts w:ascii="仿宋_GB2312" w:hAnsi="仿宋_GB2312" w:eastAsia="仿宋_GB2312"/>
                <w:b w:val="0"/>
                <w:color w:val="000000"/>
                <w:sz w:val="32"/>
              </w:rPr>
              <w:t>基地化</w:t>
            </w:r>
          </w:p>
        </w:tc>
        <w:tc>
          <w:tcPr>
            <w:tcW w:type="dxa" w:w="3685"/>
          </w:tcPr>
          <w:p>
            <w:pPr>
              <w:spacing w:lineRule="exact" w:line="600"/>
              <w:jc w:val="center"/>
            </w:pPr>
            <w:r/>
            <w:r>
              <w:rPr>
                <w:rFonts w:ascii="仿宋_GB2312" w:hAnsi="仿宋_GB2312" w:eastAsia="仿宋_GB2312"/>
                <w:b w:val="0"/>
                <w:color w:val="000000"/>
                <w:sz w:val="32"/>
              </w:rPr>
              <w:t>20万亩标准基地</w:t>
            </w:r>
          </w:p>
        </w:tc>
        <w:tc>
          <w:tcPr>
            <w:tcW w:type="dxa" w:w="3118"/>
          </w:tcPr>
          <w:p>
            <w:pPr>
              <w:spacing w:lineRule="exact" w:line="600"/>
              <w:jc w:val="center"/>
            </w:pPr>
            <w:r/>
            <w:r>
              <w:rPr>
                <w:rFonts w:ascii="仿宋_GB2312" w:hAnsi="仿宋_GB2312" w:eastAsia="仿宋_GB2312"/>
                <w:b w:val="0"/>
                <w:color w:val="000000"/>
                <w:sz w:val="32"/>
              </w:rPr>
              <w:t>就地转化95%</w:t>
            </w:r>
          </w:p>
        </w:tc>
      </w:tr>
      <w:tr>
        <w:tc>
          <w:tcPr>
            <w:tcW w:type="dxa" w:w="2268"/>
          </w:tcPr>
          <w:p>
            <w:pPr>
              <w:spacing w:lineRule="exact" w:line="600"/>
              <w:jc w:val="center"/>
            </w:pPr>
            <w:r/>
            <w:r>
              <w:rPr>
                <w:rFonts w:ascii="仿宋_GB2312" w:hAnsi="仿宋_GB2312" w:eastAsia="仿宋_GB2312"/>
                <w:b w:val="0"/>
                <w:color w:val="000000"/>
                <w:sz w:val="32"/>
              </w:rPr>
              <w:t>品牌化</w:t>
            </w:r>
          </w:p>
        </w:tc>
        <w:tc>
          <w:tcPr>
            <w:tcW w:type="dxa" w:w="3685"/>
          </w:tcPr>
          <w:p>
            <w:pPr>
              <w:spacing w:lineRule="exact" w:line="600"/>
              <w:jc w:val="center"/>
            </w:pPr>
            <w:r/>
            <w:r>
              <w:rPr>
                <w:rFonts w:ascii="仿宋_GB2312" w:hAnsi="仿宋_GB2312" w:eastAsia="仿宋_GB2312"/>
                <w:b w:val="0"/>
                <w:color w:val="000000"/>
                <w:sz w:val="32"/>
              </w:rPr>
              <w:t>国家级龙头+驰名商标</w:t>
            </w:r>
          </w:p>
        </w:tc>
        <w:tc>
          <w:tcPr>
            <w:tcW w:type="dxa" w:w="3118"/>
          </w:tcPr>
          <w:p>
            <w:pPr>
              <w:spacing w:lineRule="exact" w:line="600"/>
              <w:jc w:val="center"/>
            </w:pPr>
            <w:r/>
            <w:r>
              <w:rPr>
                <w:rFonts w:ascii="仿宋_GB2312" w:hAnsi="仿宋_GB2312" w:eastAsia="仿宋_GB2312"/>
                <w:b w:val="0"/>
                <w:color w:val="000000"/>
                <w:sz w:val="32"/>
              </w:rPr>
              <w:t>10—30余国</w:t>
            </w:r>
          </w:p>
        </w:tc>
      </w:tr>
      <w:tr>
        <w:tc>
          <w:tcPr>
            <w:tcW w:type="dxa" w:w="2268"/>
          </w:tcPr>
          <w:p>
            <w:pPr>
              <w:spacing w:lineRule="exact" w:line="600"/>
              <w:jc w:val="center"/>
            </w:pPr>
            <w:r/>
            <w:r>
              <w:rPr>
                <w:rFonts w:ascii="仿宋_GB2312" w:hAnsi="仿宋_GB2312" w:eastAsia="仿宋_GB2312"/>
                <w:b w:val="0"/>
                <w:color w:val="000000"/>
                <w:sz w:val="32"/>
              </w:rPr>
              <w:t>绿色化</w:t>
            </w:r>
          </w:p>
        </w:tc>
        <w:tc>
          <w:tcPr>
            <w:tcW w:type="dxa" w:w="3685"/>
          </w:tcPr>
          <w:p>
            <w:pPr>
              <w:spacing w:lineRule="exact" w:line="600"/>
              <w:jc w:val="center"/>
            </w:pPr>
            <w:r/>
            <w:r>
              <w:rPr>
                <w:rFonts w:ascii="仿宋_GB2312" w:hAnsi="仿宋_GB2312" w:eastAsia="仿宋_GB2312"/>
                <w:b w:val="0"/>
                <w:color w:val="000000"/>
                <w:sz w:val="32"/>
              </w:rPr>
              <w:t>集中供热</w:t>
            </w:r>
          </w:p>
        </w:tc>
        <w:tc>
          <w:tcPr>
            <w:tcW w:type="dxa" w:w="3118"/>
          </w:tcPr>
          <w:p>
            <w:pPr>
              <w:spacing w:lineRule="exact" w:line="600"/>
              <w:jc w:val="center"/>
            </w:pPr>
            <w:r/>
            <w:r>
              <w:rPr>
                <w:rFonts w:ascii="仿宋_GB2312" w:hAnsi="仿宋_GB2312" w:eastAsia="仿宋_GB2312"/>
                <w:b w:val="0"/>
                <w:color w:val="000000"/>
                <w:sz w:val="32"/>
              </w:rPr>
              <w:t>成本-30%以上</w:t>
            </w:r>
          </w:p>
        </w:tc>
      </w:tr>
      <w:tr>
        <w:tc>
          <w:tcPr>
            <w:tcW w:type="dxa" w:w="2268"/>
          </w:tcPr>
          <w:p>
            <w:pPr>
              <w:spacing w:lineRule="exact" w:line="600"/>
              <w:jc w:val="center"/>
            </w:pPr>
            <w:r/>
            <w:r>
              <w:rPr>
                <w:rFonts w:ascii="仿宋_GB2312" w:hAnsi="仿宋_GB2312" w:eastAsia="仿宋_GB2312"/>
                <w:b w:val="0"/>
                <w:color w:val="000000"/>
                <w:sz w:val="32"/>
              </w:rPr>
              <w:t>集群</w:t>
            </w:r>
          </w:p>
        </w:tc>
        <w:tc>
          <w:tcPr>
            <w:tcW w:type="dxa" w:w="3685"/>
          </w:tcPr>
          <w:p>
            <w:pPr>
              <w:spacing w:lineRule="exact" w:line="600"/>
              <w:jc w:val="center"/>
            </w:pPr>
            <w:r/>
            <w:r>
              <w:rPr>
                <w:rFonts w:ascii="仿宋_GB2312" w:hAnsi="仿宋_GB2312" w:eastAsia="仿宋_GB2312"/>
                <w:b w:val="0"/>
                <w:color w:val="000000"/>
                <w:sz w:val="32"/>
              </w:rPr>
              <w:t>国家绿色集群</w:t>
            </w:r>
          </w:p>
        </w:tc>
        <w:tc>
          <w:tcPr>
            <w:tcW w:type="dxa" w:w="3118"/>
          </w:tcPr>
          <w:p>
            <w:pPr>
              <w:spacing w:lineRule="exact" w:line="600"/>
              <w:jc w:val="center"/>
            </w:pPr>
            <w:r/>
            <w:r>
              <w:rPr>
                <w:rFonts w:ascii="仿宋_GB2312" w:hAnsi="仿宋_GB2312" w:eastAsia="仿宋_GB2312"/>
                <w:b w:val="0"/>
                <w:color w:val="000000"/>
                <w:sz w:val="32"/>
              </w:rPr>
              <w:t>百亿目标</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（一）基地与农户融资</w:t>
      </w:r>
    </w:p>
    <w:p>
      <w:pPr>
        <w:spacing w:lineRule="exact" w:line="600" w:before="0" w:after="0"/>
        <w:ind w:firstLine="420"/>
        <w:jc w:val="both"/>
      </w:pPr>
      <w:r>
        <w:rPr>
          <w:rFonts w:ascii="仿宋_GB2312" w:hAnsi="仿宋_GB2312" w:eastAsia="仿宋_GB2312"/>
          <w:b w:val="0"/>
          <w:color w:val="000000"/>
          <w:sz w:val="32"/>
        </w:rPr>
        <w:t>20万亩标准化基地、合作社与农户需要农业信贷、供应链金融与政策性担保，稳定原料收购与农户增收（来源：行业共性研判、网易，2024）。</w:t>
      </w:r>
    </w:p>
    <w:p>
      <w:pPr>
        <w:spacing w:lineRule="exact" w:line="600" w:before="120" w:after="120"/>
        <w:ind w:firstLine="420"/>
        <w:jc w:val="left"/>
      </w:pPr>
      <w:r>
        <w:rPr>
          <w:rFonts w:ascii="楷体_GB2312" w:hAnsi="楷体_GB2312" w:eastAsia="楷体_GB2312"/>
          <w:b w:val="0"/>
          <w:color w:val="000000"/>
          <w:sz w:val="32"/>
        </w:rPr>
        <w:t>（二）冷链与流通基建</w:t>
      </w:r>
    </w:p>
    <w:p>
      <w:pPr>
        <w:spacing w:lineRule="exact" w:line="600" w:before="0" w:after="0"/>
        <w:ind w:firstLine="420"/>
        <w:jc w:val="both"/>
      </w:pPr>
      <w:r>
        <w:rPr>
          <w:rFonts w:ascii="仿宋_GB2312" w:hAnsi="仿宋_GB2312" w:eastAsia="仿宋_GB2312"/>
          <w:b w:val="0"/>
          <w:color w:val="000000"/>
          <w:sz w:val="32"/>
        </w:rPr>
        <w:t>万吨级冷库、食品检测中心与物流体系扩建，需冷链专项融资与基建贷款（来源：牡丹区政府、菏泽广电，2024）。</w:t>
      </w:r>
    </w:p>
    <w:p>
      <w:pPr>
        <w:spacing w:lineRule="exact" w:line="600" w:before="120" w:after="120"/>
        <w:ind w:firstLine="420"/>
        <w:jc w:val="left"/>
      </w:pPr>
      <w:r>
        <w:rPr>
          <w:rFonts w:ascii="楷体_GB2312" w:hAnsi="楷体_GB2312" w:eastAsia="楷体_GB2312"/>
          <w:b w:val="0"/>
          <w:color w:val="000000"/>
          <w:sz w:val="32"/>
        </w:rPr>
        <w:t>（三）品牌与外资再投资</w:t>
      </w:r>
    </w:p>
    <w:p>
      <w:pPr>
        <w:spacing w:lineRule="exact" w:line="600" w:before="0" w:after="0"/>
        <w:ind w:firstLine="420"/>
        <w:jc w:val="both"/>
      </w:pPr>
      <w:r>
        <w:rPr>
          <w:rFonts w:ascii="仿宋_GB2312" w:hAnsi="仿宋_GB2312" w:eastAsia="仿宋_GB2312"/>
          <w:b w:val="0"/>
          <w:color w:val="000000"/>
          <w:sz w:val="32"/>
        </w:rPr>
        <w:t>台资龙头佳美22次增资、新加坡鲜绿园新投，对股权融资、再投资配套与设备贷款有持续需求（来源：网易、沙土镇报道，2024）。</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规模/需求</w:t>
            </w:r>
          </w:p>
        </w:tc>
        <w:tc>
          <w:tcPr>
            <w:tcW w:type="dxa" w:w="3402"/>
          </w:tcPr>
          <w:p>
            <w:pPr>
              <w:spacing w:lineRule="exact" w:line="600"/>
              <w:jc w:val="center"/>
            </w:pPr>
            <w:r/>
            <w:r>
              <w:rPr>
                <w:rFonts w:ascii="黑体" w:hAnsi="黑体" w:eastAsia="黑体"/>
                <w:b/>
                <w:color w:val="000000"/>
                <w:sz w:val="32"/>
              </w:rPr>
              <w:t>方式</w:t>
            </w:r>
          </w:p>
        </w:tc>
      </w:tr>
      <w:tr>
        <w:tc>
          <w:tcPr>
            <w:tcW w:type="dxa" w:w="2551"/>
          </w:tcPr>
          <w:p>
            <w:pPr>
              <w:spacing w:lineRule="exact" w:line="600"/>
              <w:jc w:val="center"/>
            </w:pPr>
            <w:r/>
            <w:r>
              <w:rPr>
                <w:rFonts w:ascii="仿宋_GB2312" w:hAnsi="仿宋_GB2312" w:eastAsia="仿宋_GB2312"/>
                <w:b w:val="0"/>
                <w:color w:val="000000"/>
                <w:sz w:val="32"/>
              </w:rPr>
              <w:t>基地/农户</w:t>
            </w:r>
          </w:p>
        </w:tc>
        <w:tc>
          <w:tcPr>
            <w:tcW w:type="dxa" w:w="3118"/>
          </w:tcPr>
          <w:p>
            <w:pPr>
              <w:spacing w:lineRule="exact" w:line="600"/>
              <w:jc w:val="center"/>
            </w:pPr>
            <w:r/>
            <w:r>
              <w:rPr>
                <w:rFonts w:ascii="仿宋_GB2312" w:hAnsi="仿宋_GB2312" w:eastAsia="仿宋_GB2312"/>
                <w:b w:val="0"/>
                <w:color w:val="000000"/>
                <w:sz w:val="32"/>
              </w:rPr>
              <w:t>20万亩+合作社</w:t>
            </w:r>
          </w:p>
        </w:tc>
        <w:tc>
          <w:tcPr>
            <w:tcW w:type="dxa" w:w="3402"/>
          </w:tcPr>
          <w:p>
            <w:pPr>
              <w:spacing w:lineRule="exact" w:line="600"/>
              <w:jc w:val="center"/>
            </w:pPr>
            <w:r/>
            <w:r>
              <w:rPr>
                <w:rFonts w:ascii="仿宋_GB2312" w:hAnsi="仿宋_GB2312" w:eastAsia="仿宋_GB2312"/>
                <w:b w:val="0"/>
                <w:color w:val="000000"/>
                <w:sz w:val="32"/>
              </w:rPr>
              <w:t>农业信贷/担保</w:t>
            </w:r>
          </w:p>
        </w:tc>
      </w:tr>
      <w:tr>
        <w:tc>
          <w:tcPr>
            <w:tcW w:type="dxa" w:w="2551"/>
          </w:tcPr>
          <w:p>
            <w:pPr>
              <w:spacing w:lineRule="exact" w:line="600"/>
              <w:jc w:val="center"/>
            </w:pPr>
            <w:r/>
            <w:r>
              <w:rPr>
                <w:rFonts w:ascii="仿宋_GB2312" w:hAnsi="仿宋_GB2312" w:eastAsia="仿宋_GB2312"/>
                <w:b w:val="0"/>
                <w:color w:val="000000"/>
                <w:sz w:val="32"/>
              </w:rPr>
              <w:t>冷链/检测</w:t>
            </w:r>
          </w:p>
        </w:tc>
        <w:tc>
          <w:tcPr>
            <w:tcW w:type="dxa" w:w="3118"/>
          </w:tcPr>
          <w:p>
            <w:pPr>
              <w:spacing w:lineRule="exact" w:line="600"/>
              <w:jc w:val="center"/>
            </w:pPr>
            <w:r/>
            <w:r>
              <w:rPr>
                <w:rFonts w:ascii="仿宋_GB2312" w:hAnsi="仿宋_GB2312" w:eastAsia="仿宋_GB2312"/>
                <w:b w:val="0"/>
                <w:color w:val="000000"/>
                <w:sz w:val="32"/>
              </w:rPr>
              <w:t>冷库+检测中心</w:t>
            </w:r>
          </w:p>
        </w:tc>
        <w:tc>
          <w:tcPr>
            <w:tcW w:type="dxa" w:w="3402"/>
          </w:tcPr>
          <w:p>
            <w:pPr>
              <w:spacing w:lineRule="exact" w:line="600"/>
              <w:jc w:val="center"/>
            </w:pPr>
            <w:r/>
            <w:r>
              <w:rPr>
                <w:rFonts w:ascii="仿宋_GB2312" w:hAnsi="仿宋_GB2312" w:eastAsia="仿宋_GB2312"/>
                <w:b w:val="0"/>
                <w:color w:val="000000"/>
                <w:sz w:val="32"/>
              </w:rPr>
              <w:t>基建贷款</w:t>
            </w:r>
          </w:p>
        </w:tc>
      </w:tr>
      <w:tr>
        <w:tc>
          <w:tcPr>
            <w:tcW w:type="dxa" w:w="2551"/>
          </w:tcPr>
          <w:p>
            <w:pPr>
              <w:spacing w:lineRule="exact" w:line="600"/>
              <w:jc w:val="center"/>
            </w:pPr>
            <w:r/>
            <w:r>
              <w:rPr>
                <w:rFonts w:ascii="仿宋_GB2312" w:hAnsi="仿宋_GB2312" w:eastAsia="仿宋_GB2312"/>
                <w:b w:val="0"/>
                <w:color w:val="000000"/>
                <w:sz w:val="32"/>
              </w:rPr>
              <w:t>品牌再投资</w:t>
            </w:r>
          </w:p>
        </w:tc>
        <w:tc>
          <w:tcPr>
            <w:tcW w:type="dxa" w:w="3118"/>
          </w:tcPr>
          <w:p>
            <w:pPr>
              <w:spacing w:lineRule="exact" w:line="600"/>
              <w:jc w:val="center"/>
            </w:pPr>
            <w:r/>
            <w:r>
              <w:rPr>
                <w:rFonts w:ascii="仿宋_GB2312" w:hAnsi="仿宋_GB2312" w:eastAsia="仿宋_GB2312"/>
                <w:b w:val="0"/>
                <w:color w:val="000000"/>
                <w:sz w:val="32"/>
              </w:rPr>
              <w:t>佳美超2亿美元</w:t>
            </w:r>
          </w:p>
        </w:tc>
        <w:tc>
          <w:tcPr>
            <w:tcW w:type="dxa" w:w="3402"/>
          </w:tcPr>
          <w:p>
            <w:pPr>
              <w:spacing w:lineRule="exact" w:line="600"/>
              <w:jc w:val="center"/>
            </w:pPr>
            <w:r/>
            <w:r>
              <w:rPr>
                <w:rFonts w:ascii="仿宋_GB2312" w:hAnsi="仿宋_GB2312" w:eastAsia="仿宋_GB2312"/>
                <w:b w:val="0"/>
                <w:color w:val="000000"/>
                <w:sz w:val="32"/>
              </w:rPr>
              <w:t>股权/设备贷</w:t>
            </w:r>
          </w:p>
        </w:tc>
      </w:tr>
      <w:tr>
        <w:tc>
          <w:tcPr>
            <w:tcW w:type="dxa" w:w="2551"/>
          </w:tcPr>
          <w:p>
            <w:pPr>
              <w:spacing w:lineRule="exact" w:line="600"/>
              <w:jc w:val="center"/>
            </w:pPr>
            <w:r/>
            <w:r>
              <w:rPr>
                <w:rFonts w:ascii="仿宋_GB2312" w:hAnsi="仿宋_GB2312" w:eastAsia="仿宋_GB2312"/>
                <w:b w:val="0"/>
                <w:color w:val="000000"/>
                <w:sz w:val="32"/>
              </w:rPr>
              <w:t>外资新项目</w:t>
            </w:r>
          </w:p>
        </w:tc>
        <w:tc>
          <w:tcPr>
            <w:tcW w:type="dxa" w:w="3118"/>
          </w:tcPr>
          <w:p>
            <w:pPr>
              <w:spacing w:lineRule="exact" w:line="600"/>
              <w:jc w:val="center"/>
            </w:pPr>
            <w:r/>
            <w:r>
              <w:rPr>
                <w:rFonts w:ascii="仿宋_GB2312" w:hAnsi="仿宋_GB2312" w:eastAsia="仿宋_GB2312"/>
                <w:b w:val="0"/>
                <w:color w:val="000000"/>
                <w:sz w:val="32"/>
              </w:rPr>
              <w:t>鲜绿园果汁</w:t>
            </w:r>
          </w:p>
        </w:tc>
        <w:tc>
          <w:tcPr>
            <w:tcW w:type="dxa" w:w="3402"/>
          </w:tcPr>
          <w:p>
            <w:pPr>
              <w:spacing w:lineRule="exact" w:line="600"/>
              <w:jc w:val="center"/>
            </w:pPr>
            <w:r/>
            <w:r>
              <w:rPr>
                <w:rFonts w:ascii="仿宋_GB2312" w:hAnsi="仿宋_GB2312" w:eastAsia="仿宋_GB2312"/>
                <w:b w:val="0"/>
                <w:color w:val="000000"/>
                <w:sz w:val="32"/>
              </w:rPr>
              <w:t>招商配套</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佳美食品工业有限公司：台资国家级农业产业化重点龙头企业，亚洲最大浓缩果蔬汁供应商；签约20万亩标准化农产品基地，带动10余万户增收、年创收4000万元以上，95%蔬菜果品就地转化；22次增资累计超2亿美元，亩均投入超1000万元、亩均产出500万元、亩均税收50万元；2024年营收9.06亿—10亿元，出口30多国、创汇3200万美元。来源：牡丹区政府官网、网易，2024。</w:t>
      </w:r>
    </w:p>
    <w:p>
      <w:pPr>
        <w:spacing w:lineRule="exact" w:line="600" w:before="0" w:after="0"/>
        <w:ind w:firstLine="420"/>
        <w:jc w:val="both"/>
      </w:pPr>
      <w:r>
        <w:rPr>
          <w:rFonts w:ascii="仿宋_GB2312" w:hAnsi="仿宋_GB2312" w:eastAsia="仿宋_GB2312"/>
          <w:b w:val="0"/>
          <w:color w:val="000000"/>
          <w:sz w:val="32"/>
        </w:rPr>
        <w:t>山东沙土食品工业有限公司：1988年创立的本土炒货龙头，「沙土」为中国驰名商标，湿瓜子、南瓜子全国销量第一；年生产瓜子花生坚果1.5万吨；2024年营收3.1亿元；是沙土休闲食品品牌矩阵核心，与佳美共同构成集群双品牌引擎。来源：牡丹区政府官网、沙土食品报道，2024。</w:t>
      </w:r>
    </w:p>
    <w:p>
      <w:pPr>
        <w:spacing w:lineRule="exact" w:line="600" w:before="0" w:after="0"/>
        <w:ind w:firstLine="420"/>
        <w:jc w:val="both"/>
      </w:pPr>
      <w:r>
        <w:rPr>
          <w:rFonts w:ascii="仿宋_GB2312" w:hAnsi="仿宋_GB2312" w:eastAsia="仿宋_GB2312"/>
          <w:b w:val="0"/>
          <w:color w:val="000000"/>
          <w:sz w:val="32"/>
        </w:rPr>
        <w:t>菏泽盛鑫源食品有限公司：牡丹区食品集群骨干，主营脱水蔬菜与预制菜，与米村拌饭、海底捞等头部餐饮连锁长期合作，是集群品牌流通与餐饮供应链环节的重要配套企业，支撑产品多元化与渠道拓展。来源：牡丹区政府官网、沙土镇报道，2024。</w:t>
      </w:r>
    </w:p>
    <w:p>
      <w:pPr>
        <w:spacing w:lineRule="exact" w:line="600" w:before="0" w:after="0"/>
        <w:jc w:val="left"/>
      </w:pPr>
      <w:r>
        <w:rPr>
          <w:rFonts w:ascii="仿宋_GB2312" w:hAnsi="仿宋_GB2312" w:eastAsia="仿宋_GB2312"/>
          <w:b w:val="0"/>
          <w:color w:val="000000"/>
          <w:sz w:val="28"/>
        </w:rPr>
        <w:t>主要数据来源：牡丹区人民政府官网《关于推进沙土镇工业园区基础设施建设的建议的答复》（园区、基地、品牌），2024；菏泽广电《牡丹区：小镇干出70亿大产业》（70亿、基地、冷链），2024；网易《菏泽沃土育佳美》（20万亩基地、农户增收、亩均指标），2024；牡丹区发布/今日头条《沙土镇：「土特产」锻造成高质量发展的「金钥匙」》（企业数量、税收），2024；沙土镇重点项目建设综述（新润林、鲜之源、外资项目），2024；百度百科 山东沙土食品工业有限公司（品牌、产能），2024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