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数字平台运营与信息技术服务行业深度分析报告</w:t>
      </w:r>
    </w:p>
    <w:p>
      <w:pPr>
        <w:spacing w:lineRule="exact" w:line="600" w:before="0" w:after="0"/>
        <w:jc w:val="left"/>
      </w:pPr>
      <w:r>
        <w:rPr>
          <w:rFonts w:ascii="仿宋_GB2312" w:hAnsi="仿宋_GB2312" w:eastAsia="仿宋_GB2312"/>
          <w:b w:val="0"/>
          <w:color w:val="000000"/>
          <w:sz w:val="28"/>
        </w:rPr>
        <w:t>本报告聚焦数字平台运营、数据要素服务与信息技术服务，数据来源于市中区工信局、济南市工信局、山东未来云谷报道及2026年政府工作报告。数据截至2024—2026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数字平台运营与信息技术服务是市中数字经济集群的价值实现层。市中区作为全省最早的大数据产业集聚区，集聚联通、移动、铁塔、阿里、科大讯飞、商汤、东华软件等龙头，并培育平台型企业。市中未来数字产业发展有限公司2024年4月完成数据资源入表，登记270个数据表、2983286条数据，成为省内第一家数据资产入表的区县平台公司，激活数据要素乘数效应。山东未来云谷以「算力招商」搭建数字人才基地、数据标注平台与产教融合中心，联合火山引擎建数据标注基地，引入能建数科华东总部；园区全面运营后预计年均营收超60亿元、税收超3亿元、带动就业2万人以上。2026年市中区力争数智信通产业规模突破160亿元，数字平台与IT服务成为集群变现核心。</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数据入表</w:t>
            </w:r>
          </w:p>
        </w:tc>
        <w:tc>
          <w:tcPr>
            <w:tcW w:type="dxa" w:w="2835"/>
          </w:tcPr>
          <w:p>
            <w:pPr>
              <w:spacing w:lineRule="exact" w:line="600"/>
              <w:jc w:val="center"/>
            </w:pPr>
            <w:r/>
            <w:r>
              <w:rPr>
                <w:rFonts w:ascii="仿宋_GB2312" w:hAnsi="仿宋_GB2312" w:eastAsia="仿宋_GB2312"/>
                <w:b w:val="0"/>
                <w:color w:val="000000"/>
                <w:sz w:val="32"/>
              </w:rPr>
              <w:t>270表/2983286条</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未来云谷投资</w:t>
            </w:r>
          </w:p>
        </w:tc>
        <w:tc>
          <w:tcPr>
            <w:tcW w:type="dxa" w:w="2835"/>
          </w:tcPr>
          <w:p>
            <w:pPr>
              <w:spacing w:lineRule="exact" w:line="600"/>
              <w:jc w:val="center"/>
            </w:pPr>
            <w:r/>
            <w:r>
              <w:rPr>
                <w:rFonts w:ascii="仿宋_GB2312" w:hAnsi="仿宋_GB2312" w:eastAsia="仿宋_GB2312"/>
                <w:b w:val="0"/>
                <w:color w:val="000000"/>
                <w:sz w:val="32"/>
              </w:rPr>
              <w:t>20.6亿元</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入驻预期年营收</w:t>
            </w:r>
          </w:p>
        </w:tc>
        <w:tc>
          <w:tcPr>
            <w:tcW w:type="dxa" w:w="2835"/>
          </w:tcPr>
          <w:p>
            <w:pPr>
              <w:spacing w:lineRule="exact" w:line="600"/>
              <w:jc w:val="center"/>
            </w:pPr>
            <w:r/>
            <w:r>
              <w:rPr>
                <w:rFonts w:ascii="仿宋_GB2312" w:hAnsi="仿宋_GB2312" w:eastAsia="仿宋_GB2312"/>
                <w:b w:val="0"/>
                <w:color w:val="000000"/>
                <w:sz w:val="32"/>
              </w:rPr>
              <w:t>超60亿元</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数智信通目标</w:t>
            </w:r>
          </w:p>
        </w:tc>
        <w:tc>
          <w:tcPr>
            <w:tcW w:type="dxa" w:w="2835"/>
          </w:tcPr>
          <w:p>
            <w:pPr>
              <w:spacing w:lineRule="exact" w:line="600"/>
              <w:jc w:val="center"/>
            </w:pPr>
            <w:r/>
            <w:r>
              <w:rPr>
                <w:rFonts w:ascii="仿宋_GB2312" w:hAnsi="仿宋_GB2312" w:eastAsia="仿宋_GB2312"/>
                <w:b w:val="0"/>
                <w:color w:val="000000"/>
                <w:sz w:val="32"/>
              </w:rPr>
              <w:t>160亿元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可租售面积</w:t>
            </w:r>
          </w:p>
        </w:tc>
        <w:tc>
          <w:tcPr>
            <w:tcW w:type="dxa" w:w="2835"/>
          </w:tcPr>
          <w:p>
            <w:pPr>
              <w:spacing w:lineRule="exact" w:line="600"/>
              <w:jc w:val="center"/>
            </w:pPr>
            <w:r/>
            <w:r>
              <w:rPr>
                <w:rFonts w:ascii="仿宋_GB2312" w:hAnsi="仿宋_GB2312" w:eastAsia="仿宋_GB2312"/>
                <w:b w:val="0"/>
                <w:color w:val="000000"/>
                <w:sz w:val="32"/>
              </w:rPr>
              <w:t>11.2万㎡</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预期就业</w:t>
            </w:r>
          </w:p>
        </w:tc>
        <w:tc>
          <w:tcPr>
            <w:tcW w:type="dxa" w:w="2835"/>
          </w:tcPr>
          <w:p>
            <w:pPr>
              <w:spacing w:lineRule="exact" w:line="600"/>
              <w:jc w:val="center"/>
            </w:pPr>
            <w:r/>
            <w:r>
              <w:rPr>
                <w:rFonts w:ascii="仿宋_GB2312" w:hAnsi="仿宋_GB2312" w:eastAsia="仿宋_GB2312"/>
                <w:b w:val="0"/>
                <w:color w:val="000000"/>
                <w:sz w:val="32"/>
              </w:rPr>
              <w:t>2万人以上</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危化品专网</w:t>
            </w:r>
          </w:p>
        </w:tc>
        <w:tc>
          <w:tcPr>
            <w:tcW w:type="dxa" w:w="2835"/>
          </w:tcPr>
          <w:p>
            <w:pPr>
              <w:spacing w:lineRule="exact" w:line="600"/>
              <w:jc w:val="center"/>
            </w:pPr>
            <w:r/>
            <w:r>
              <w:rPr>
                <w:rFonts w:ascii="仿宋_GB2312" w:hAnsi="仿宋_GB2312" w:eastAsia="仿宋_GB2312"/>
                <w:b w:val="0"/>
                <w:color w:val="000000"/>
                <w:sz w:val="32"/>
              </w:rPr>
              <w:t>1289家重源</w:t>
            </w:r>
          </w:p>
        </w:tc>
        <w:tc>
          <w:tcPr>
            <w:tcW w:type="dxa" w:w="3118"/>
          </w:tcPr>
          <w:p>
            <w:pPr>
              <w:spacing w:lineRule="exact" w:line="600"/>
              <w:jc w:val="center"/>
            </w:pPr>
            <w:r/>
            <w:r>
              <w:rPr>
                <w:rFonts w:ascii="仿宋_GB2312" w:hAnsi="仿宋_GB2312" w:eastAsia="仿宋_GB2312"/>
                <w:b w:val="0"/>
                <w:color w:val="000000"/>
                <w:sz w:val="32"/>
              </w:rPr>
              <w:t>济南市工信局，2024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数据要素市场化配置改革与济南市《推动数据要素市场化配置改革加快数字经济发展行动方案（2024—2025年）》推动数据资产化。市中区率先制定大数据产业实施意见，探索数据资源入表（来源：市中区工信局，2024）。</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市中区以数字经济集聚先锋为定位，以数字基础设施建设为保障、以数据要素业务创新为引领，激发数据交易服务、数据资产融资等潜在价值（来源：市中区工信局，2024）。</w:t>
      </w:r>
    </w:p>
    <w:p>
      <w:pPr>
        <w:spacing w:lineRule="exact" w:line="600" w:before="120" w:after="120"/>
        <w:ind w:firstLine="420"/>
        <w:jc w:val="left"/>
      </w:pPr>
      <w:r>
        <w:rPr>
          <w:rFonts w:ascii="楷体_GB2312" w:hAnsi="楷体_GB2312" w:eastAsia="楷体_GB2312"/>
          <w:b w:val="0"/>
          <w:color w:val="000000"/>
          <w:sz w:val="32"/>
        </w:rPr>
        <w:t>（三）基础规模</w:t>
      </w:r>
    </w:p>
    <w:p>
      <w:pPr>
        <w:spacing w:lineRule="exact" w:line="600" w:before="0" w:after="0"/>
        <w:ind w:firstLine="420"/>
        <w:jc w:val="both"/>
      </w:pPr>
      <w:r>
        <w:rPr>
          <w:rFonts w:ascii="仿宋_GB2312" w:hAnsi="仿宋_GB2312" w:eastAsia="仿宋_GB2312"/>
          <w:b w:val="0"/>
          <w:color w:val="000000"/>
          <w:sz w:val="32"/>
        </w:rPr>
        <w:t>全区集聚联通、移动、铁塔、阿里巴巴、科大讯飞、商汤、东华软件等龙头；2024年前三季度GDP 1078.9亿元、二产+12.5%、规上工业+18.6%（来源：新华网，2024）。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大数据集聚区</w:t>
            </w:r>
          </w:p>
        </w:tc>
        <w:tc>
          <w:tcPr>
            <w:tcW w:type="dxa" w:w="3118"/>
          </w:tcPr>
          <w:p>
            <w:pPr>
              <w:spacing w:lineRule="exact" w:line="600"/>
              <w:jc w:val="center"/>
            </w:pPr>
            <w:r/>
            <w:r>
              <w:rPr>
                <w:rFonts w:ascii="仿宋_GB2312" w:hAnsi="仿宋_GB2312" w:eastAsia="仿宋_GB2312"/>
                <w:b w:val="0"/>
                <w:color w:val="000000"/>
                <w:sz w:val="32"/>
              </w:rPr>
              <w:t>全省最早</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GDP（前三季）</w:t>
            </w:r>
          </w:p>
        </w:tc>
        <w:tc>
          <w:tcPr>
            <w:tcW w:type="dxa" w:w="3118"/>
          </w:tcPr>
          <w:p>
            <w:pPr>
              <w:spacing w:lineRule="exact" w:line="600"/>
              <w:jc w:val="center"/>
            </w:pPr>
            <w:r/>
            <w:r>
              <w:rPr>
                <w:rFonts w:ascii="仿宋_GB2312" w:hAnsi="仿宋_GB2312" w:eastAsia="仿宋_GB2312"/>
                <w:b w:val="0"/>
                <w:color w:val="000000"/>
                <w:sz w:val="32"/>
              </w:rPr>
              <w:t>1078.9亿元</w:t>
            </w:r>
          </w:p>
        </w:tc>
        <w:tc>
          <w:tcPr>
            <w:tcW w:type="dxa" w:w="3118"/>
          </w:tcPr>
          <w:p>
            <w:pPr>
              <w:spacing w:lineRule="exact" w:line="600"/>
              <w:jc w:val="center"/>
            </w:pPr>
            <w:r/>
            <w:r>
              <w:rPr>
                <w:rFonts w:ascii="仿宋_GB2312" w:hAnsi="仿宋_GB2312" w:eastAsia="仿宋_GB2312"/>
                <w:b w:val="0"/>
                <w:color w:val="000000"/>
                <w:sz w:val="32"/>
              </w:rPr>
              <w:t>新华网，2024</w:t>
            </w:r>
          </w:p>
        </w:tc>
      </w:tr>
      <w:tr>
        <w:tc>
          <w:tcPr>
            <w:tcW w:type="dxa" w:w="2835"/>
          </w:tcPr>
          <w:p>
            <w:pPr>
              <w:spacing w:lineRule="exact" w:line="600"/>
              <w:jc w:val="center"/>
            </w:pPr>
            <w:r/>
            <w:r>
              <w:rPr>
                <w:rFonts w:ascii="仿宋_GB2312" w:hAnsi="仿宋_GB2312" w:eastAsia="仿宋_GB2312"/>
                <w:b w:val="0"/>
                <w:color w:val="000000"/>
                <w:sz w:val="32"/>
              </w:rPr>
              <w:t>规上工业增加值</w:t>
            </w:r>
          </w:p>
        </w:tc>
        <w:tc>
          <w:tcPr>
            <w:tcW w:type="dxa" w:w="3118"/>
          </w:tcPr>
          <w:p>
            <w:pPr>
              <w:spacing w:lineRule="exact" w:line="600"/>
              <w:jc w:val="center"/>
            </w:pPr>
            <w:r/>
            <w:r>
              <w:rPr>
                <w:rFonts w:ascii="仿宋_GB2312" w:hAnsi="仿宋_GB2312" w:eastAsia="仿宋_GB2312"/>
                <w:b w:val="0"/>
                <w:color w:val="000000"/>
                <w:sz w:val="32"/>
              </w:rPr>
              <w:t>+18.6%</w:t>
            </w:r>
          </w:p>
        </w:tc>
        <w:tc>
          <w:tcPr>
            <w:tcW w:type="dxa" w:w="3118"/>
          </w:tcPr>
          <w:p>
            <w:pPr>
              <w:spacing w:lineRule="exact" w:line="600"/>
              <w:jc w:val="center"/>
            </w:pPr>
            <w:r/>
            <w:r>
              <w:rPr>
                <w:rFonts w:ascii="仿宋_GB2312" w:hAnsi="仿宋_GB2312" w:eastAsia="仿宋_GB2312"/>
                <w:b w:val="0"/>
                <w:color w:val="000000"/>
                <w:sz w:val="32"/>
              </w:rPr>
              <w:t>新华网，2024</w:t>
            </w:r>
          </w:p>
        </w:tc>
      </w:tr>
      <w:tr>
        <w:tc>
          <w:tcPr>
            <w:tcW w:type="dxa" w:w="2835"/>
          </w:tcPr>
          <w:p>
            <w:pPr>
              <w:spacing w:lineRule="exact" w:line="600"/>
              <w:jc w:val="center"/>
            </w:pPr>
            <w:r/>
            <w:r>
              <w:rPr>
                <w:rFonts w:ascii="仿宋_GB2312" w:hAnsi="仿宋_GB2312" w:eastAsia="仿宋_GB2312"/>
                <w:b w:val="0"/>
                <w:color w:val="000000"/>
                <w:sz w:val="32"/>
              </w:rPr>
              <w:t>数智信通目标</w:t>
            </w:r>
          </w:p>
        </w:tc>
        <w:tc>
          <w:tcPr>
            <w:tcW w:type="dxa" w:w="3118"/>
          </w:tcPr>
          <w:p>
            <w:pPr>
              <w:spacing w:lineRule="exact" w:line="600"/>
              <w:jc w:val="center"/>
            </w:pPr>
            <w:r/>
            <w:r>
              <w:rPr>
                <w:rFonts w:ascii="仿宋_GB2312" w:hAnsi="仿宋_GB2312" w:eastAsia="仿宋_GB2312"/>
                <w:b w:val="0"/>
                <w:color w:val="000000"/>
                <w:sz w:val="32"/>
              </w:rPr>
              <w:t>160亿元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数据入表</w:t>
            </w:r>
          </w:p>
        </w:tc>
        <w:tc>
          <w:tcPr>
            <w:tcW w:type="dxa" w:w="3118"/>
          </w:tcPr>
          <w:p>
            <w:pPr>
              <w:spacing w:lineRule="exact" w:line="600"/>
              <w:jc w:val="center"/>
            </w:pPr>
            <w:r/>
            <w:r>
              <w:rPr>
                <w:rFonts w:ascii="仿宋_GB2312" w:hAnsi="仿宋_GB2312" w:eastAsia="仿宋_GB2312"/>
                <w:b w:val="0"/>
                <w:color w:val="000000"/>
                <w:sz w:val="32"/>
              </w:rPr>
              <w:t>省内区县首家</w:t>
            </w:r>
          </w:p>
        </w:tc>
        <w:tc>
          <w:tcPr>
            <w:tcW w:type="dxa" w:w="3118"/>
          </w:tcPr>
          <w:p>
            <w:pPr>
              <w:spacing w:lineRule="exact" w:line="600"/>
              <w:jc w:val="center"/>
            </w:pPr>
            <w:r/>
            <w:r>
              <w:rPr>
                <w:rFonts w:ascii="仿宋_GB2312" w:hAnsi="仿宋_GB2312" w:eastAsia="仿宋_GB2312"/>
                <w:b w:val="0"/>
                <w:color w:val="000000"/>
                <w:sz w:val="32"/>
              </w:rPr>
              <w:t>市中区工信局，2024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（一）数据资源层</w:t>
      </w:r>
    </w:p>
    <w:p>
      <w:pPr>
        <w:spacing w:lineRule="exact" w:line="600" w:before="0" w:after="0"/>
        <w:ind w:firstLine="420"/>
        <w:jc w:val="both"/>
      </w:pPr>
      <w:r>
        <w:rPr>
          <w:rFonts w:ascii="仿宋_GB2312" w:hAnsi="仿宋_GB2312" w:eastAsia="仿宋_GB2312"/>
          <w:b w:val="0"/>
          <w:color w:val="000000"/>
          <w:sz w:val="32"/>
        </w:rPr>
        <w:t>以运营商省市总部（移动、联通、铁塔）与平台企业数据为基础，市中未来数字公司基于确定性算网低碳示范园区运营数据入表270表、2983286条（来源：市中区工信局，2024）。</w:t>
      </w:r>
    </w:p>
    <w:p>
      <w:pPr>
        <w:spacing w:lineRule="exact" w:line="600" w:before="120" w:after="120"/>
        <w:ind w:firstLine="420"/>
        <w:jc w:val="left"/>
      </w:pPr>
      <w:r>
        <w:rPr>
          <w:rFonts w:ascii="楷体_GB2312" w:hAnsi="楷体_GB2312" w:eastAsia="楷体_GB2312"/>
          <w:b w:val="0"/>
          <w:color w:val="000000"/>
          <w:sz w:val="32"/>
        </w:rPr>
        <w:t>（二）平台运营层</w:t>
      </w:r>
    </w:p>
    <w:p>
      <w:pPr>
        <w:spacing w:lineRule="exact" w:line="600" w:before="0" w:after="0"/>
        <w:ind w:firstLine="420"/>
        <w:jc w:val="both"/>
      </w:pPr>
      <w:r>
        <w:rPr>
          <w:rFonts w:ascii="仿宋_GB2312" w:hAnsi="仿宋_GB2312" w:eastAsia="仿宋_GB2312"/>
          <w:b w:val="0"/>
          <w:color w:val="000000"/>
          <w:sz w:val="32"/>
        </w:rPr>
        <w:t>山东未来集团未来云平台、火山引擎数据标注基地、能建数科华东总部综合能源平台等构成平台矩阵，提供数据标注、算力调度、行业应用（来源：济南市工信局，2024）。</w:t>
      </w:r>
    </w:p>
    <w:p>
      <w:pPr>
        <w:spacing w:lineRule="exact" w:line="600" w:before="120" w:after="120"/>
        <w:ind w:firstLine="420"/>
        <w:jc w:val="left"/>
      </w:pPr>
      <w:r>
        <w:rPr>
          <w:rFonts w:ascii="楷体_GB2312" w:hAnsi="楷体_GB2312" w:eastAsia="楷体_GB2312"/>
          <w:b w:val="0"/>
          <w:color w:val="000000"/>
          <w:sz w:val="32"/>
        </w:rPr>
        <w:t>（三）IT服务层</w:t>
      </w:r>
    </w:p>
    <w:p>
      <w:pPr>
        <w:spacing w:lineRule="exact" w:line="600" w:before="0" w:after="0"/>
        <w:ind w:firstLine="420"/>
        <w:jc w:val="both"/>
      </w:pPr>
      <w:r>
        <w:rPr>
          <w:rFonts w:ascii="仿宋_GB2312" w:hAnsi="仿宋_GB2312" w:eastAsia="仿宋_GB2312"/>
          <w:b w:val="0"/>
          <w:color w:val="000000"/>
          <w:sz w:val="32"/>
        </w:rPr>
        <w:t>东华软件、商汤等提供软件、AI解决方案与行业集成；园区以「上下楼就是上下游」组织IT服务生态（来源：市中区报道，2024）。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层级</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数据</w:t>
            </w:r>
          </w:p>
        </w:tc>
        <w:tc>
          <w:tcPr>
            <w:tcW w:type="dxa" w:w="3685"/>
          </w:tcPr>
          <w:p>
            <w:pPr>
              <w:spacing w:lineRule="exact" w:line="600"/>
              <w:jc w:val="center"/>
            </w:pPr>
            <w:r/>
            <w:r>
              <w:rPr>
                <w:rFonts w:ascii="仿宋_GB2312" w:hAnsi="仿宋_GB2312" w:eastAsia="仿宋_GB2312"/>
                <w:b w:val="0"/>
                <w:color w:val="000000"/>
                <w:sz w:val="32"/>
              </w:rPr>
              <w:t>运营商+平台数据</w:t>
            </w:r>
          </w:p>
        </w:tc>
        <w:tc>
          <w:tcPr>
            <w:tcW w:type="dxa" w:w="3118"/>
          </w:tcPr>
          <w:p>
            <w:pPr>
              <w:spacing w:lineRule="exact" w:line="600"/>
              <w:jc w:val="center"/>
            </w:pPr>
            <w:r/>
            <w:r>
              <w:rPr>
                <w:rFonts w:ascii="仿宋_GB2312" w:hAnsi="仿宋_GB2312" w:eastAsia="仿宋_GB2312"/>
                <w:b w:val="0"/>
                <w:color w:val="000000"/>
                <w:sz w:val="32"/>
              </w:rPr>
              <w:t>270表/298万条</w:t>
            </w:r>
          </w:p>
        </w:tc>
      </w:tr>
      <w:tr>
        <w:tc>
          <w:tcPr>
            <w:tcW w:type="dxa" w:w="2268"/>
          </w:tcPr>
          <w:p>
            <w:pPr>
              <w:spacing w:lineRule="exact" w:line="600"/>
              <w:jc w:val="center"/>
            </w:pPr>
            <w:r/>
            <w:r>
              <w:rPr>
                <w:rFonts w:ascii="仿宋_GB2312" w:hAnsi="仿宋_GB2312" w:eastAsia="仿宋_GB2312"/>
                <w:b w:val="0"/>
                <w:color w:val="000000"/>
                <w:sz w:val="32"/>
              </w:rPr>
              <w:t>平台</w:t>
            </w:r>
          </w:p>
        </w:tc>
        <w:tc>
          <w:tcPr>
            <w:tcW w:type="dxa" w:w="3685"/>
          </w:tcPr>
          <w:p>
            <w:pPr>
              <w:spacing w:lineRule="exact" w:line="600"/>
              <w:jc w:val="center"/>
            </w:pPr>
            <w:r/>
            <w:r>
              <w:rPr>
                <w:rFonts w:ascii="仿宋_GB2312" w:hAnsi="仿宋_GB2312" w:eastAsia="仿宋_GB2312"/>
                <w:b w:val="0"/>
                <w:color w:val="000000"/>
                <w:sz w:val="32"/>
              </w:rPr>
              <w:t>未来云/火山标注</w:t>
            </w:r>
          </w:p>
        </w:tc>
        <w:tc>
          <w:tcPr>
            <w:tcW w:type="dxa" w:w="3118"/>
          </w:tcPr>
          <w:p>
            <w:pPr>
              <w:spacing w:lineRule="exact" w:line="600"/>
              <w:jc w:val="center"/>
            </w:pPr>
            <w:r/>
            <w:r>
              <w:rPr>
                <w:rFonts w:ascii="仿宋_GB2312" w:hAnsi="仿宋_GB2312" w:eastAsia="仿宋_GB2312"/>
                <w:b w:val="0"/>
                <w:color w:val="000000"/>
                <w:sz w:val="32"/>
              </w:rPr>
              <w:t>数据标注基地</w:t>
            </w:r>
          </w:p>
        </w:tc>
      </w:tr>
      <w:tr>
        <w:tc>
          <w:tcPr>
            <w:tcW w:type="dxa" w:w="2268"/>
          </w:tcPr>
          <w:p>
            <w:pPr>
              <w:spacing w:lineRule="exact" w:line="600"/>
              <w:jc w:val="center"/>
            </w:pPr>
            <w:r/>
            <w:r>
              <w:rPr>
                <w:rFonts w:ascii="仿宋_GB2312" w:hAnsi="仿宋_GB2312" w:eastAsia="仿宋_GB2312"/>
                <w:b w:val="0"/>
                <w:color w:val="000000"/>
                <w:sz w:val="32"/>
              </w:rPr>
              <w:t>IT服务</w:t>
            </w:r>
          </w:p>
        </w:tc>
        <w:tc>
          <w:tcPr>
            <w:tcW w:type="dxa" w:w="3685"/>
          </w:tcPr>
          <w:p>
            <w:pPr>
              <w:spacing w:lineRule="exact" w:line="600"/>
              <w:jc w:val="center"/>
            </w:pPr>
            <w:r/>
            <w:r>
              <w:rPr>
                <w:rFonts w:ascii="仿宋_GB2312" w:hAnsi="仿宋_GB2312" w:eastAsia="仿宋_GB2312"/>
                <w:b w:val="0"/>
                <w:color w:val="000000"/>
                <w:sz w:val="32"/>
              </w:rPr>
              <w:t>东华/商汤</w:t>
            </w:r>
          </w:p>
        </w:tc>
        <w:tc>
          <w:tcPr>
            <w:tcW w:type="dxa" w:w="3118"/>
          </w:tcPr>
          <w:p>
            <w:pPr>
              <w:spacing w:lineRule="exact" w:line="600"/>
              <w:jc w:val="center"/>
            </w:pPr>
            <w:r/>
            <w:r>
              <w:rPr>
                <w:rFonts w:ascii="仿宋_GB2312" w:hAnsi="仿宋_GB2312" w:eastAsia="仿宋_GB2312"/>
                <w:b w:val="0"/>
                <w:color w:val="000000"/>
                <w:sz w:val="32"/>
              </w:rPr>
              <w:t>行业集成</w:t>
            </w:r>
          </w:p>
        </w:tc>
      </w:tr>
      <w:tr>
        <w:tc>
          <w:tcPr>
            <w:tcW w:type="dxa" w:w="2268"/>
          </w:tcPr>
          <w:p>
            <w:pPr>
              <w:spacing w:lineRule="exact" w:line="600"/>
              <w:jc w:val="center"/>
            </w:pPr>
            <w:r/>
            <w:r>
              <w:rPr>
                <w:rFonts w:ascii="仿宋_GB2312" w:hAnsi="仿宋_GB2312" w:eastAsia="仿宋_GB2312"/>
                <w:b w:val="0"/>
                <w:color w:val="000000"/>
                <w:sz w:val="32"/>
              </w:rPr>
              <w:t>载体</w:t>
            </w:r>
          </w:p>
        </w:tc>
        <w:tc>
          <w:tcPr>
            <w:tcW w:type="dxa" w:w="3685"/>
          </w:tcPr>
          <w:p>
            <w:pPr>
              <w:spacing w:lineRule="exact" w:line="600"/>
              <w:jc w:val="center"/>
            </w:pPr>
            <w:r/>
            <w:r>
              <w:rPr>
                <w:rFonts w:ascii="仿宋_GB2312" w:hAnsi="仿宋_GB2312" w:eastAsia="仿宋_GB2312"/>
                <w:b w:val="0"/>
                <w:color w:val="000000"/>
                <w:sz w:val="32"/>
              </w:rPr>
              <w:t>未来云谷</w:t>
            </w:r>
          </w:p>
        </w:tc>
        <w:tc>
          <w:tcPr>
            <w:tcW w:type="dxa" w:w="3118"/>
          </w:tcPr>
          <w:p>
            <w:pPr>
              <w:spacing w:lineRule="exact" w:line="600"/>
              <w:jc w:val="center"/>
            </w:pPr>
            <w:r/>
            <w:r>
              <w:rPr>
                <w:rFonts w:ascii="仿宋_GB2312" w:hAnsi="仿宋_GB2312" w:eastAsia="仿宋_GB2312"/>
                <w:b w:val="0"/>
                <w:color w:val="000000"/>
                <w:sz w:val="32"/>
              </w:rPr>
              <w:t>11.2万㎡</w:t>
            </w:r>
          </w:p>
        </w:tc>
      </w:tr>
      <w:tr>
        <w:tc>
          <w:tcPr>
            <w:tcW w:type="dxa" w:w="2268"/>
          </w:tcPr>
          <w:p>
            <w:pPr>
              <w:spacing w:lineRule="exact" w:line="600"/>
              <w:jc w:val="center"/>
            </w:pPr>
            <w:r/>
            <w:r>
              <w:rPr>
                <w:rFonts w:ascii="仿宋_GB2312" w:hAnsi="仿宋_GB2312" w:eastAsia="仿宋_GB2312"/>
                <w:b w:val="0"/>
                <w:color w:val="000000"/>
                <w:sz w:val="32"/>
              </w:rPr>
              <w:t>生态</w:t>
            </w:r>
          </w:p>
        </w:tc>
        <w:tc>
          <w:tcPr>
            <w:tcW w:type="dxa" w:w="3685"/>
          </w:tcPr>
          <w:p>
            <w:pPr>
              <w:spacing w:lineRule="exact" w:line="600"/>
              <w:jc w:val="center"/>
            </w:pPr>
            <w:r/>
            <w:r>
              <w:rPr>
                <w:rFonts w:ascii="仿宋_GB2312" w:hAnsi="仿宋_GB2312" w:eastAsia="仿宋_GB2312"/>
                <w:b w:val="0"/>
                <w:color w:val="000000"/>
                <w:sz w:val="32"/>
              </w:rPr>
              <w:t>上下楼上下游</w:t>
            </w:r>
          </w:p>
        </w:tc>
        <w:tc>
          <w:tcPr>
            <w:tcW w:type="dxa" w:w="3118"/>
          </w:tcPr>
          <w:p>
            <w:pPr>
              <w:spacing w:lineRule="exact" w:line="600"/>
              <w:jc w:val="center"/>
            </w:pPr>
            <w:r/>
            <w:r>
              <w:rPr>
                <w:rFonts w:ascii="仿宋_GB2312" w:hAnsi="仿宋_GB2312" w:eastAsia="仿宋_GB2312"/>
                <w:b w:val="0"/>
                <w:color w:val="000000"/>
                <w:sz w:val="32"/>
              </w:rPr>
              <w:t>7家龙头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政企数字化转型、数据交易与AI训练催生数据标注、数据资产、IT运维需求；危化品预警等行业专网需求明确（1289家重大危险源企业）（来源：济南市工信局，2024）。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济南IT服务企业集聚市中与高新区；市中以数据要素入表先发与确定性网络差异化，平台型企业兼具算力与场景（来源：行业共性研判、市中区，2024）。</w:t>
      </w:r>
    </w:p>
    <w:p>
      <w:pPr>
        <w:spacing w:lineRule="exact" w:line="600" w:before="120" w:after="120"/>
        <w:ind w:firstLine="420"/>
        <w:jc w:val="left"/>
      </w:pPr>
      <w:r>
        <w:rPr>
          <w:rFonts w:ascii="楷体_GB2312" w:hAnsi="楷体_GB2312" w:eastAsia="楷体_GB2312"/>
          <w:b w:val="0"/>
          <w:color w:val="000000"/>
          <w:sz w:val="32"/>
        </w:rPr>
        <w:t>（三）规模预期</w:t>
      </w:r>
    </w:p>
    <w:p>
      <w:pPr>
        <w:spacing w:lineRule="exact" w:line="600" w:before="0" w:after="0"/>
        <w:ind w:firstLine="420"/>
        <w:jc w:val="both"/>
      </w:pPr>
      <w:r>
        <w:rPr>
          <w:rFonts w:ascii="仿宋_GB2312" w:hAnsi="仿宋_GB2312" w:eastAsia="仿宋_GB2312"/>
          <w:b w:val="0"/>
          <w:color w:val="000000"/>
          <w:sz w:val="32"/>
        </w:rPr>
        <w:t>山东未来云谷全面运营后年均营收超60亿元、税收超3亿元、带动就业2万人以上；可租售面积11.2万㎡（来源：新浪财经，2025）。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入驻预期营收</w:t>
            </w:r>
          </w:p>
        </w:tc>
        <w:tc>
          <w:tcPr>
            <w:tcW w:type="dxa" w:w="3118"/>
          </w:tcPr>
          <w:p>
            <w:pPr>
              <w:spacing w:lineRule="exact" w:line="600"/>
              <w:jc w:val="center"/>
            </w:pPr>
            <w:r/>
            <w:r>
              <w:rPr>
                <w:rFonts w:ascii="仿宋_GB2312" w:hAnsi="仿宋_GB2312" w:eastAsia="仿宋_GB2312"/>
                <w:b w:val="0"/>
                <w:color w:val="000000"/>
                <w:sz w:val="32"/>
              </w:rPr>
              <w:t>超60亿元/年</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预期税收</w:t>
            </w:r>
          </w:p>
        </w:tc>
        <w:tc>
          <w:tcPr>
            <w:tcW w:type="dxa" w:w="3118"/>
          </w:tcPr>
          <w:p>
            <w:pPr>
              <w:spacing w:lineRule="exact" w:line="600"/>
              <w:jc w:val="center"/>
            </w:pPr>
            <w:r/>
            <w:r>
              <w:rPr>
                <w:rFonts w:ascii="仿宋_GB2312" w:hAnsi="仿宋_GB2312" w:eastAsia="仿宋_GB2312"/>
                <w:b w:val="0"/>
                <w:color w:val="000000"/>
                <w:sz w:val="32"/>
              </w:rPr>
              <w:t>超3亿元/年</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预期就业</w:t>
            </w:r>
          </w:p>
        </w:tc>
        <w:tc>
          <w:tcPr>
            <w:tcW w:type="dxa" w:w="3118"/>
          </w:tcPr>
          <w:p>
            <w:pPr>
              <w:spacing w:lineRule="exact" w:line="600"/>
              <w:jc w:val="center"/>
            </w:pPr>
            <w:r/>
            <w:r>
              <w:rPr>
                <w:rFonts w:ascii="仿宋_GB2312" w:hAnsi="仿宋_GB2312" w:eastAsia="仿宋_GB2312"/>
                <w:b w:val="0"/>
                <w:color w:val="000000"/>
                <w:sz w:val="32"/>
              </w:rPr>
              <w:t>2万人以上</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可租售面积</w:t>
            </w:r>
          </w:p>
        </w:tc>
        <w:tc>
          <w:tcPr>
            <w:tcW w:type="dxa" w:w="3118"/>
          </w:tcPr>
          <w:p>
            <w:pPr>
              <w:spacing w:lineRule="exact" w:line="600"/>
              <w:jc w:val="center"/>
            </w:pPr>
            <w:r/>
            <w:r>
              <w:rPr>
                <w:rFonts w:ascii="仿宋_GB2312" w:hAnsi="仿宋_GB2312" w:eastAsia="仿宋_GB2312"/>
                <w:b w:val="0"/>
                <w:color w:val="000000"/>
                <w:sz w:val="32"/>
              </w:rPr>
              <w:t>11.2万㎡</w:t>
            </w:r>
          </w:p>
        </w:tc>
        <w:tc>
          <w:tcPr>
            <w:tcW w:type="dxa" w:w="3118"/>
          </w:tcPr>
          <w:p>
            <w:pPr>
              <w:spacing w:lineRule="exact" w:line="600"/>
              <w:jc w:val="center"/>
            </w:pPr>
            <w:r/>
            <w:r>
              <w:rPr>
                <w:rFonts w:ascii="仿宋_GB2312" w:hAnsi="仿宋_GB2312" w:eastAsia="仿宋_GB2312"/>
                <w:b w:val="0"/>
                <w:color w:val="000000"/>
                <w:sz w:val="32"/>
              </w:rPr>
              <w:t>新浪财经，2025</w:t>
            </w:r>
          </w:p>
        </w:tc>
      </w:tr>
      <w:tr>
        <w:tc>
          <w:tcPr>
            <w:tcW w:type="dxa" w:w="2835"/>
          </w:tcPr>
          <w:p>
            <w:pPr>
              <w:spacing w:lineRule="exact" w:line="600"/>
              <w:jc w:val="center"/>
            </w:pPr>
            <w:r/>
            <w:r>
              <w:rPr>
                <w:rFonts w:ascii="仿宋_GB2312" w:hAnsi="仿宋_GB2312" w:eastAsia="仿宋_GB2312"/>
                <w:b w:val="0"/>
                <w:color w:val="000000"/>
                <w:sz w:val="32"/>
              </w:rPr>
              <w:t>数智信通目标</w:t>
            </w:r>
          </w:p>
        </w:tc>
        <w:tc>
          <w:tcPr>
            <w:tcW w:type="dxa" w:w="3118"/>
          </w:tcPr>
          <w:p>
            <w:pPr>
              <w:spacing w:lineRule="exact" w:line="600"/>
              <w:jc w:val="center"/>
            </w:pPr>
            <w:r/>
            <w:r>
              <w:rPr>
                <w:rFonts w:ascii="仿宋_GB2312" w:hAnsi="仿宋_GB2312" w:eastAsia="仿宋_GB2312"/>
                <w:b w:val="0"/>
                <w:color w:val="000000"/>
                <w:sz w:val="32"/>
              </w:rPr>
              <w:t>160亿元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（一）平台龙头</w:t>
      </w:r>
    </w:p>
    <w:p>
      <w:pPr>
        <w:spacing w:lineRule="exact" w:line="600" w:before="0" w:after="0"/>
        <w:ind w:firstLine="420"/>
        <w:jc w:val="both"/>
      </w:pPr>
      <w:r>
        <w:rPr>
          <w:rFonts w:ascii="仿宋_GB2312" w:hAnsi="仿宋_GB2312" w:eastAsia="仿宋_GB2312"/>
          <w:b w:val="0"/>
          <w:color w:val="000000"/>
          <w:sz w:val="32"/>
        </w:rPr>
        <w:t>山东未来集团（未来云平台）、市中未来数字（数据入表平台）、火山引擎（数据标注）、能建数科华东总部（综合能源平台）构成平台梯队（来源：济南市工信局、市中区，2024）。</w:t>
      </w:r>
    </w:p>
    <w:p>
      <w:pPr>
        <w:spacing w:lineRule="exact" w:line="600" w:before="120" w:after="120"/>
        <w:ind w:firstLine="420"/>
        <w:jc w:val="left"/>
      </w:pPr>
      <w:r>
        <w:rPr>
          <w:rFonts w:ascii="楷体_GB2312" w:hAnsi="楷体_GB2312" w:eastAsia="楷体_GB2312"/>
          <w:b w:val="0"/>
          <w:color w:val="000000"/>
          <w:sz w:val="32"/>
        </w:rPr>
        <w:t>（二）运营商总部</w:t>
      </w:r>
    </w:p>
    <w:p>
      <w:pPr>
        <w:spacing w:lineRule="exact" w:line="600" w:before="0" w:after="0"/>
        <w:ind w:firstLine="420"/>
        <w:jc w:val="both"/>
      </w:pPr>
      <w:r>
        <w:rPr>
          <w:rFonts w:ascii="仿宋_GB2312" w:hAnsi="仿宋_GB2312" w:eastAsia="仿宋_GB2312"/>
          <w:b w:val="0"/>
          <w:color w:val="000000"/>
          <w:sz w:val="32"/>
        </w:rPr>
        <w:t>移动、联通、铁塔省市总部集聚市中，提供5G、算力与连接底座，是数字平台运营的基础支撑（来源：市中区报道、2026政府工作报告，2024—2026）。</w:t>
      </w:r>
    </w:p>
    <w:p>
      <w:pPr>
        <w:spacing w:lineRule="exact" w:line="600" w:before="120" w:after="120"/>
        <w:ind w:firstLine="420"/>
        <w:jc w:val="left"/>
      </w:pPr>
      <w:r>
        <w:rPr>
          <w:rFonts w:ascii="楷体_GB2312" w:hAnsi="楷体_GB2312" w:eastAsia="楷体_GB2312"/>
          <w:b w:val="0"/>
          <w:color w:val="000000"/>
          <w:sz w:val="32"/>
        </w:rPr>
        <w:t>（三）软件与集成</w:t>
      </w:r>
    </w:p>
    <w:p>
      <w:pPr>
        <w:spacing w:lineRule="exact" w:line="600" w:before="0" w:after="0"/>
        <w:ind w:firstLine="420"/>
        <w:jc w:val="both"/>
      </w:pPr>
      <w:r>
        <w:rPr>
          <w:rFonts w:ascii="仿宋_GB2312" w:hAnsi="仿宋_GB2312" w:eastAsia="仿宋_GB2312"/>
          <w:b w:val="0"/>
          <w:color w:val="000000"/>
          <w:sz w:val="32"/>
        </w:rPr>
        <w:t>阿里巴巴、东华软件、商汤等提供云、AI与行业解决方案；园区招商「招大引强+招小招早招硬科技」，培育专精特新（来源：新华网、市中区，2024）。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主体</w:t>
            </w:r>
          </w:p>
        </w:tc>
        <w:tc>
          <w:tcPr>
            <w:tcW w:type="dxa" w:w="2835"/>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数据</w:t>
            </w:r>
          </w:p>
        </w:tc>
      </w:tr>
      <w:tr>
        <w:tc>
          <w:tcPr>
            <w:tcW w:type="dxa" w:w="2551"/>
          </w:tcPr>
          <w:p>
            <w:pPr>
              <w:spacing w:lineRule="exact" w:line="600"/>
              <w:jc w:val="center"/>
            </w:pPr>
            <w:r/>
            <w:r>
              <w:rPr>
                <w:rFonts w:ascii="仿宋_GB2312" w:hAnsi="仿宋_GB2312" w:eastAsia="仿宋_GB2312"/>
                <w:b w:val="0"/>
                <w:color w:val="000000"/>
                <w:sz w:val="32"/>
              </w:rPr>
              <w:t>山东未来集团</w:t>
            </w:r>
          </w:p>
        </w:tc>
        <w:tc>
          <w:tcPr>
            <w:tcW w:type="dxa" w:w="2835"/>
          </w:tcPr>
          <w:p>
            <w:pPr>
              <w:spacing w:lineRule="exact" w:line="600"/>
              <w:jc w:val="center"/>
            </w:pPr>
            <w:r/>
            <w:r>
              <w:rPr>
                <w:rFonts w:ascii="仿宋_GB2312" w:hAnsi="仿宋_GB2312" w:eastAsia="仿宋_GB2312"/>
                <w:b w:val="0"/>
                <w:color w:val="000000"/>
                <w:sz w:val="32"/>
              </w:rPr>
              <w:t>未来云平台</w:t>
            </w:r>
          </w:p>
        </w:tc>
        <w:tc>
          <w:tcPr>
            <w:tcW w:type="dxa" w:w="3685"/>
          </w:tcPr>
          <w:p>
            <w:pPr>
              <w:spacing w:lineRule="exact" w:line="600"/>
              <w:jc w:val="center"/>
            </w:pPr>
            <w:r/>
            <w:r>
              <w:rPr>
                <w:rFonts w:ascii="仿宋_GB2312" w:hAnsi="仿宋_GB2312" w:eastAsia="仿宋_GB2312"/>
                <w:b w:val="0"/>
                <w:color w:val="000000"/>
                <w:sz w:val="32"/>
              </w:rPr>
              <w:t>15000PFLOPS</w:t>
            </w:r>
          </w:p>
        </w:tc>
      </w:tr>
      <w:tr>
        <w:tc>
          <w:tcPr>
            <w:tcW w:type="dxa" w:w="2551"/>
          </w:tcPr>
          <w:p>
            <w:pPr>
              <w:spacing w:lineRule="exact" w:line="600"/>
              <w:jc w:val="center"/>
            </w:pPr>
            <w:r/>
            <w:r>
              <w:rPr>
                <w:rFonts w:ascii="仿宋_GB2312" w:hAnsi="仿宋_GB2312" w:eastAsia="仿宋_GB2312"/>
                <w:b w:val="0"/>
                <w:color w:val="000000"/>
                <w:sz w:val="32"/>
              </w:rPr>
              <w:t>市中未来数字</w:t>
            </w:r>
          </w:p>
        </w:tc>
        <w:tc>
          <w:tcPr>
            <w:tcW w:type="dxa" w:w="2835"/>
          </w:tcPr>
          <w:p>
            <w:pPr>
              <w:spacing w:lineRule="exact" w:line="600"/>
              <w:jc w:val="center"/>
            </w:pPr>
            <w:r/>
            <w:r>
              <w:rPr>
                <w:rFonts w:ascii="仿宋_GB2312" w:hAnsi="仿宋_GB2312" w:eastAsia="仿宋_GB2312"/>
                <w:b w:val="0"/>
                <w:color w:val="000000"/>
                <w:sz w:val="32"/>
              </w:rPr>
              <w:t>数据入表</w:t>
            </w:r>
          </w:p>
        </w:tc>
        <w:tc>
          <w:tcPr>
            <w:tcW w:type="dxa" w:w="3685"/>
          </w:tcPr>
          <w:p>
            <w:pPr>
              <w:spacing w:lineRule="exact" w:line="600"/>
              <w:jc w:val="center"/>
            </w:pPr>
            <w:r/>
            <w:r>
              <w:rPr>
                <w:rFonts w:ascii="仿宋_GB2312" w:hAnsi="仿宋_GB2312" w:eastAsia="仿宋_GB2312"/>
                <w:b w:val="0"/>
                <w:color w:val="000000"/>
                <w:sz w:val="32"/>
              </w:rPr>
              <w:t>270表/298万条</w:t>
            </w:r>
          </w:p>
        </w:tc>
      </w:tr>
      <w:tr>
        <w:tc>
          <w:tcPr>
            <w:tcW w:type="dxa" w:w="2551"/>
          </w:tcPr>
          <w:p>
            <w:pPr>
              <w:spacing w:lineRule="exact" w:line="600"/>
              <w:jc w:val="center"/>
            </w:pPr>
            <w:r/>
            <w:r>
              <w:rPr>
                <w:rFonts w:ascii="仿宋_GB2312" w:hAnsi="仿宋_GB2312" w:eastAsia="仿宋_GB2312"/>
                <w:b w:val="0"/>
                <w:color w:val="000000"/>
                <w:sz w:val="32"/>
              </w:rPr>
              <w:t>火山引擎</w:t>
            </w:r>
          </w:p>
        </w:tc>
        <w:tc>
          <w:tcPr>
            <w:tcW w:type="dxa" w:w="2835"/>
          </w:tcPr>
          <w:p>
            <w:pPr>
              <w:spacing w:lineRule="exact" w:line="600"/>
              <w:jc w:val="center"/>
            </w:pPr>
            <w:r/>
            <w:r>
              <w:rPr>
                <w:rFonts w:ascii="仿宋_GB2312" w:hAnsi="仿宋_GB2312" w:eastAsia="仿宋_GB2312"/>
                <w:b w:val="0"/>
                <w:color w:val="000000"/>
                <w:sz w:val="32"/>
              </w:rPr>
              <w:t>数据标注</w:t>
            </w:r>
          </w:p>
        </w:tc>
        <w:tc>
          <w:tcPr>
            <w:tcW w:type="dxa" w:w="3685"/>
          </w:tcPr>
          <w:p>
            <w:pPr>
              <w:spacing w:lineRule="exact" w:line="600"/>
              <w:jc w:val="center"/>
            </w:pPr>
            <w:r/>
            <w:r>
              <w:rPr>
                <w:rFonts w:ascii="仿宋_GB2312" w:hAnsi="仿宋_GB2312" w:eastAsia="仿宋_GB2312"/>
                <w:b w:val="0"/>
                <w:color w:val="000000"/>
                <w:sz w:val="32"/>
              </w:rPr>
              <w:t>字节合作</w:t>
            </w:r>
          </w:p>
        </w:tc>
      </w:tr>
      <w:tr>
        <w:tc>
          <w:tcPr>
            <w:tcW w:type="dxa" w:w="2551"/>
          </w:tcPr>
          <w:p>
            <w:pPr>
              <w:spacing w:lineRule="exact" w:line="600"/>
              <w:jc w:val="center"/>
            </w:pPr>
            <w:r/>
            <w:r>
              <w:rPr>
                <w:rFonts w:ascii="仿宋_GB2312" w:hAnsi="仿宋_GB2312" w:eastAsia="仿宋_GB2312"/>
                <w:b w:val="0"/>
                <w:color w:val="000000"/>
                <w:sz w:val="32"/>
              </w:rPr>
              <w:t>运营商总部</w:t>
            </w:r>
          </w:p>
        </w:tc>
        <w:tc>
          <w:tcPr>
            <w:tcW w:type="dxa" w:w="2835"/>
          </w:tcPr>
          <w:p>
            <w:pPr>
              <w:spacing w:lineRule="exact" w:line="600"/>
              <w:jc w:val="center"/>
            </w:pPr>
            <w:r/>
            <w:r>
              <w:rPr>
                <w:rFonts w:ascii="仿宋_GB2312" w:hAnsi="仿宋_GB2312" w:eastAsia="仿宋_GB2312"/>
                <w:b w:val="0"/>
                <w:color w:val="000000"/>
                <w:sz w:val="32"/>
              </w:rPr>
              <w:t>移动/联通/铁塔</w:t>
            </w:r>
          </w:p>
        </w:tc>
        <w:tc>
          <w:tcPr>
            <w:tcW w:type="dxa" w:w="3685"/>
          </w:tcPr>
          <w:p>
            <w:pPr>
              <w:spacing w:lineRule="exact" w:line="600"/>
              <w:jc w:val="center"/>
            </w:pPr>
            <w:r/>
            <w:r>
              <w:rPr>
                <w:rFonts w:ascii="仿宋_GB2312" w:hAnsi="仿宋_GB2312" w:eastAsia="仿宋_GB2312"/>
                <w:b w:val="0"/>
                <w:color w:val="000000"/>
                <w:sz w:val="32"/>
              </w:rPr>
              <w:t>省市总部集聚</w:t>
            </w:r>
          </w:p>
        </w:tc>
      </w:tr>
      <w:tr>
        <w:tc>
          <w:tcPr>
            <w:tcW w:type="dxa" w:w="2551"/>
          </w:tcPr>
          <w:p>
            <w:pPr>
              <w:spacing w:lineRule="exact" w:line="600"/>
              <w:jc w:val="center"/>
            </w:pPr>
            <w:r/>
            <w:r>
              <w:rPr>
                <w:rFonts w:ascii="仿宋_GB2312" w:hAnsi="仿宋_GB2312" w:eastAsia="仿宋_GB2312"/>
                <w:b w:val="0"/>
                <w:color w:val="000000"/>
                <w:sz w:val="32"/>
              </w:rPr>
              <w:t>能建数科</w:t>
            </w:r>
          </w:p>
        </w:tc>
        <w:tc>
          <w:tcPr>
            <w:tcW w:type="dxa" w:w="2835"/>
          </w:tcPr>
          <w:p>
            <w:pPr>
              <w:spacing w:lineRule="exact" w:line="600"/>
              <w:jc w:val="center"/>
            </w:pPr>
            <w:r/>
            <w:r>
              <w:rPr>
                <w:rFonts w:ascii="仿宋_GB2312" w:hAnsi="仿宋_GB2312" w:eastAsia="仿宋_GB2312"/>
                <w:b w:val="0"/>
                <w:color w:val="000000"/>
                <w:sz w:val="32"/>
              </w:rPr>
              <w:t>综合能源平台</w:t>
            </w:r>
          </w:p>
        </w:tc>
        <w:tc>
          <w:tcPr>
            <w:tcW w:type="dxa" w:w="3685"/>
          </w:tcPr>
          <w:p>
            <w:pPr>
              <w:spacing w:lineRule="exact" w:line="600"/>
              <w:jc w:val="center"/>
            </w:pPr>
            <w:r/>
            <w:r>
              <w:rPr>
                <w:rFonts w:ascii="仿宋_GB2312" w:hAnsi="仿宋_GB2312" w:eastAsia="仿宋_GB2312"/>
                <w:b w:val="0"/>
                <w:color w:val="000000"/>
                <w:sz w:val="32"/>
              </w:rPr>
              <w:t>华东总部</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（一）数据资产化技术</w:t>
      </w:r>
    </w:p>
    <w:p>
      <w:pPr>
        <w:spacing w:lineRule="exact" w:line="600" w:before="0" w:after="0"/>
        <w:ind w:firstLine="420"/>
        <w:jc w:val="both"/>
      </w:pPr>
      <w:r>
        <w:rPr>
          <w:rFonts w:ascii="仿宋_GB2312" w:hAnsi="仿宋_GB2312" w:eastAsia="仿宋_GB2312"/>
          <w:b w:val="0"/>
          <w:color w:val="000000"/>
          <w:sz w:val="32"/>
        </w:rPr>
        <w:t>市中未来数字公司基于确定性算网低碳示范园区运营数据完成资源入表，规模270个数据表、2983286条，获省数据交易有限公司登记证书，开创区县数据资产化先河（来源：市中区工信局，2024）。</w:t>
      </w:r>
    </w:p>
    <w:p>
      <w:pPr>
        <w:spacing w:lineRule="exact" w:line="600" w:before="120" w:after="120"/>
        <w:ind w:firstLine="420"/>
        <w:jc w:val="left"/>
      </w:pPr>
      <w:r>
        <w:rPr>
          <w:rFonts w:ascii="楷体_GB2312" w:hAnsi="楷体_GB2312" w:eastAsia="楷体_GB2312"/>
          <w:b w:val="0"/>
          <w:color w:val="000000"/>
          <w:sz w:val="32"/>
        </w:rPr>
        <w:t>（二）数据标注与治理</w:t>
      </w:r>
    </w:p>
    <w:p>
      <w:pPr>
        <w:spacing w:lineRule="exact" w:line="600" w:before="0" w:after="0"/>
        <w:ind w:firstLine="420"/>
        <w:jc w:val="both"/>
      </w:pPr>
      <w:r>
        <w:rPr>
          <w:rFonts w:ascii="仿宋_GB2312" w:hAnsi="仿宋_GB2312" w:eastAsia="仿宋_GB2312"/>
          <w:b w:val="0"/>
          <w:color w:val="000000"/>
          <w:sz w:val="32"/>
        </w:rPr>
        <w:t>园区与火山引擎共建数据标注基地，专注知识产权专利导航；确定性网络保障数据低时延流通与可信空间（来源：济南市工信局，2024）。</w:t>
      </w:r>
    </w:p>
    <w:p>
      <w:pPr>
        <w:spacing w:lineRule="exact" w:line="600" w:before="120" w:after="120"/>
        <w:ind w:firstLine="420"/>
        <w:jc w:val="left"/>
      </w:pPr>
      <w:r>
        <w:rPr>
          <w:rFonts w:ascii="楷体_GB2312" w:hAnsi="楷体_GB2312" w:eastAsia="楷体_GB2312"/>
          <w:b w:val="0"/>
          <w:color w:val="000000"/>
          <w:sz w:val="32"/>
        </w:rPr>
        <w:t>（三）行业平台技术</w:t>
      </w:r>
    </w:p>
    <w:p>
      <w:pPr>
        <w:spacing w:lineRule="exact" w:line="600" w:before="0" w:after="0"/>
        <w:ind w:firstLine="420"/>
        <w:jc w:val="both"/>
      </w:pPr>
      <w:r>
        <w:rPr>
          <w:rFonts w:ascii="仿宋_GB2312" w:hAnsi="仿宋_GB2312" w:eastAsia="仿宋_GB2312"/>
          <w:b w:val="0"/>
          <w:color w:val="000000"/>
          <w:sz w:val="32"/>
        </w:rPr>
        <w:t>未来集团网算能一体化平台、能建数科综合能源平台体现行业PaaS能力；危化品预警专网联通1289家重大危险源企业（来源：济南市工信局，2024）。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402"/>
          </w:tcPr>
          <w:p>
            <w:pPr>
              <w:spacing w:lineRule="exact" w:line="600"/>
              <w:jc w:val="center"/>
            </w:pPr>
            <w:r/>
            <w:r>
              <w:rPr>
                <w:rFonts w:ascii="黑体" w:hAnsi="黑体" w:eastAsia="黑体"/>
                <w:b/>
                <w:color w:val="000000"/>
                <w:sz w:val="32"/>
              </w:rPr>
              <w:t>水平</w:t>
            </w:r>
          </w:p>
        </w:tc>
      </w:tr>
      <w:tr>
        <w:tc>
          <w:tcPr>
            <w:tcW w:type="dxa" w:w="2551"/>
          </w:tcPr>
          <w:p>
            <w:pPr>
              <w:spacing w:lineRule="exact" w:line="600"/>
              <w:jc w:val="center"/>
            </w:pPr>
            <w:r/>
            <w:r>
              <w:rPr>
                <w:rFonts w:ascii="仿宋_GB2312" w:hAnsi="仿宋_GB2312" w:eastAsia="仿宋_GB2312"/>
                <w:b w:val="0"/>
                <w:color w:val="000000"/>
                <w:sz w:val="32"/>
              </w:rPr>
              <w:t>数据入表</w:t>
            </w:r>
          </w:p>
        </w:tc>
        <w:tc>
          <w:tcPr>
            <w:tcW w:type="dxa" w:w="3118"/>
          </w:tcPr>
          <w:p>
            <w:pPr>
              <w:spacing w:lineRule="exact" w:line="600"/>
              <w:jc w:val="center"/>
            </w:pPr>
            <w:r/>
            <w:r>
              <w:rPr>
                <w:rFonts w:ascii="仿宋_GB2312" w:hAnsi="仿宋_GB2312" w:eastAsia="仿宋_GB2312"/>
                <w:b w:val="0"/>
                <w:color w:val="000000"/>
                <w:sz w:val="32"/>
              </w:rPr>
              <w:t>270表/298万条</w:t>
            </w:r>
          </w:p>
        </w:tc>
        <w:tc>
          <w:tcPr>
            <w:tcW w:type="dxa" w:w="3402"/>
          </w:tcPr>
          <w:p>
            <w:pPr>
              <w:spacing w:lineRule="exact" w:line="600"/>
              <w:jc w:val="center"/>
            </w:pPr>
            <w:r/>
            <w:r>
              <w:rPr>
                <w:rFonts w:ascii="仿宋_GB2312" w:hAnsi="仿宋_GB2312" w:eastAsia="仿宋_GB2312"/>
                <w:b w:val="0"/>
                <w:color w:val="000000"/>
                <w:sz w:val="32"/>
              </w:rPr>
              <w:t>省内区县首家</w:t>
            </w:r>
          </w:p>
        </w:tc>
      </w:tr>
      <w:tr>
        <w:tc>
          <w:tcPr>
            <w:tcW w:type="dxa" w:w="2551"/>
          </w:tcPr>
          <w:p>
            <w:pPr>
              <w:spacing w:lineRule="exact" w:line="600"/>
              <w:jc w:val="center"/>
            </w:pPr>
            <w:r/>
            <w:r>
              <w:rPr>
                <w:rFonts w:ascii="仿宋_GB2312" w:hAnsi="仿宋_GB2312" w:eastAsia="仿宋_GB2312"/>
                <w:b w:val="0"/>
                <w:color w:val="000000"/>
                <w:sz w:val="32"/>
              </w:rPr>
              <w:t>数据标注</w:t>
            </w:r>
          </w:p>
        </w:tc>
        <w:tc>
          <w:tcPr>
            <w:tcW w:type="dxa" w:w="3118"/>
          </w:tcPr>
          <w:p>
            <w:pPr>
              <w:spacing w:lineRule="exact" w:line="600"/>
              <w:jc w:val="center"/>
            </w:pPr>
            <w:r/>
            <w:r>
              <w:rPr>
                <w:rFonts w:ascii="仿宋_GB2312" w:hAnsi="仿宋_GB2312" w:eastAsia="仿宋_GB2312"/>
                <w:b w:val="0"/>
                <w:color w:val="000000"/>
                <w:sz w:val="32"/>
              </w:rPr>
              <w:t>火山引擎基地</w:t>
            </w:r>
          </w:p>
        </w:tc>
        <w:tc>
          <w:tcPr>
            <w:tcW w:type="dxa" w:w="3402"/>
          </w:tcPr>
          <w:p>
            <w:pPr>
              <w:spacing w:lineRule="exact" w:line="600"/>
              <w:jc w:val="center"/>
            </w:pPr>
            <w:r/>
            <w:r>
              <w:rPr>
                <w:rFonts w:ascii="仿宋_GB2312" w:hAnsi="仿宋_GB2312" w:eastAsia="仿宋_GB2312"/>
                <w:b w:val="0"/>
                <w:color w:val="000000"/>
                <w:sz w:val="32"/>
              </w:rPr>
              <w:t>专利导航</w:t>
            </w:r>
          </w:p>
        </w:tc>
      </w:tr>
      <w:tr>
        <w:tc>
          <w:tcPr>
            <w:tcW w:type="dxa" w:w="2551"/>
          </w:tcPr>
          <w:p>
            <w:pPr>
              <w:spacing w:lineRule="exact" w:line="600"/>
              <w:jc w:val="center"/>
            </w:pPr>
            <w:r/>
            <w:r>
              <w:rPr>
                <w:rFonts w:ascii="仿宋_GB2312" w:hAnsi="仿宋_GB2312" w:eastAsia="仿宋_GB2312"/>
                <w:b w:val="0"/>
                <w:color w:val="000000"/>
                <w:sz w:val="32"/>
              </w:rPr>
              <w:t>行业平台</w:t>
            </w:r>
          </w:p>
        </w:tc>
        <w:tc>
          <w:tcPr>
            <w:tcW w:type="dxa" w:w="3118"/>
          </w:tcPr>
          <w:p>
            <w:pPr>
              <w:spacing w:lineRule="exact" w:line="600"/>
              <w:jc w:val="center"/>
            </w:pPr>
            <w:r/>
            <w:r>
              <w:rPr>
                <w:rFonts w:ascii="仿宋_GB2312" w:hAnsi="仿宋_GB2312" w:eastAsia="仿宋_GB2312"/>
                <w:b w:val="0"/>
                <w:color w:val="000000"/>
                <w:sz w:val="32"/>
              </w:rPr>
              <w:t>未来云/能建</w:t>
            </w:r>
          </w:p>
        </w:tc>
        <w:tc>
          <w:tcPr>
            <w:tcW w:type="dxa" w:w="3402"/>
          </w:tcPr>
          <w:p>
            <w:pPr>
              <w:spacing w:lineRule="exact" w:line="600"/>
              <w:jc w:val="center"/>
            </w:pPr>
            <w:r/>
            <w:r>
              <w:rPr>
                <w:rFonts w:ascii="仿宋_GB2312" w:hAnsi="仿宋_GB2312" w:eastAsia="仿宋_GB2312"/>
                <w:b w:val="0"/>
                <w:color w:val="000000"/>
                <w:sz w:val="32"/>
              </w:rPr>
              <w:t>PaaS能力</w:t>
            </w:r>
          </w:p>
        </w:tc>
      </w:tr>
      <w:tr>
        <w:tc>
          <w:tcPr>
            <w:tcW w:type="dxa" w:w="2551"/>
          </w:tcPr>
          <w:p>
            <w:pPr>
              <w:spacing w:lineRule="exact" w:line="600"/>
              <w:jc w:val="center"/>
            </w:pPr>
            <w:r/>
            <w:r>
              <w:rPr>
                <w:rFonts w:ascii="仿宋_GB2312" w:hAnsi="仿宋_GB2312" w:eastAsia="仿宋_GB2312"/>
                <w:b w:val="0"/>
                <w:color w:val="000000"/>
                <w:sz w:val="32"/>
              </w:rPr>
              <w:t>专网</w:t>
            </w:r>
          </w:p>
        </w:tc>
        <w:tc>
          <w:tcPr>
            <w:tcW w:type="dxa" w:w="3118"/>
          </w:tcPr>
          <w:p>
            <w:pPr>
              <w:spacing w:lineRule="exact" w:line="600"/>
              <w:jc w:val="center"/>
            </w:pPr>
            <w:r/>
            <w:r>
              <w:rPr>
                <w:rFonts w:ascii="仿宋_GB2312" w:hAnsi="仿宋_GB2312" w:eastAsia="仿宋_GB2312"/>
                <w:b w:val="0"/>
                <w:color w:val="000000"/>
                <w:sz w:val="32"/>
              </w:rPr>
              <w:t>危化品预警</w:t>
            </w:r>
          </w:p>
        </w:tc>
        <w:tc>
          <w:tcPr>
            <w:tcW w:type="dxa" w:w="3402"/>
          </w:tcPr>
          <w:p>
            <w:pPr>
              <w:spacing w:lineRule="exact" w:line="600"/>
              <w:jc w:val="center"/>
            </w:pPr>
            <w:r/>
            <w:r>
              <w:rPr>
                <w:rFonts w:ascii="仿宋_GB2312" w:hAnsi="仿宋_GB2312" w:eastAsia="仿宋_GB2312"/>
                <w:b w:val="0"/>
                <w:color w:val="000000"/>
                <w:sz w:val="32"/>
              </w:rPr>
              <w:t>1289家重源</w:t>
            </w:r>
          </w:p>
        </w:tc>
      </w:tr>
      <w:tr>
        <w:tc>
          <w:tcPr>
            <w:tcW w:type="dxa" w:w="2551"/>
          </w:tcPr>
          <w:p>
            <w:pPr>
              <w:spacing w:lineRule="exact" w:line="600"/>
              <w:jc w:val="center"/>
            </w:pPr>
            <w:r/>
            <w:r>
              <w:rPr>
                <w:rFonts w:ascii="仿宋_GB2312" w:hAnsi="仿宋_GB2312" w:eastAsia="仿宋_GB2312"/>
                <w:b w:val="0"/>
                <w:color w:val="000000"/>
                <w:sz w:val="32"/>
              </w:rPr>
              <w:t>网络</w:t>
            </w:r>
          </w:p>
        </w:tc>
        <w:tc>
          <w:tcPr>
            <w:tcW w:type="dxa" w:w="3118"/>
          </w:tcPr>
          <w:p>
            <w:pPr>
              <w:spacing w:lineRule="exact" w:line="600"/>
              <w:jc w:val="center"/>
            </w:pPr>
            <w:r/>
            <w:r>
              <w:rPr>
                <w:rFonts w:ascii="仿宋_GB2312" w:hAnsi="仿宋_GB2312" w:eastAsia="仿宋_GB2312"/>
                <w:b w:val="0"/>
                <w:color w:val="000000"/>
                <w:sz w:val="32"/>
              </w:rPr>
              <w:t>确定性网络</w:t>
            </w:r>
          </w:p>
        </w:tc>
        <w:tc>
          <w:tcPr>
            <w:tcW w:type="dxa" w:w="3402"/>
          </w:tcPr>
          <w:p>
            <w:pPr>
              <w:spacing w:lineRule="exact" w:line="600"/>
              <w:jc w:val="center"/>
            </w:pPr>
            <w:r/>
            <w:r>
              <w:rPr>
                <w:rFonts w:ascii="仿宋_GB2312" w:hAnsi="仿宋_GB2312" w:eastAsia="仿宋_GB2312"/>
                <w:b w:val="0"/>
                <w:color w:val="000000"/>
                <w:sz w:val="32"/>
              </w:rPr>
              <w:t>低时延可信</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（一）运营成本</w:t>
      </w:r>
    </w:p>
    <w:p>
      <w:pPr>
        <w:spacing w:lineRule="exact" w:line="600" w:before="0" w:after="0"/>
        <w:ind w:firstLine="420"/>
        <w:jc w:val="both"/>
      </w:pPr>
      <w:r>
        <w:rPr>
          <w:rFonts w:ascii="仿宋_GB2312" w:hAnsi="仿宋_GB2312" w:eastAsia="仿宋_GB2312"/>
          <w:b w:val="0"/>
          <w:color w:val="000000"/>
          <w:sz w:val="32"/>
        </w:rPr>
        <w:t>数据平台运营成本以算力、存储与带宽为主；确定性网络与绿电降低传输与能耗成本（来源：济南市工信局，2024）。</w:t>
      </w:r>
    </w:p>
    <w:p>
      <w:pPr>
        <w:spacing w:lineRule="exact" w:line="600" w:before="120" w:after="120"/>
        <w:ind w:firstLine="420"/>
        <w:jc w:val="left"/>
      </w:pPr>
      <w:r>
        <w:rPr>
          <w:rFonts w:ascii="楷体_GB2312" w:hAnsi="楷体_GB2312" w:eastAsia="楷体_GB2312"/>
          <w:b w:val="0"/>
          <w:color w:val="000000"/>
          <w:sz w:val="32"/>
        </w:rPr>
        <w:t>（二）盈利模式</w:t>
      </w:r>
    </w:p>
    <w:p>
      <w:pPr>
        <w:spacing w:lineRule="exact" w:line="600" w:before="0" w:after="0"/>
        <w:ind w:firstLine="420"/>
        <w:jc w:val="both"/>
      </w:pPr>
      <w:r>
        <w:rPr>
          <w:rFonts w:ascii="仿宋_GB2312" w:hAnsi="仿宋_GB2312" w:eastAsia="仿宋_GB2312"/>
          <w:b w:val="0"/>
          <w:color w:val="000000"/>
          <w:sz w:val="32"/>
        </w:rPr>
        <w:t>平台以订阅、交易佣金、解决方案与数据资产融资多元变现；未来云谷全面运营后年均营收超60亿元、税收超3亿元，投入产出率2.1%（来源：新浪财经、济南市工信局，2024—2025）。</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市中区推进四个数据中心建设，运营商总部提供连接，院校资源支撑人才；数据交易公司与资产登记完善要素市场（来源：市中区工信局、2026政府工作报告，2024—2026）。</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算力</w:t>
            </w:r>
          </w:p>
        </w:tc>
        <w:tc>
          <w:tcPr>
            <w:tcW w:type="dxa" w:w="3402"/>
          </w:tcPr>
          <w:p>
            <w:pPr>
              <w:spacing w:lineRule="exact" w:line="600"/>
              <w:jc w:val="center"/>
            </w:pPr>
            <w:r/>
            <w:r>
              <w:rPr>
                <w:rFonts w:ascii="仿宋_GB2312" w:hAnsi="仿宋_GB2312" w:eastAsia="仿宋_GB2312"/>
                <w:b w:val="0"/>
                <w:color w:val="000000"/>
                <w:sz w:val="32"/>
              </w:rPr>
              <w:t>四大节点</w:t>
            </w:r>
          </w:p>
        </w:tc>
        <w:tc>
          <w:tcPr>
            <w:tcW w:type="dxa" w:w="3402"/>
          </w:tcPr>
          <w:p>
            <w:pPr>
              <w:spacing w:lineRule="exact" w:line="600"/>
              <w:jc w:val="center"/>
            </w:pPr>
            <w:r/>
            <w:r>
              <w:rPr>
                <w:rFonts w:ascii="仿宋_GB2312" w:hAnsi="仿宋_GB2312" w:eastAsia="仿宋_GB2312"/>
                <w:b w:val="0"/>
                <w:color w:val="000000"/>
                <w:sz w:val="32"/>
              </w:rPr>
              <w:t>训练推理</w:t>
            </w:r>
          </w:p>
        </w:tc>
      </w:tr>
      <w:tr>
        <w:tc>
          <w:tcPr>
            <w:tcW w:type="dxa" w:w="2268"/>
          </w:tcPr>
          <w:p>
            <w:pPr>
              <w:spacing w:lineRule="exact" w:line="600"/>
              <w:jc w:val="center"/>
            </w:pPr>
            <w:r/>
            <w:r>
              <w:rPr>
                <w:rFonts w:ascii="仿宋_GB2312" w:hAnsi="仿宋_GB2312" w:eastAsia="仿宋_GB2312"/>
                <w:b w:val="0"/>
                <w:color w:val="000000"/>
                <w:sz w:val="32"/>
              </w:rPr>
              <w:t>网络</w:t>
            </w:r>
          </w:p>
        </w:tc>
        <w:tc>
          <w:tcPr>
            <w:tcW w:type="dxa" w:w="3402"/>
          </w:tcPr>
          <w:p>
            <w:pPr>
              <w:spacing w:lineRule="exact" w:line="600"/>
              <w:jc w:val="center"/>
            </w:pPr>
            <w:r/>
            <w:r>
              <w:rPr>
                <w:rFonts w:ascii="仿宋_GB2312" w:hAnsi="仿宋_GB2312" w:eastAsia="仿宋_GB2312"/>
                <w:b w:val="0"/>
                <w:color w:val="000000"/>
                <w:sz w:val="32"/>
              </w:rPr>
              <w:t>确定性网络</w:t>
            </w:r>
          </w:p>
        </w:tc>
        <w:tc>
          <w:tcPr>
            <w:tcW w:type="dxa" w:w="3402"/>
          </w:tcPr>
          <w:p>
            <w:pPr>
              <w:spacing w:lineRule="exact" w:line="600"/>
              <w:jc w:val="center"/>
            </w:pPr>
            <w:r/>
            <w:r>
              <w:rPr>
                <w:rFonts w:ascii="仿宋_GB2312" w:hAnsi="仿宋_GB2312" w:eastAsia="仿宋_GB2312"/>
                <w:b w:val="0"/>
                <w:color w:val="000000"/>
                <w:sz w:val="32"/>
              </w:rPr>
              <w:t>低时延</w:t>
            </w:r>
          </w:p>
        </w:tc>
      </w:tr>
      <w:tr>
        <w:tc>
          <w:tcPr>
            <w:tcW w:type="dxa" w:w="2268"/>
          </w:tcPr>
          <w:p>
            <w:pPr>
              <w:spacing w:lineRule="exact" w:line="600"/>
              <w:jc w:val="center"/>
            </w:pPr>
            <w:r/>
            <w:r>
              <w:rPr>
                <w:rFonts w:ascii="仿宋_GB2312" w:hAnsi="仿宋_GB2312" w:eastAsia="仿宋_GB2312"/>
                <w:b w:val="0"/>
                <w:color w:val="000000"/>
                <w:sz w:val="32"/>
              </w:rPr>
              <w:t>数据</w:t>
            </w:r>
          </w:p>
        </w:tc>
        <w:tc>
          <w:tcPr>
            <w:tcW w:type="dxa" w:w="3402"/>
          </w:tcPr>
          <w:p>
            <w:pPr>
              <w:spacing w:lineRule="exact" w:line="600"/>
              <w:jc w:val="center"/>
            </w:pPr>
            <w:r/>
            <w:r>
              <w:rPr>
                <w:rFonts w:ascii="仿宋_GB2312" w:hAnsi="仿宋_GB2312" w:eastAsia="仿宋_GB2312"/>
                <w:b w:val="0"/>
                <w:color w:val="000000"/>
                <w:sz w:val="32"/>
              </w:rPr>
              <w:t>交易公司登记</w:t>
            </w:r>
          </w:p>
        </w:tc>
        <w:tc>
          <w:tcPr>
            <w:tcW w:type="dxa" w:w="3402"/>
          </w:tcPr>
          <w:p>
            <w:pPr>
              <w:spacing w:lineRule="exact" w:line="600"/>
              <w:jc w:val="center"/>
            </w:pPr>
            <w:r/>
            <w:r>
              <w:rPr>
                <w:rFonts w:ascii="仿宋_GB2312" w:hAnsi="仿宋_GB2312" w:eastAsia="仿宋_GB2312"/>
                <w:b w:val="0"/>
                <w:color w:val="000000"/>
                <w:sz w:val="32"/>
              </w:rPr>
              <w:t>资产化</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院校资源</w:t>
            </w:r>
          </w:p>
        </w:tc>
        <w:tc>
          <w:tcPr>
            <w:tcW w:type="dxa" w:w="3402"/>
          </w:tcPr>
          <w:p>
            <w:pPr>
              <w:spacing w:lineRule="exact" w:line="600"/>
              <w:jc w:val="center"/>
            </w:pPr>
            <w:r/>
            <w:r>
              <w:rPr>
                <w:rFonts w:ascii="仿宋_GB2312" w:hAnsi="仿宋_GB2312" w:eastAsia="仿宋_GB2312"/>
                <w:b w:val="0"/>
                <w:color w:val="000000"/>
                <w:sz w:val="32"/>
              </w:rPr>
              <w:t>平台研发</w:t>
            </w:r>
          </w:p>
        </w:tc>
      </w:tr>
      <w:tr>
        <w:tc>
          <w:tcPr>
            <w:tcW w:type="dxa" w:w="2268"/>
          </w:tcPr>
          <w:p>
            <w:pPr>
              <w:spacing w:lineRule="exact" w:line="600"/>
              <w:jc w:val="center"/>
            </w:pPr>
            <w:r/>
            <w:r>
              <w:rPr>
                <w:rFonts w:ascii="仿宋_GB2312" w:hAnsi="仿宋_GB2312" w:eastAsia="仿宋_GB2312"/>
                <w:b w:val="0"/>
                <w:color w:val="000000"/>
                <w:sz w:val="32"/>
              </w:rPr>
              <w:t>载体</w:t>
            </w:r>
          </w:p>
        </w:tc>
        <w:tc>
          <w:tcPr>
            <w:tcW w:type="dxa" w:w="3402"/>
          </w:tcPr>
          <w:p>
            <w:pPr>
              <w:spacing w:lineRule="exact" w:line="600"/>
              <w:jc w:val="center"/>
            </w:pPr>
            <w:r/>
            <w:r>
              <w:rPr>
                <w:rFonts w:ascii="仿宋_GB2312" w:hAnsi="仿宋_GB2312" w:eastAsia="仿宋_GB2312"/>
                <w:b w:val="0"/>
                <w:color w:val="000000"/>
                <w:sz w:val="32"/>
              </w:rPr>
              <w:t>11.2万㎡</w:t>
            </w:r>
          </w:p>
        </w:tc>
        <w:tc>
          <w:tcPr>
            <w:tcW w:type="dxa" w:w="3402"/>
          </w:tcPr>
          <w:p>
            <w:pPr>
              <w:spacing w:lineRule="exact" w:line="600"/>
              <w:jc w:val="center"/>
            </w:pPr>
            <w:r/>
            <w:r>
              <w:rPr>
                <w:rFonts w:ascii="仿宋_GB2312" w:hAnsi="仿宋_GB2312" w:eastAsia="仿宋_GB2312"/>
                <w:b w:val="0"/>
                <w:color w:val="000000"/>
                <w:sz w:val="32"/>
              </w:rPr>
              <w:t>年营收60亿+</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数据要素改革、数据资产入表政策与AI训练数据需求，为平台与IT服务打开空间；先发入表形成标杆（来源：行业共性研判、市中区，2024）。</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数据确权与定价难、复合型人才稀缺、平台间标准不互通、与头部城市竞争（来源：行业共性研判）。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数据安全与隐私合规、数据质量与流通风险、回款周期，为主要风险（来源：行业共性研判）。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数据要素/资产化/AI</w:t>
            </w:r>
          </w:p>
        </w:tc>
        <w:tc>
          <w:tcPr>
            <w:tcW w:type="dxa" w:w="3118"/>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确权/人才/标准</w:t>
            </w:r>
          </w:p>
        </w:tc>
        <w:tc>
          <w:tcPr>
            <w:tcW w:type="dxa" w:w="3118"/>
          </w:tcPr>
          <w:p>
            <w:pPr>
              <w:spacing w:lineRule="exact" w:line="600"/>
              <w:jc w:val="center"/>
            </w:pPr>
            <w:r/>
            <w:r>
              <w:rPr>
                <w:rFonts w:ascii="仿宋_GB2312" w:hAnsi="仿宋_GB2312" w:eastAsia="仿宋_GB2312"/>
                <w:b w:val="0"/>
                <w:color w:val="000000"/>
                <w:sz w:val="32"/>
              </w:rPr>
              <w:t>变现难度</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安全/合规/回款</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平台+资产+生态</w:t>
            </w:r>
          </w:p>
        </w:tc>
        <w:tc>
          <w:tcPr>
            <w:tcW w:type="dxa" w:w="3118"/>
          </w:tcPr>
          <w:p>
            <w:pPr>
              <w:spacing w:lineRule="exact" w:line="600"/>
              <w:jc w:val="center"/>
            </w:pPr>
            <w:r/>
            <w:r>
              <w:rPr>
                <w:rFonts w:ascii="仿宋_GB2312" w:hAnsi="仿宋_GB2312" w:eastAsia="仿宋_GB2312"/>
                <w:b w:val="0"/>
                <w:color w:val="000000"/>
                <w:sz w:val="32"/>
              </w:rPr>
              <w:t>先发壁垒</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（一）数据资产化先行</w:t>
      </w:r>
    </w:p>
    <w:p>
      <w:pPr>
        <w:spacing w:lineRule="exact" w:line="600" w:before="0" w:after="0"/>
        <w:ind w:firstLine="420"/>
        <w:jc w:val="both"/>
      </w:pPr>
      <w:r>
        <w:rPr>
          <w:rFonts w:ascii="仿宋_GB2312" w:hAnsi="仿宋_GB2312" w:eastAsia="仿宋_GB2312"/>
          <w:b w:val="0"/>
          <w:color w:val="000000"/>
          <w:sz w:val="32"/>
        </w:rPr>
        <w:t>以市中未来数字公司数据入表为样板，推动更多平台数据资产登记与融资，发挥数据要素乘数效应（来源：市中区工信局，2024）。</w:t>
      </w:r>
    </w:p>
    <w:p>
      <w:pPr>
        <w:spacing w:lineRule="exact" w:line="600" w:before="120" w:after="120"/>
        <w:ind w:firstLine="420"/>
        <w:jc w:val="left"/>
      </w:pPr>
      <w:r>
        <w:rPr>
          <w:rFonts w:ascii="楷体_GB2312" w:hAnsi="楷体_GB2312" w:eastAsia="楷体_GB2312"/>
          <w:b w:val="0"/>
          <w:color w:val="000000"/>
          <w:sz w:val="32"/>
        </w:rPr>
        <w:t>（二）平台+算力+网络</w:t>
      </w:r>
    </w:p>
    <w:p>
      <w:pPr>
        <w:spacing w:lineRule="exact" w:line="600" w:before="0" w:after="0"/>
        <w:ind w:firstLine="420"/>
        <w:jc w:val="both"/>
      </w:pPr>
      <w:r>
        <w:rPr>
          <w:rFonts w:ascii="仿宋_GB2312" w:hAnsi="仿宋_GB2312" w:eastAsia="仿宋_GB2312"/>
          <w:b w:val="0"/>
          <w:color w:val="000000"/>
          <w:sz w:val="32"/>
        </w:rPr>
        <w:t>以未来云平台与确定性网络融合，构建网算能一体化与行业专网，提升平台服务能力（来源：济南市科技局、济南市工信局，2024—2025）。</w:t>
      </w:r>
    </w:p>
    <w:p>
      <w:pPr>
        <w:spacing w:lineRule="exact" w:line="600" w:before="120" w:after="120"/>
        <w:ind w:firstLine="420"/>
        <w:jc w:val="left"/>
      </w:pPr>
      <w:r>
        <w:rPr>
          <w:rFonts w:ascii="楷体_GB2312" w:hAnsi="楷体_GB2312" w:eastAsia="楷体_GB2312"/>
          <w:b w:val="0"/>
          <w:color w:val="000000"/>
          <w:sz w:val="32"/>
        </w:rPr>
        <w:t>（三）集群生态化</w:t>
      </w:r>
    </w:p>
    <w:p>
      <w:pPr>
        <w:spacing w:lineRule="exact" w:line="600" w:before="0" w:after="0"/>
        <w:ind w:firstLine="420"/>
        <w:jc w:val="both"/>
      </w:pPr>
      <w:r>
        <w:rPr>
          <w:rFonts w:ascii="仿宋_GB2312" w:hAnsi="仿宋_GB2312" w:eastAsia="仿宋_GB2312"/>
          <w:b w:val="0"/>
          <w:color w:val="000000"/>
          <w:sz w:val="32"/>
        </w:rPr>
        <w:t>山东未来云谷以「算力招商」聚平台与IT企业，目标千亿级数字产业集群；2026年数智信通规模突破160亿元（来源：新浪财经、2026政府工作报告，2025—2026）。</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资产化</w:t>
            </w:r>
          </w:p>
        </w:tc>
        <w:tc>
          <w:tcPr>
            <w:tcW w:type="dxa" w:w="3685"/>
          </w:tcPr>
          <w:p>
            <w:pPr>
              <w:spacing w:lineRule="exact" w:line="600"/>
              <w:jc w:val="center"/>
            </w:pPr>
            <w:r/>
            <w:r>
              <w:rPr>
                <w:rFonts w:ascii="仿宋_GB2312" w:hAnsi="仿宋_GB2312" w:eastAsia="仿宋_GB2312"/>
                <w:b w:val="0"/>
                <w:color w:val="000000"/>
                <w:sz w:val="32"/>
              </w:rPr>
              <w:t>数据入表</w:t>
            </w:r>
          </w:p>
        </w:tc>
        <w:tc>
          <w:tcPr>
            <w:tcW w:type="dxa" w:w="3118"/>
          </w:tcPr>
          <w:p>
            <w:pPr>
              <w:spacing w:lineRule="exact" w:line="600"/>
              <w:jc w:val="center"/>
            </w:pPr>
            <w:r/>
            <w:r>
              <w:rPr>
                <w:rFonts w:ascii="仿宋_GB2312" w:hAnsi="仿宋_GB2312" w:eastAsia="仿宋_GB2312"/>
                <w:b w:val="0"/>
                <w:color w:val="000000"/>
                <w:sz w:val="32"/>
              </w:rPr>
              <w:t>270表/298万条</w:t>
            </w:r>
          </w:p>
        </w:tc>
      </w:tr>
      <w:tr>
        <w:tc>
          <w:tcPr>
            <w:tcW w:type="dxa" w:w="2268"/>
          </w:tcPr>
          <w:p>
            <w:pPr>
              <w:spacing w:lineRule="exact" w:line="600"/>
              <w:jc w:val="center"/>
            </w:pPr>
            <w:r/>
            <w:r>
              <w:rPr>
                <w:rFonts w:ascii="仿宋_GB2312" w:hAnsi="仿宋_GB2312" w:eastAsia="仿宋_GB2312"/>
                <w:b w:val="0"/>
                <w:color w:val="000000"/>
                <w:sz w:val="32"/>
              </w:rPr>
              <w:t>融合</w:t>
            </w:r>
          </w:p>
        </w:tc>
        <w:tc>
          <w:tcPr>
            <w:tcW w:type="dxa" w:w="3685"/>
          </w:tcPr>
          <w:p>
            <w:pPr>
              <w:spacing w:lineRule="exact" w:line="600"/>
              <w:jc w:val="center"/>
            </w:pPr>
            <w:r/>
            <w:r>
              <w:rPr>
                <w:rFonts w:ascii="仿宋_GB2312" w:hAnsi="仿宋_GB2312" w:eastAsia="仿宋_GB2312"/>
                <w:b w:val="0"/>
                <w:color w:val="000000"/>
                <w:sz w:val="32"/>
              </w:rPr>
              <w:t>网算能一体化</w:t>
            </w:r>
          </w:p>
        </w:tc>
        <w:tc>
          <w:tcPr>
            <w:tcW w:type="dxa" w:w="3118"/>
          </w:tcPr>
          <w:p>
            <w:pPr>
              <w:spacing w:lineRule="exact" w:line="600"/>
              <w:jc w:val="center"/>
            </w:pPr>
            <w:r/>
            <w:r>
              <w:rPr>
                <w:rFonts w:ascii="仿宋_GB2312" w:hAnsi="仿宋_GB2312" w:eastAsia="仿宋_GB2312"/>
                <w:b w:val="0"/>
                <w:color w:val="000000"/>
                <w:sz w:val="32"/>
              </w:rPr>
              <w:t>15000PFLOPS</w:t>
            </w:r>
          </w:p>
        </w:tc>
      </w:tr>
      <w:tr>
        <w:tc>
          <w:tcPr>
            <w:tcW w:type="dxa" w:w="2268"/>
          </w:tcPr>
          <w:p>
            <w:pPr>
              <w:spacing w:lineRule="exact" w:line="600"/>
              <w:jc w:val="center"/>
            </w:pPr>
            <w:r/>
            <w:r>
              <w:rPr>
                <w:rFonts w:ascii="仿宋_GB2312" w:hAnsi="仿宋_GB2312" w:eastAsia="仿宋_GB2312"/>
                <w:b w:val="0"/>
                <w:color w:val="000000"/>
                <w:sz w:val="32"/>
              </w:rPr>
              <w:t>生态</w:t>
            </w:r>
          </w:p>
        </w:tc>
        <w:tc>
          <w:tcPr>
            <w:tcW w:type="dxa" w:w="3685"/>
          </w:tcPr>
          <w:p>
            <w:pPr>
              <w:spacing w:lineRule="exact" w:line="600"/>
              <w:jc w:val="center"/>
            </w:pPr>
            <w:r/>
            <w:r>
              <w:rPr>
                <w:rFonts w:ascii="仿宋_GB2312" w:hAnsi="仿宋_GB2312" w:eastAsia="仿宋_GB2312"/>
                <w:b w:val="0"/>
                <w:color w:val="000000"/>
                <w:sz w:val="32"/>
              </w:rPr>
              <w:t>算力招商</w:t>
            </w:r>
          </w:p>
        </w:tc>
        <w:tc>
          <w:tcPr>
            <w:tcW w:type="dxa" w:w="3118"/>
          </w:tcPr>
          <w:p>
            <w:pPr>
              <w:spacing w:lineRule="exact" w:line="600"/>
              <w:jc w:val="center"/>
            </w:pPr>
            <w:r/>
            <w:r>
              <w:rPr>
                <w:rFonts w:ascii="仿宋_GB2312" w:hAnsi="仿宋_GB2312" w:eastAsia="仿宋_GB2312"/>
                <w:b w:val="0"/>
                <w:color w:val="000000"/>
                <w:sz w:val="32"/>
              </w:rPr>
              <w:t>年营收60亿+</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3685"/>
          </w:tcPr>
          <w:p>
            <w:pPr>
              <w:spacing w:lineRule="exact" w:line="600"/>
              <w:jc w:val="center"/>
            </w:pPr>
            <w:r/>
            <w:r>
              <w:rPr>
                <w:rFonts w:ascii="仿宋_GB2312" w:hAnsi="仿宋_GB2312" w:eastAsia="仿宋_GB2312"/>
                <w:b w:val="0"/>
                <w:color w:val="000000"/>
                <w:sz w:val="32"/>
              </w:rPr>
              <w:t>千亿愿景</w:t>
            </w:r>
          </w:p>
        </w:tc>
        <w:tc>
          <w:tcPr>
            <w:tcW w:type="dxa" w:w="3118"/>
          </w:tcPr>
          <w:p>
            <w:pPr>
              <w:spacing w:lineRule="exact" w:line="600"/>
              <w:jc w:val="center"/>
            </w:pPr>
            <w:r/>
            <w:r>
              <w:rPr>
                <w:rFonts w:ascii="仿宋_GB2312" w:hAnsi="仿宋_GB2312" w:eastAsia="仿宋_GB2312"/>
                <w:b w:val="0"/>
                <w:color w:val="000000"/>
                <w:sz w:val="32"/>
              </w:rPr>
              <w:t>160亿目标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（一）平台建设</w:t>
      </w:r>
    </w:p>
    <w:p>
      <w:pPr>
        <w:spacing w:lineRule="exact" w:line="600" w:before="0" w:after="0"/>
        <w:ind w:firstLine="420"/>
        <w:jc w:val="both"/>
      </w:pPr>
      <w:r>
        <w:rPr>
          <w:rFonts w:ascii="仿宋_GB2312" w:hAnsi="仿宋_GB2312" w:eastAsia="仿宋_GB2312"/>
          <w:b w:val="0"/>
          <w:color w:val="000000"/>
          <w:sz w:val="32"/>
        </w:rPr>
        <w:t>未来云平台、数据标注基地、行业专网建设需中长期信贷与产业基金（来源：济南市工信局，2024）。</w:t>
      </w:r>
    </w:p>
    <w:p>
      <w:pPr>
        <w:spacing w:lineRule="exact" w:line="600" w:before="120" w:after="120"/>
        <w:ind w:firstLine="420"/>
        <w:jc w:val="left"/>
      </w:pPr>
      <w:r>
        <w:rPr>
          <w:rFonts w:ascii="楷体_GB2312" w:hAnsi="楷体_GB2312" w:eastAsia="楷体_GB2312"/>
          <w:b w:val="0"/>
          <w:color w:val="000000"/>
          <w:sz w:val="32"/>
        </w:rPr>
        <w:t>（二）数据资产融资</w:t>
      </w:r>
    </w:p>
    <w:p>
      <w:pPr>
        <w:spacing w:lineRule="exact" w:line="600" w:before="0" w:after="0"/>
        <w:ind w:firstLine="420"/>
        <w:jc w:val="both"/>
      </w:pPr>
      <w:r>
        <w:rPr>
          <w:rFonts w:ascii="仿宋_GB2312" w:hAnsi="仿宋_GB2312" w:eastAsia="仿宋_GB2312"/>
          <w:b w:val="0"/>
          <w:color w:val="000000"/>
          <w:sz w:val="32"/>
        </w:rPr>
        <w:t>市中未来数字公司数据资源入表后可探索数据资产质押、数据交易与证券化，激活国有资产（来源：市中区工信局，2024）。</w:t>
      </w:r>
    </w:p>
    <w:p>
      <w:pPr>
        <w:spacing w:lineRule="exact" w:line="600" w:before="120" w:after="120"/>
        <w:ind w:firstLine="420"/>
        <w:jc w:val="left"/>
      </w:pPr>
      <w:r>
        <w:rPr>
          <w:rFonts w:ascii="楷体_GB2312" w:hAnsi="楷体_GB2312" w:eastAsia="楷体_GB2312"/>
          <w:b w:val="0"/>
          <w:color w:val="000000"/>
          <w:sz w:val="32"/>
        </w:rPr>
        <w:t>（三）载体与招商</w:t>
      </w:r>
    </w:p>
    <w:p>
      <w:pPr>
        <w:spacing w:lineRule="exact" w:line="600" w:before="0" w:after="0"/>
        <w:ind w:firstLine="420"/>
        <w:jc w:val="both"/>
      </w:pPr>
      <w:r>
        <w:rPr>
          <w:rFonts w:ascii="仿宋_GB2312" w:hAnsi="仿宋_GB2312" w:eastAsia="仿宋_GB2312"/>
          <w:b w:val="0"/>
          <w:color w:val="000000"/>
          <w:sz w:val="32"/>
        </w:rPr>
        <w:t>山东未来云谷20.6亿元、算网用一体化25.3亿元投资，需基建贷款、招商配套与创投基金（来源：济南市工信局，2024）。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平台建设</w:t>
            </w:r>
          </w:p>
        </w:tc>
        <w:tc>
          <w:tcPr>
            <w:tcW w:type="dxa" w:w="3118"/>
          </w:tcPr>
          <w:p>
            <w:pPr>
              <w:spacing w:lineRule="exact" w:line="600"/>
              <w:jc w:val="center"/>
            </w:pPr>
            <w:r/>
            <w:r>
              <w:rPr>
                <w:rFonts w:ascii="仿宋_GB2312" w:hAnsi="仿宋_GB2312" w:eastAsia="仿宋_GB2312"/>
                <w:b w:val="0"/>
                <w:color w:val="000000"/>
                <w:sz w:val="32"/>
              </w:rPr>
              <w:t>云平台/标注/专网</w:t>
            </w:r>
          </w:p>
        </w:tc>
        <w:tc>
          <w:tcPr>
            <w:tcW w:type="dxa" w:w="3402"/>
          </w:tcPr>
          <w:p>
            <w:pPr>
              <w:spacing w:lineRule="exact" w:line="600"/>
              <w:jc w:val="center"/>
            </w:pPr>
            <w:r/>
            <w:r>
              <w:rPr>
                <w:rFonts w:ascii="仿宋_GB2312" w:hAnsi="仿宋_GB2312" w:eastAsia="仿宋_GB2312"/>
                <w:b w:val="0"/>
                <w:color w:val="000000"/>
                <w:sz w:val="32"/>
              </w:rPr>
              <w:t>信贷/基金</w:t>
            </w:r>
          </w:p>
        </w:tc>
      </w:tr>
      <w:tr>
        <w:tc>
          <w:tcPr>
            <w:tcW w:type="dxa" w:w="2551"/>
          </w:tcPr>
          <w:p>
            <w:pPr>
              <w:spacing w:lineRule="exact" w:line="600"/>
              <w:jc w:val="center"/>
            </w:pPr>
            <w:r/>
            <w:r>
              <w:rPr>
                <w:rFonts w:ascii="仿宋_GB2312" w:hAnsi="仿宋_GB2312" w:eastAsia="仿宋_GB2312"/>
                <w:b w:val="0"/>
                <w:color w:val="000000"/>
                <w:sz w:val="32"/>
              </w:rPr>
              <w:t>数据资产</w:t>
            </w:r>
          </w:p>
        </w:tc>
        <w:tc>
          <w:tcPr>
            <w:tcW w:type="dxa" w:w="3118"/>
          </w:tcPr>
          <w:p>
            <w:pPr>
              <w:spacing w:lineRule="exact" w:line="600"/>
              <w:jc w:val="center"/>
            </w:pPr>
            <w:r/>
            <w:r>
              <w:rPr>
                <w:rFonts w:ascii="仿宋_GB2312" w:hAnsi="仿宋_GB2312" w:eastAsia="仿宋_GB2312"/>
                <w:b w:val="0"/>
                <w:color w:val="000000"/>
                <w:sz w:val="32"/>
              </w:rPr>
              <w:t>270表入表</w:t>
            </w:r>
          </w:p>
        </w:tc>
        <w:tc>
          <w:tcPr>
            <w:tcW w:type="dxa" w:w="3402"/>
          </w:tcPr>
          <w:p>
            <w:pPr>
              <w:spacing w:lineRule="exact" w:line="600"/>
              <w:jc w:val="center"/>
            </w:pPr>
            <w:r/>
            <w:r>
              <w:rPr>
                <w:rFonts w:ascii="仿宋_GB2312" w:hAnsi="仿宋_GB2312" w:eastAsia="仿宋_GB2312"/>
                <w:b w:val="0"/>
                <w:color w:val="000000"/>
                <w:sz w:val="32"/>
              </w:rPr>
              <w:t>质押/交易</w:t>
            </w:r>
          </w:p>
        </w:tc>
      </w:tr>
      <w:tr>
        <w:tc>
          <w:tcPr>
            <w:tcW w:type="dxa" w:w="2551"/>
          </w:tcPr>
          <w:p>
            <w:pPr>
              <w:spacing w:lineRule="exact" w:line="600"/>
              <w:jc w:val="center"/>
            </w:pPr>
            <w:r/>
            <w:r>
              <w:rPr>
                <w:rFonts w:ascii="仿宋_GB2312" w:hAnsi="仿宋_GB2312" w:eastAsia="仿宋_GB2312"/>
                <w:b w:val="0"/>
                <w:color w:val="000000"/>
                <w:sz w:val="32"/>
              </w:rPr>
              <w:t>载体</w:t>
            </w:r>
          </w:p>
        </w:tc>
        <w:tc>
          <w:tcPr>
            <w:tcW w:type="dxa" w:w="3118"/>
          </w:tcPr>
          <w:p>
            <w:pPr>
              <w:spacing w:lineRule="exact" w:line="600"/>
              <w:jc w:val="center"/>
            </w:pPr>
            <w:r/>
            <w:r>
              <w:rPr>
                <w:rFonts w:ascii="仿宋_GB2312" w:hAnsi="仿宋_GB2312" w:eastAsia="仿宋_GB2312"/>
                <w:b w:val="0"/>
                <w:color w:val="000000"/>
                <w:sz w:val="32"/>
              </w:rPr>
              <w:t>20.6亿/25.3亿</w:t>
            </w:r>
          </w:p>
        </w:tc>
        <w:tc>
          <w:tcPr>
            <w:tcW w:type="dxa" w:w="3402"/>
          </w:tcPr>
          <w:p>
            <w:pPr>
              <w:spacing w:lineRule="exact" w:line="600"/>
              <w:jc w:val="center"/>
            </w:pPr>
            <w:r/>
            <w:r>
              <w:rPr>
                <w:rFonts w:ascii="仿宋_GB2312" w:hAnsi="仿宋_GB2312" w:eastAsia="仿宋_GB2312"/>
                <w:b w:val="0"/>
                <w:color w:val="000000"/>
                <w:sz w:val="32"/>
              </w:rPr>
              <w:t>基建贷款</w:t>
            </w:r>
          </w:p>
        </w:tc>
      </w:tr>
      <w:tr>
        <w:tc>
          <w:tcPr>
            <w:tcW w:type="dxa" w:w="2551"/>
          </w:tcPr>
          <w:p>
            <w:pPr>
              <w:spacing w:lineRule="exact" w:line="600"/>
              <w:jc w:val="center"/>
            </w:pPr>
            <w:r/>
            <w:r>
              <w:rPr>
                <w:rFonts w:ascii="仿宋_GB2312" w:hAnsi="仿宋_GB2312" w:eastAsia="仿宋_GB2312"/>
                <w:b w:val="0"/>
                <w:color w:val="000000"/>
                <w:sz w:val="32"/>
              </w:rPr>
              <w:t>招商</w:t>
            </w:r>
          </w:p>
        </w:tc>
        <w:tc>
          <w:tcPr>
            <w:tcW w:type="dxa" w:w="3118"/>
          </w:tcPr>
          <w:p>
            <w:pPr>
              <w:spacing w:lineRule="exact" w:line="600"/>
              <w:jc w:val="center"/>
            </w:pPr>
            <w:r/>
            <w:r>
              <w:rPr>
                <w:rFonts w:ascii="仿宋_GB2312" w:hAnsi="仿宋_GB2312" w:eastAsia="仿宋_GB2312"/>
                <w:b w:val="0"/>
                <w:color w:val="000000"/>
                <w:sz w:val="32"/>
              </w:rPr>
              <w:t>龙头引入</w:t>
            </w:r>
          </w:p>
        </w:tc>
        <w:tc>
          <w:tcPr>
            <w:tcW w:type="dxa" w:w="3402"/>
          </w:tcPr>
          <w:p>
            <w:pPr>
              <w:spacing w:lineRule="exact" w:line="600"/>
              <w:jc w:val="center"/>
            </w:pPr>
            <w:r/>
            <w:r>
              <w:rPr>
                <w:rFonts w:ascii="仿宋_GB2312" w:hAnsi="仿宋_GB2312" w:eastAsia="仿宋_GB2312"/>
                <w:b w:val="0"/>
                <w:color w:val="000000"/>
                <w:sz w:val="32"/>
              </w:rPr>
              <w:t>产业基金</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大讯飞山东/济南公司：AI链主与平台型企业，2023年落子市中并成立泉讯人工智能（山东）有限公司，提供AI基础平台、应用软件与数据处理服务，赋能教育、办公、城市等数字平台场景，助力人工智能应用全国示范区。来源：青企大会报道、市中区报道、济南市工信局，2023—2025。</w:t>
      </w:r>
    </w:p>
    <w:p>
      <w:pPr>
        <w:spacing w:lineRule="exact" w:line="600" w:before="0" w:after="0"/>
        <w:ind w:firstLine="420"/>
        <w:jc w:val="both"/>
      </w:pPr>
      <w:r>
        <w:rPr>
          <w:rFonts w:ascii="仿宋_GB2312" w:hAnsi="仿宋_GB2312" w:eastAsia="仿宋_GB2312"/>
          <w:b w:val="0"/>
          <w:color w:val="000000"/>
          <w:sz w:val="32"/>
        </w:rPr>
        <w:t>山东未来集团有限公司：确定性网络与算力运营主体，发布「1+2+N+X」战略构建网算能一体化平台与未来云平台，三年目标调度算力15000PFLOPS、覆盖3万公里确定性网络；总部入驻山东未来云谷，是数字平台运营与算力调度核心企业。来源：济南市科技局、济南市工信局，2024—2025。</w:t>
      </w:r>
    </w:p>
    <w:p>
      <w:pPr>
        <w:spacing w:lineRule="exact" w:line="600" w:before="0" w:after="0"/>
        <w:ind w:firstLine="420"/>
        <w:jc w:val="both"/>
      </w:pPr>
      <w:r>
        <w:rPr>
          <w:rFonts w:ascii="仿宋_GB2312" w:hAnsi="仿宋_GB2312" w:eastAsia="仿宋_GB2312"/>
          <w:b w:val="0"/>
          <w:color w:val="000000"/>
          <w:sz w:val="32"/>
        </w:rPr>
        <w:t>中科（济南）超级云智算中心：市中区先进算力节点，与未来云谷智算中心等构成四大算力基础设施，为数字平台与AI服务提供高性能算力；2026年市中区政府工作报告提出高效释放其算力资源支撑重点领域。来源：市中区工信局、2026政府工作报告，2024—2026。</w:t>
      </w:r>
    </w:p>
    <w:p>
      <w:pPr>
        <w:spacing w:lineRule="exact" w:line="600" w:before="0" w:after="0"/>
        <w:jc w:val="left"/>
      </w:pPr>
      <w:r>
        <w:rPr>
          <w:rFonts w:ascii="仿宋_GB2312" w:hAnsi="仿宋_GB2312" w:eastAsia="仿宋_GB2312"/>
          <w:b w:val="0"/>
          <w:color w:val="000000"/>
          <w:sz w:val="28"/>
        </w:rPr>
        <w:t>主要数据来源：市中区工业和信息化局政协提案答复（数据资源入表、四个数据中心），2024；济南市工业和信息化局《培育多元未来关联产业》（未来云谷、平台、标注基地），2024；济南市科技局《新数智·云共创·向未来》（未来集团战略），2025；新浪财经《山东未来云谷：建设数字产业集聚区》（可租售面积、营收预期），2025；新华网《济南市中区：打造园区强磁场》（GDP、工业数据），2024；2026年济南市中区政府工作报告（中科超级云智算中心、160亿目标），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