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山东济南市中（数字经济）特色产业集群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智能算力中心与数字基础设施行业深度分析报告</w:t>
      </w:r>
    </w:p>
    <w:p>
      <w:pPr>
        <w:spacing w:lineRule="exact" w:line="600" w:before="0" w:after="0"/>
        <w:jc w:val="left"/>
      </w:pPr>
      <w:r>
        <w:rPr>
          <w:rFonts w:ascii="仿宋_GB2312" w:hAnsi="仿宋_GB2312" w:eastAsia="仿宋_GB2312"/>
          <w:b w:val="0"/>
          <w:color w:val="000000"/>
          <w:sz w:val="28"/>
        </w:rPr>
        <w:t>本报告聚焦市中区智能算力中心与数字基础设施（智算中心、确定性网络、数据中心），数据来源于济南市工信局、市中区政府官网、山东未来云谷公开报道及2026年市中区政府工作报告。数据截至2024—2026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智能算力中心与数字基础设施是济南市中数字经济特色产业集群的底座。市中区作为全省最早的大数据产业集聚区，以山东未来云谷为核心载体，布局「算力+确定性网络」双底座。山东未来云谷总建筑面积26万平方米、总投资20.6亿元，已落地科大讯飞济南公司、山东未来集团等龙头，全部入驻后预计年均营收超60亿元、税收超3亿元；园区布局200P山东未来云谷智算中心（一期与科大讯飞合作100P、PUE设计小于1.3），并协同中科（济南）超级云智算中心等四大算力节点。2026年市中区政府工作报告提出高效释放中科超级云智算中心等先进算力资源，力争数智信通产业规模突破160亿元，打造具有影响力的数智信通产业高地。</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未来云谷智算</w:t>
            </w:r>
          </w:p>
        </w:tc>
        <w:tc>
          <w:tcPr>
            <w:tcW w:type="dxa" w:w="2835"/>
          </w:tcPr>
          <w:p>
            <w:pPr>
              <w:spacing w:lineRule="exact" w:line="600"/>
              <w:jc w:val="center"/>
            </w:pPr>
            <w:r/>
            <w:r>
              <w:rPr>
                <w:rFonts w:ascii="仿宋_GB2312" w:hAnsi="仿宋_GB2312" w:eastAsia="仿宋_GB2312"/>
                <w:b w:val="0"/>
                <w:color w:val="000000"/>
                <w:sz w:val="32"/>
              </w:rPr>
              <w:t>200P（一期100P，PUE&lt;1.3）</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未来云谷建筑面积</w:t>
            </w:r>
          </w:p>
        </w:tc>
        <w:tc>
          <w:tcPr>
            <w:tcW w:type="dxa" w:w="2835"/>
          </w:tcPr>
          <w:p>
            <w:pPr>
              <w:spacing w:lineRule="exact" w:line="600"/>
              <w:jc w:val="center"/>
            </w:pPr>
            <w:r/>
            <w:r>
              <w:rPr>
                <w:rFonts w:ascii="仿宋_GB2312" w:hAnsi="仿宋_GB2312" w:eastAsia="仿宋_GB2312"/>
                <w:b w:val="0"/>
                <w:color w:val="000000"/>
                <w:sz w:val="32"/>
              </w:rPr>
              <w:t>26万㎡/20.6亿</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入驻预期年营收</w:t>
            </w:r>
          </w:p>
        </w:tc>
        <w:tc>
          <w:tcPr>
            <w:tcW w:type="dxa" w:w="2835"/>
          </w:tcPr>
          <w:p>
            <w:pPr>
              <w:spacing w:lineRule="exact" w:line="600"/>
              <w:jc w:val="center"/>
            </w:pPr>
            <w:r/>
            <w:r>
              <w:rPr>
                <w:rFonts w:ascii="仿宋_GB2312" w:hAnsi="仿宋_GB2312" w:eastAsia="仿宋_GB2312"/>
                <w:b w:val="0"/>
                <w:color w:val="000000"/>
                <w:sz w:val="32"/>
              </w:rPr>
              <w:t>超60亿元</w:t>
            </w:r>
          </w:p>
        </w:tc>
        <w:tc>
          <w:tcPr>
            <w:tcW w:type="dxa" w:w="3118"/>
          </w:tcPr>
          <w:p>
            <w:pPr>
              <w:spacing w:lineRule="exact" w:line="600"/>
              <w:jc w:val="center"/>
            </w:pPr>
            <w:r/>
            <w:r>
              <w:rPr>
                <w:rFonts w:ascii="仿宋_GB2312" w:hAnsi="仿宋_GB2312" w:eastAsia="仿宋_GB2312"/>
                <w:b w:val="0"/>
                <w:color w:val="000000"/>
                <w:sz w:val="32"/>
              </w:rPr>
              <w:t>济南市工信局/新浪，2024—2025</w:t>
            </w:r>
          </w:p>
        </w:tc>
      </w:tr>
      <w:tr>
        <w:tc>
          <w:tcPr>
            <w:tcW w:type="dxa" w:w="2835"/>
          </w:tcPr>
          <w:p>
            <w:pPr>
              <w:spacing w:lineRule="exact" w:line="600"/>
              <w:jc w:val="center"/>
            </w:pPr>
            <w:r/>
            <w:r>
              <w:rPr>
                <w:rFonts w:ascii="仿宋_GB2312" w:hAnsi="仿宋_GB2312" w:eastAsia="仿宋_GB2312"/>
                <w:b w:val="0"/>
                <w:color w:val="000000"/>
                <w:sz w:val="32"/>
              </w:rPr>
              <w:t>数智信通目标</w:t>
            </w:r>
          </w:p>
        </w:tc>
        <w:tc>
          <w:tcPr>
            <w:tcW w:type="dxa" w:w="2835"/>
          </w:tcPr>
          <w:p>
            <w:pPr>
              <w:spacing w:lineRule="exact" w:line="600"/>
              <w:jc w:val="center"/>
            </w:pPr>
            <w:r/>
            <w:r>
              <w:rPr>
                <w:rFonts w:ascii="仿宋_GB2312" w:hAnsi="仿宋_GB2312" w:eastAsia="仿宋_GB2312"/>
                <w:b w:val="0"/>
                <w:color w:val="000000"/>
                <w:sz w:val="32"/>
              </w:rPr>
              <w:t>突破160亿元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未来集团调度</w:t>
            </w:r>
          </w:p>
        </w:tc>
        <w:tc>
          <w:tcPr>
            <w:tcW w:type="dxa" w:w="2835"/>
          </w:tcPr>
          <w:p>
            <w:pPr>
              <w:spacing w:lineRule="exact" w:line="600"/>
              <w:jc w:val="center"/>
            </w:pPr>
            <w:r/>
            <w:r>
              <w:rPr>
                <w:rFonts w:ascii="仿宋_GB2312" w:hAnsi="仿宋_GB2312" w:eastAsia="仿宋_GB2312"/>
                <w:b w:val="0"/>
                <w:color w:val="000000"/>
                <w:sz w:val="32"/>
              </w:rPr>
              <w:t>15000PFLOPS</w:t>
            </w:r>
          </w:p>
        </w:tc>
        <w:tc>
          <w:tcPr>
            <w:tcW w:type="dxa" w:w="3118"/>
          </w:tcPr>
          <w:p>
            <w:pPr>
              <w:spacing w:lineRule="exact" w:line="600"/>
              <w:jc w:val="center"/>
            </w:pPr>
            <w:r/>
            <w:r>
              <w:rPr>
                <w:rFonts w:ascii="仿宋_GB2312" w:hAnsi="仿宋_GB2312" w:eastAsia="仿宋_GB2312"/>
                <w:b w:val="0"/>
                <w:color w:val="000000"/>
                <w:sz w:val="32"/>
              </w:rPr>
              <w:t>济南市科技局，2025</w:t>
            </w:r>
          </w:p>
        </w:tc>
      </w:tr>
      <w:tr>
        <w:tc>
          <w:tcPr>
            <w:tcW w:type="dxa" w:w="2835"/>
          </w:tcPr>
          <w:p>
            <w:pPr>
              <w:spacing w:lineRule="exact" w:line="600"/>
              <w:jc w:val="center"/>
            </w:pPr>
            <w:r/>
            <w:r>
              <w:rPr>
                <w:rFonts w:ascii="仿宋_GB2312" w:hAnsi="仿宋_GB2312" w:eastAsia="仿宋_GB2312"/>
                <w:b w:val="0"/>
                <w:color w:val="000000"/>
                <w:sz w:val="32"/>
              </w:rPr>
              <w:t>数据入表</w:t>
            </w:r>
          </w:p>
        </w:tc>
        <w:tc>
          <w:tcPr>
            <w:tcW w:type="dxa" w:w="2835"/>
          </w:tcPr>
          <w:p>
            <w:pPr>
              <w:spacing w:lineRule="exact" w:line="600"/>
              <w:jc w:val="center"/>
            </w:pPr>
            <w:r/>
            <w:r>
              <w:rPr>
                <w:rFonts w:ascii="仿宋_GB2312" w:hAnsi="仿宋_GB2312" w:eastAsia="仿宋_GB2312"/>
                <w:b w:val="0"/>
                <w:color w:val="000000"/>
                <w:sz w:val="32"/>
              </w:rPr>
              <w:t>270表/2983286条</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绿电</w:t>
            </w:r>
          </w:p>
        </w:tc>
        <w:tc>
          <w:tcPr>
            <w:tcW w:type="dxa" w:w="2835"/>
          </w:tcPr>
          <w:p>
            <w:pPr>
              <w:spacing w:lineRule="exact" w:line="600"/>
              <w:jc w:val="center"/>
            </w:pPr>
            <w:r/>
            <w:r>
              <w:rPr>
                <w:rFonts w:ascii="仿宋_GB2312" w:hAnsi="仿宋_GB2312" w:eastAsia="仿宋_GB2312"/>
                <w:b w:val="0"/>
                <w:color w:val="000000"/>
                <w:sz w:val="32"/>
              </w:rPr>
              <w:t>550万kWh/年</w:t>
            </w:r>
          </w:p>
        </w:tc>
        <w:tc>
          <w:tcPr>
            <w:tcW w:type="dxa" w:w="3118"/>
          </w:tcPr>
          <w:p>
            <w:pPr>
              <w:spacing w:lineRule="exact" w:line="600"/>
              <w:jc w:val="center"/>
            </w:pPr>
            <w:r/>
            <w:r>
              <w:rPr>
                <w:rFonts w:ascii="仿宋_GB2312" w:hAnsi="仿宋_GB2312" w:eastAsia="仿宋_GB2312"/>
                <w:b w:val="0"/>
                <w:color w:val="000000"/>
                <w:sz w:val="32"/>
              </w:rPr>
              <w:t>济南市工信局，2024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国家「东数西算」与「人工智能+」行动推动智能算力建设。济南市2024年发布《推动数据要素市场化配置改革加快数字经济发展行动方案（2024—2025年）》，市中区率先制定《关于促进大数据产业发展的实施意见》，将数据要素改革上升为区域战略（来源：市中区工信局，2024）。</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市中区是全省最早的大数据产业集聚区，提出以数字经济集聚先锋为定位，构建与人工智能、数字经济、先进制造业相适应的算力供给体系，打造济南垂直领域行业应用级算力创新高地（来源：山东未来云谷报道、市中区，2024—2025）。</w:t>
      </w:r>
    </w:p>
    <w:p>
      <w:pPr>
        <w:spacing w:lineRule="exact" w:line="600" w:before="120" w:after="120"/>
        <w:ind w:firstLine="420"/>
        <w:jc w:val="left"/>
      </w:pPr>
      <w:r>
        <w:rPr>
          <w:rFonts w:ascii="楷体_GB2312" w:hAnsi="楷体_GB2312" w:eastAsia="楷体_GB2312"/>
          <w:b w:val="0"/>
          <w:color w:val="000000"/>
          <w:sz w:val="32"/>
        </w:rPr>
        <w:t>（三）产业基础与规模</w:t>
      </w:r>
    </w:p>
    <w:p>
      <w:pPr>
        <w:spacing w:lineRule="exact" w:line="600" w:before="0" w:after="0"/>
        <w:ind w:firstLine="420"/>
        <w:jc w:val="both"/>
      </w:pPr>
      <w:r>
        <w:rPr>
          <w:rFonts w:ascii="仿宋_GB2312" w:hAnsi="仿宋_GB2312" w:eastAsia="仿宋_GB2312"/>
          <w:b w:val="0"/>
          <w:color w:val="000000"/>
          <w:sz w:val="32"/>
        </w:rPr>
        <w:t>市中区集聚联通、移动、铁塔、阿里巴巴、科大讯飞、商汤科技、东华软件等数字经济龙头；2024年前三季度GDP达1078.9亿元（全市第三）、增速超6%，二产增加值同比+12.5%、规上工业增加值+18.6%（来源：新华网、市中区，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市中区GDP（前三季）</w:t>
            </w:r>
          </w:p>
        </w:tc>
        <w:tc>
          <w:tcPr>
            <w:tcW w:type="dxa" w:w="3118"/>
          </w:tcPr>
          <w:p>
            <w:pPr>
              <w:spacing w:lineRule="exact" w:line="600"/>
              <w:jc w:val="center"/>
            </w:pPr>
            <w:r/>
            <w:r>
              <w:rPr>
                <w:rFonts w:ascii="仿宋_GB2312" w:hAnsi="仿宋_GB2312" w:eastAsia="仿宋_GB2312"/>
                <w:b w:val="0"/>
                <w:color w:val="000000"/>
                <w:sz w:val="32"/>
              </w:rPr>
              <w:t>1078.9亿元（第三）</w:t>
            </w:r>
          </w:p>
        </w:tc>
        <w:tc>
          <w:tcPr>
            <w:tcW w:type="dxa" w:w="3118"/>
          </w:tcPr>
          <w:p>
            <w:pPr>
              <w:spacing w:lineRule="exact" w:line="600"/>
              <w:jc w:val="center"/>
            </w:pPr>
            <w:r/>
            <w:r>
              <w:rPr>
                <w:rFonts w:ascii="仿宋_GB2312" w:hAnsi="仿宋_GB2312" w:eastAsia="仿宋_GB2312"/>
                <w:b w:val="0"/>
                <w:color w:val="000000"/>
                <w:sz w:val="32"/>
              </w:rPr>
              <w:t>新华网，2024</w:t>
            </w:r>
          </w:p>
        </w:tc>
      </w:tr>
      <w:tr>
        <w:tc>
          <w:tcPr>
            <w:tcW w:type="dxa" w:w="2835"/>
          </w:tcPr>
          <w:p>
            <w:pPr>
              <w:spacing w:lineRule="exact" w:line="600"/>
              <w:jc w:val="center"/>
            </w:pPr>
            <w:r/>
            <w:r>
              <w:rPr>
                <w:rFonts w:ascii="仿宋_GB2312" w:hAnsi="仿宋_GB2312" w:eastAsia="仿宋_GB2312"/>
                <w:b w:val="0"/>
                <w:color w:val="000000"/>
                <w:sz w:val="32"/>
              </w:rPr>
              <w:t>GDP增速</w:t>
            </w:r>
          </w:p>
        </w:tc>
        <w:tc>
          <w:tcPr>
            <w:tcW w:type="dxa" w:w="3118"/>
          </w:tcPr>
          <w:p>
            <w:pPr>
              <w:spacing w:lineRule="exact" w:line="600"/>
              <w:jc w:val="center"/>
            </w:pPr>
            <w:r/>
            <w:r>
              <w:rPr>
                <w:rFonts w:ascii="仿宋_GB2312" w:hAnsi="仿宋_GB2312" w:eastAsia="仿宋_GB2312"/>
                <w:b w:val="0"/>
                <w:color w:val="000000"/>
                <w:sz w:val="32"/>
              </w:rPr>
              <w:t>超6%</w:t>
            </w:r>
          </w:p>
        </w:tc>
        <w:tc>
          <w:tcPr>
            <w:tcW w:type="dxa" w:w="3118"/>
          </w:tcPr>
          <w:p>
            <w:pPr>
              <w:spacing w:lineRule="exact" w:line="600"/>
              <w:jc w:val="center"/>
            </w:pPr>
            <w:r/>
            <w:r>
              <w:rPr>
                <w:rFonts w:ascii="仿宋_GB2312" w:hAnsi="仿宋_GB2312" w:eastAsia="仿宋_GB2312"/>
                <w:b w:val="0"/>
                <w:color w:val="000000"/>
                <w:sz w:val="32"/>
              </w:rPr>
              <w:t>新华网，2024</w:t>
            </w:r>
          </w:p>
        </w:tc>
      </w:tr>
      <w:tr>
        <w:tc>
          <w:tcPr>
            <w:tcW w:type="dxa" w:w="2835"/>
          </w:tcPr>
          <w:p>
            <w:pPr>
              <w:spacing w:lineRule="exact" w:line="600"/>
              <w:jc w:val="center"/>
            </w:pPr>
            <w:r/>
            <w:r>
              <w:rPr>
                <w:rFonts w:ascii="仿宋_GB2312" w:hAnsi="仿宋_GB2312" w:eastAsia="仿宋_GB2312"/>
                <w:b w:val="0"/>
                <w:color w:val="000000"/>
                <w:sz w:val="32"/>
              </w:rPr>
              <w:t>规上工业增加值</w:t>
            </w:r>
          </w:p>
        </w:tc>
        <w:tc>
          <w:tcPr>
            <w:tcW w:type="dxa" w:w="3118"/>
          </w:tcPr>
          <w:p>
            <w:pPr>
              <w:spacing w:lineRule="exact" w:line="600"/>
              <w:jc w:val="center"/>
            </w:pPr>
            <w:r/>
            <w:r>
              <w:rPr>
                <w:rFonts w:ascii="仿宋_GB2312" w:hAnsi="仿宋_GB2312" w:eastAsia="仿宋_GB2312"/>
                <w:b w:val="0"/>
                <w:color w:val="000000"/>
                <w:sz w:val="32"/>
              </w:rPr>
              <w:t>+18.6%</w:t>
            </w:r>
          </w:p>
        </w:tc>
        <w:tc>
          <w:tcPr>
            <w:tcW w:type="dxa" w:w="3118"/>
          </w:tcPr>
          <w:p>
            <w:pPr>
              <w:spacing w:lineRule="exact" w:line="600"/>
              <w:jc w:val="center"/>
            </w:pPr>
            <w:r/>
            <w:r>
              <w:rPr>
                <w:rFonts w:ascii="仿宋_GB2312" w:hAnsi="仿宋_GB2312" w:eastAsia="仿宋_GB2312"/>
                <w:b w:val="0"/>
                <w:color w:val="000000"/>
                <w:sz w:val="32"/>
              </w:rPr>
              <w:t>新华网，2024</w:t>
            </w:r>
          </w:p>
        </w:tc>
      </w:tr>
      <w:tr>
        <w:tc>
          <w:tcPr>
            <w:tcW w:type="dxa" w:w="2835"/>
          </w:tcPr>
          <w:p>
            <w:pPr>
              <w:spacing w:lineRule="exact" w:line="600"/>
              <w:jc w:val="center"/>
            </w:pPr>
            <w:r/>
            <w:r>
              <w:rPr>
                <w:rFonts w:ascii="仿宋_GB2312" w:hAnsi="仿宋_GB2312" w:eastAsia="仿宋_GB2312"/>
                <w:b w:val="0"/>
                <w:color w:val="000000"/>
                <w:sz w:val="32"/>
              </w:rPr>
              <w:t>数智信通目标</w:t>
            </w:r>
          </w:p>
        </w:tc>
        <w:tc>
          <w:tcPr>
            <w:tcW w:type="dxa" w:w="3118"/>
          </w:tcPr>
          <w:p>
            <w:pPr>
              <w:spacing w:lineRule="exact" w:line="600"/>
              <w:jc w:val="center"/>
            </w:pPr>
            <w:r/>
            <w:r>
              <w:rPr>
                <w:rFonts w:ascii="仿宋_GB2312" w:hAnsi="仿宋_GB2312" w:eastAsia="仿宋_GB2312"/>
                <w:b w:val="0"/>
                <w:color w:val="000000"/>
                <w:sz w:val="32"/>
              </w:rPr>
              <w:t>突破160亿元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产业定位</w:t>
            </w:r>
          </w:p>
        </w:tc>
        <w:tc>
          <w:tcPr>
            <w:tcW w:type="dxa" w:w="3118"/>
          </w:tcPr>
          <w:p>
            <w:pPr>
              <w:spacing w:lineRule="exact" w:line="600"/>
              <w:jc w:val="center"/>
            </w:pPr>
            <w:r/>
            <w:r>
              <w:rPr>
                <w:rFonts w:ascii="仿宋_GB2312" w:hAnsi="仿宋_GB2312" w:eastAsia="仿宋_GB2312"/>
                <w:b w:val="0"/>
                <w:color w:val="000000"/>
                <w:sz w:val="32"/>
              </w:rPr>
              <w:t>全省最早大数据集聚区</w:t>
            </w:r>
          </w:p>
        </w:tc>
        <w:tc>
          <w:tcPr>
            <w:tcW w:type="dxa" w:w="3118"/>
          </w:tcPr>
          <w:p>
            <w:pPr>
              <w:spacing w:lineRule="exact" w:line="600"/>
              <w:jc w:val="center"/>
            </w:pPr>
            <w:r/>
            <w:r>
              <w:rPr>
                <w:rFonts w:ascii="仿宋_GB2312" w:hAnsi="仿宋_GB2312" w:eastAsia="仿宋_GB2312"/>
                <w:b w:val="0"/>
                <w:color w:val="000000"/>
                <w:sz w:val="32"/>
              </w:rPr>
              <w:t>市中区工信局，2024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（一）算力基础设施层</w:t>
      </w:r>
    </w:p>
    <w:p>
      <w:pPr>
        <w:spacing w:lineRule="exact" w:line="600" w:before="0" w:after="0"/>
        <w:ind w:firstLine="420"/>
        <w:jc w:val="both"/>
      </w:pPr>
      <w:r>
        <w:rPr>
          <w:rFonts w:ascii="仿宋_GB2312" w:hAnsi="仿宋_GB2312" w:eastAsia="仿宋_GB2312"/>
          <w:b w:val="0"/>
          <w:color w:val="000000"/>
          <w:sz w:val="32"/>
        </w:rPr>
        <w:t>以智算中心、数据中心为核心。山东未来云谷布局200P智算中心（一期与科大讯飞合作100P、PUE&lt;1.3）；协同济南市人工智能场景创新中心、山东未来网络研究院算力中心、国家大学科技园智算中心等四大节点；中科（济南）超级云智算中心提供先进算力（来源：市中区工信局、2026政府工作报告，2024—2026）。</w:t>
      </w:r>
    </w:p>
    <w:p>
      <w:pPr>
        <w:spacing w:lineRule="exact" w:line="600" w:before="120" w:after="120"/>
        <w:ind w:firstLine="420"/>
        <w:jc w:val="left"/>
      </w:pPr>
      <w:r>
        <w:rPr>
          <w:rFonts w:ascii="楷体_GB2312" w:hAnsi="楷体_GB2312" w:eastAsia="楷体_GB2312"/>
          <w:b w:val="0"/>
          <w:color w:val="000000"/>
          <w:sz w:val="32"/>
        </w:rPr>
        <w:t>（二）网络与能源层</w:t>
      </w:r>
    </w:p>
    <w:p>
      <w:pPr>
        <w:spacing w:lineRule="exact" w:line="600" w:before="0" w:after="0"/>
        <w:ind w:firstLine="420"/>
        <w:jc w:val="both"/>
      </w:pPr>
      <w:r>
        <w:rPr>
          <w:rFonts w:ascii="仿宋_GB2312" w:hAnsi="仿宋_GB2312" w:eastAsia="仿宋_GB2312"/>
          <w:b w:val="0"/>
          <w:color w:val="000000"/>
          <w:sz w:val="32"/>
        </w:rPr>
        <w:t>以确定性网络为底座，山东未来集团构建网算能一体化平台；园区规划光储直柔智慧综合能源中心、人工智能新基建一期，每年提供约550万kWh绿色电能，降低入驻企业碳排（来源：济南市工信局，2024）。</w:t>
      </w:r>
    </w:p>
    <w:p>
      <w:pPr>
        <w:spacing w:lineRule="exact" w:line="600" w:before="120" w:after="120"/>
        <w:ind w:firstLine="420"/>
        <w:jc w:val="left"/>
      </w:pPr>
      <w:r>
        <w:rPr>
          <w:rFonts w:ascii="楷体_GB2312" w:hAnsi="楷体_GB2312" w:eastAsia="楷体_GB2312"/>
          <w:b w:val="0"/>
          <w:color w:val="000000"/>
          <w:sz w:val="32"/>
        </w:rPr>
        <w:t>（三）应用与生态层</w:t>
      </w:r>
    </w:p>
    <w:p>
      <w:pPr>
        <w:spacing w:lineRule="exact" w:line="600" w:before="0" w:after="0"/>
        <w:ind w:firstLine="420"/>
        <w:jc w:val="both"/>
      </w:pPr>
      <w:r>
        <w:rPr>
          <w:rFonts w:ascii="仿宋_GB2312" w:hAnsi="仿宋_GB2312" w:eastAsia="仿宋_GB2312"/>
          <w:b w:val="0"/>
          <w:color w:val="000000"/>
          <w:sz w:val="32"/>
        </w:rPr>
        <w:t>依托算力与网络，发展AI应用、数据标注、元宇宙、低空经济等。园区与字节跳动火山引擎共建数据标注基地，引入能建数科华东总部聚焦综合能源与智慧城市（来源：济南市工信局，2024）。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层级</w:t>
            </w:r>
          </w:p>
        </w:tc>
        <w:tc>
          <w:tcPr>
            <w:tcW w:type="dxa" w:w="3685"/>
          </w:tcPr>
          <w:p>
            <w:pPr>
              <w:spacing w:lineRule="exact" w:line="600"/>
              <w:jc w:val="center"/>
            </w:pPr>
            <w:r/>
            <w:r>
              <w:rPr>
                <w:rFonts w:ascii="黑体" w:hAnsi="黑体" w:eastAsia="黑体"/>
                <w:b/>
                <w:color w:val="000000"/>
                <w:sz w:val="32"/>
              </w:rPr>
              <w:t>内容/企业</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算力</w:t>
            </w:r>
          </w:p>
        </w:tc>
        <w:tc>
          <w:tcPr>
            <w:tcW w:type="dxa" w:w="3685"/>
          </w:tcPr>
          <w:p>
            <w:pPr>
              <w:spacing w:lineRule="exact" w:line="600"/>
              <w:jc w:val="center"/>
            </w:pPr>
            <w:r/>
            <w:r>
              <w:rPr>
                <w:rFonts w:ascii="仿宋_GB2312" w:hAnsi="仿宋_GB2312" w:eastAsia="仿宋_GB2312"/>
                <w:b w:val="0"/>
                <w:color w:val="000000"/>
                <w:sz w:val="32"/>
              </w:rPr>
              <w:t>未来云谷智算中心</w:t>
            </w:r>
          </w:p>
        </w:tc>
        <w:tc>
          <w:tcPr>
            <w:tcW w:type="dxa" w:w="3118"/>
          </w:tcPr>
          <w:p>
            <w:pPr>
              <w:spacing w:lineRule="exact" w:line="600"/>
              <w:jc w:val="center"/>
            </w:pPr>
            <w:r/>
            <w:r>
              <w:rPr>
                <w:rFonts w:ascii="仿宋_GB2312" w:hAnsi="仿宋_GB2312" w:eastAsia="仿宋_GB2312"/>
                <w:b w:val="0"/>
                <w:color w:val="000000"/>
                <w:sz w:val="32"/>
              </w:rPr>
              <w:t>200P（一期100P，PUE&lt;1.3）</w:t>
            </w:r>
          </w:p>
        </w:tc>
      </w:tr>
      <w:tr>
        <w:tc>
          <w:tcPr>
            <w:tcW w:type="dxa" w:w="2268"/>
          </w:tcPr>
          <w:p>
            <w:pPr>
              <w:spacing w:lineRule="exact" w:line="600"/>
              <w:jc w:val="center"/>
            </w:pPr>
            <w:r/>
            <w:r>
              <w:rPr>
                <w:rFonts w:ascii="仿宋_GB2312" w:hAnsi="仿宋_GB2312" w:eastAsia="仿宋_GB2312"/>
                <w:b w:val="0"/>
                <w:color w:val="000000"/>
                <w:sz w:val="32"/>
              </w:rPr>
              <w:t>算力</w:t>
            </w:r>
          </w:p>
        </w:tc>
        <w:tc>
          <w:tcPr>
            <w:tcW w:type="dxa" w:w="3685"/>
          </w:tcPr>
          <w:p>
            <w:pPr>
              <w:spacing w:lineRule="exact" w:line="600"/>
              <w:jc w:val="center"/>
            </w:pPr>
            <w:r/>
            <w:r>
              <w:rPr>
                <w:rFonts w:ascii="仿宋_GB2312" w:hAnsi="仿宋_GB2312" w:eastAsia="仿宋_GB2312"/>
                <w:b w:val="0"/>
                <w:color w:val="000000"/>
                <w:sz w:val="32"/>
              </w:rPr>
              <w:t>中科超级云智算中心</w:t>
            </w:r>
          </w:p>
        </w:tc>
        <w:tc>
          <w:tcPr>
            <w:tcW w:type="dxa" w:w="3118"/>
          </w:tcPr>
          <w:p>
            <w:pPr>
              <w:spacing w:lineRule="exact" w:line="600"/>
              <w:jc w:val="center"/>
            </w:pPr>
            <w:r/>
            <w:r>
              <w:rPr>
                <w:rFonts w:ascii="仿宋_GB2312" w:hAnsi="仿宋_GB2312" w:eastAsia="仿宋_GB2312"/>
                <w:b w:val="0"/>
                <w:color w:val="000000"/>
                <w:sz w:val="32"/>
              </w:rPr>
              <w:t>先进算力节点</w:t>
            </w:r>
          </w:p>
        </w:tc>
      </w:tr>
      <w:tr>
        <w:tc>
          <w:tcPr>
            <w:tcW w:type="dxa" w:w="2268"/>
          </w:tcPr>
          <w:p>
            <w:pPr>
              <w:spacing w:lineRule="exact" w:line="600"/>
              <w:jc w:val="center"/>
            </w:pPr>
            <w:r/>
            <w:r>
              <w:rPr>
                <w:rFonts w:ascii="仿宋_GB2312" w:hAnsi="仿宋_GB2312" w:eastAsia="仿宋_GB2312"/>
                <w:b w:val="0"/>
                <w:color w:val="000000"/>
                <w:sz w:val="32"/>
              </w:rPr>
              <w:t>网络</w:t>
            </w:r>
          </w:p>
        </w:tc>
        <w:tc>
          <w:tcPr>
            <w:tcW w:type="dxa" w:w="3685"/>
          </w:tcPr>
          <w:p>
            <w:pPr>
              <w:spacing w:lineRule="exact" w:line="600"/>
              <w:jc w:val="center"/>
            </w:pPr>
            <w:r/>
            <w:r>
              <w:rPr>
                <w:rFonts w:ascii="仿宋_GB2312" w:hAnsi="仿宋_GB2312" w:eastAsia="仿宋_GB2312"/>
                <w:b w:val="0"/>
                <w:color w:val="000000"/>
                <w:sz w:val="32"/>
              </w:rPr>
              <w:t>确定性网络（未来集团）</w:t>
            </w:r>
          </w:p>
        </w:tc>
        <w:tc>
          <w:tcPr>
            <w:tcW w:type="dxa" w:w="3118"/>
          </w:tcPr>
          <w:p>
            <w:pPr>
              <w:spacing w:lineRule="exact" w:line="600"/>
              <w:jc w:val="center"/>
            </w:pPr>
            <w:r/>
            <w:r>
              <w:rPr>
                <w:rFonts w:ascii="仿宋_GB2312" w:hAnsi="仿宋_GB2312" w:eastAsia="仿宋_GB2312"/>
                <w:b w:val="0"/>
                <w:color w:val="000000"/>
                <w:sz w:val="32"/>
              </w:rPr>
              <w:t>网算能一体化</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685"/>
          </w:tcPr>
          <w:p>
            <w:pPr>
              <w:spacing w:lineRule="exact" w:line="600"/>
              <w:jc w:val="center"/>
            </w:pPr>
            <w:r/>
            <w:r>
              <w:rPr>
                <w:rFonts w:ascii="仿宋_GB2312" w:hAnsi="仿宋_GB2312" w:eastAsia="仿宋_GB2312"/>
                <w:b w:val="0"/>
                <w:color w:val="000000"/>
                <w:sz w:val="32"/>
              </w:rPr>
              <w:t>光储直柔中心</w:t>
            </w:r>
          </w:p>
        </w:tc>
        <w:tc>
          <w:tcPr>
            <w:tcW w:type="dxa" w:w="3118"/>
          </w:tcPr>
          <w:p>
            <w:pPr>
              <w:spacing w:lineRule="exact" w:line="600"/>
              <w:jc w:val="center"/>
            </w:pPr>
            <w:r/>
            <w:r>
              <w:rPr>
                <w:rFonts w:ascii="仿宋_GB2312" w:hAnsi="仿宋_GB2312" w:eastAsia="仿宋_GB2312"/>
                <w:b w:val="0"/>
                <w:color w:val="000000"/>
                <w:sz w:val="32"/>
              </w:rPr>
              <w:t>年供绿电550万kWh</w:t>
            </w:r>
          </w:p>
        </w:tc>
      </w:tr>
      <w:tr>
        <w:tc>
          <w:tcPr>
            <w:tcW w:type="dxa" w:w="2268"/>
          </w:tcPr>
          <w:p>
            <w:pPr>
              <w:spacing w:lineRule="exact" w:line="600"/>
              <w:jc w:val="center"/>
            </w:pPr>
            <w:r/>
            <w:r>
              <w:rPr>
                <w:rFonts w:ascii="仿宋_GB2312" w:hAnsi="仿宋_GB2312" w:eastAsia="仿宋_GB2312"/>
                <w:b w:val="0"/>
                <w:color w:val="000000"/>
                <w:sz w:val="32"/>
              </w:rPr>
              <w:t>应用</w:t>
            </w:r>
          </w:p>
        </w:tc>
        <w:tc>
          <w:tcPr>
            <w:tcW w:type="dxa" w:w="3685"/>
          </w:tcPr>
          <w:p>
            <w:pPr>
              <w:spacing w:lineRule="exact" w:line="600"/>
              <w:jc w:val="center"/>
            </w:pPr>
            <w:r/>
            <w:r>
              <w:rPr>
                <w:rFonts w:ascii="仿宋_GB2312" w:hAnsi="仿宋_GB2312" w:eastAsia="仿宋_GB2312"/>
                <w:b w:val="0"/>
                <w:color w:val="000000"/>
                <w:sz w:val="32"/>
              </w:rPr>
              <w:t>数据标注/元宇宙</w:t>
            </w:r>
          </w:p>
        </w:tc>
        <w:tc>
          <w:tcPr>
            <w:tcW w:type="dxa" w:w="3118"/>
          </w:tcPr>
          <w:p>
            <w:pPr>
              <w:spacing w:lineRule="exact" w:line="600"/>
              <w:jc w:val="center"/>
            </w:pPr>
            <w:r/>
            <w:r>
              <w:rPr>
                <w:rFonts w:ascii="仿宋_GB2312" w:hAnsi="仿宋_GB2312" w:eastAsia="仿宋_GB2312"/>
                <w:b w:val="0"/>
                <w:color w:val="000000"/>
                <w:sz w:val="32"/>
              </w:rPr>
              <w:t>火山引擎合作</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（一）算力需求</w:t>
      </w:r>
    </w:p>
    <w:p>
      <w:pPr>
        <w:spacing w:lineRule="exact" w:line="600" w:before="0" w:after="0"/>
        <w:ind w:firstLine="420"/>
        <w:jc w:val="both"/>
      </w:pPr>
      <w:r>
        <w:rPr>
          <w:rFonts w:ascii="仿宋_GB2312" w:hAnsi="仿宋_GB2312" w:eastAsia="仿宋_GB2312"/>
          <w:b w:val="0"/>
          <w:color w:val="000000"/>
          <w:sz w:val="32"/>
        </w:rPr>
        <w:t>AI大模型训练推理、智能制造、智慧城市推高智算需求。山东未来集团三年目标调度算力规模达15000PFLOPS，覆盖3万公里确定性网络、打造50个「AI+确定性网络」典型应用（来源：济南市科技局，2025）。</w:t>
      </w:r>
    </w:p>
    <w:p>
      <w:pPr>
        <w:spacing w:lineRule="exact" w:line="600" w:before="120" w:after="120"/>
        <w:ind w:firstLine="420"/>
        <w:jc w:val="left"/>
      </w:pPr>
      <w:r>
        <w:rPr>
          <w:rFonts w:ascii="楷体_GB2312" w:hAnsi="楷体_GB2312" w:eastAsia="楷体_GB2312"/>
          <w:b w:val="0"/>
          <w:color w:val="000000"/>
          <w:sz w:val="32"/>
        </w:rPr>
        <w:t>（二）供给与区域格局</w:t>
      </w:r>
    </w:p>
    <w:p>
      <w:pPr>
        <w:spacing w:lineRule="exact" w:line="600" w:before="0" w:after="0"/>
        <w:ind w:firstLine="420"/>
        <w:jc w:val="both"/>
      </w:pPr>
      <w:r>
        <w:rPr>
          <w:rFonts w:ascii="仿宋_GB2312" w:hAnsi="仿宋_GB2312" w:eastAsia="仿宋_GB2312"/>
          <w:b w:val="0"/>
          <w:color w:val="000000"/>
          <w:sz w:val="32"/>
        </w:rPr>
        <w:t>济南与青岛、烟台等市竞逐智算枢纽。市中区以「算力招商」为抓手，联合华为、腾讯、科大讯飞搭建数字人才基地与数据标注平台，形成差异化（来源：新浪财经，2025）。</w:t>
      </w:r>
    </w:p>
    <w:p>
      <w:pPr>
        <w:spacing w:lineRule="exact" w:line="600" w:before="120" w:after="120"/>
        <w:ind w:firstLine="420"/>
        <w:jc w:val="left"/>
      </w:pPr>
      <w:r>
        <w:rPr>
          <w:rFonts w:ascii="楷体_GB2312" w:hAnsi="楷体_GB2312" w:eastAsia="楷体_GB2312"/>
          <w:b w:val="0"/>
          <w:color w:val="000000"/>
          <w:sz w:val="32"/>
        </w:rPr>
        <w:t>（三）绿色算力竞争</w:t>
      </w:r>
    </w:p>
    <w:p>
      <w:pPr>
        <w:spacing w:lineRule="exact" w:line="600" w:before="0" w:after="0"/>
        <w:ind w:firstLine="420"/>
        <w:jc w:val="both"/>
      </w:pPr>
      <w:r>
        <w:rPr>
          <w:rFonts w:ascii="仿宋_GB2312" w:hAnsi="仿宋_GB2312" w:eastAsia="仿宋_GB2312"/>
          <w:b w:val="0"/>
          <w:color w:val="000000"/>
          <w:sz w:val="32"/>
        </w:rPr>
        <w:t>PUE成为核心竞争力，未来云谷智算中心PUE设计&lt;1.3、配光储直柔年供绿电550万kWh，契合绿色低碳导向（来源：济南市工信局，2024）。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未来云谷智算</w:t>
            </w:r>
          </w:p>
        </w:tc>
        <w:tc>
          <w:tcPr>
            <w:tcW w:type="dxa" w:w="3118"/>
          </w:tcPr>
          <w:p>
            <w:pPr>
              <w:spacing w:lineRule="exact" w:line="600"/>
              <w:jc w:val="center"/>
            </w:pPr>
            <w:r/>
            <w:r>
              <w:rPr>
                <w:rFonts w:ascii="仿宋_GB2312" w:hAnsi="仿宋_GB2312" w:eastAsia="仿宋_GB2312"/>
                <w:b w:val="0"/>
                <w:color w:val="000000"/>
                <w:sz w:val="32"/>
              </w:rPr>
              <w:t>200P（一期100P）</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PUE</w:t>
            </w:r>
          </w:p>
        </w:tc>
        <w:tc>
          <w:tcPr>
            <w:tcW w:type="dxa" w:w="3118"/>
          </w:tcPr>
          <w:p>
            <w:pPr>
              <w:spacing w:lineRule="exact" w:line="600"/>
              <w:jc w:val="center"/>
            </w:pPr>
            <w:r/>
            <w:r>
              <w:rPr>
                <w:rFonts w:ascii="仿宋_GB2312" w:hAnsi="仿宋_GB2312" w:eastAsia="仿宋_GB2312"/>
                <w:b w:val="0"/>
                <w:color w:val="000000"/>
                <w:sz w:val="32"/>
              </w:rPr>
              <w:t>&lt;1.3</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绿电</w:t>
            </w:r>
          </w:p>
        </w:tc>
        <w:tc>
          <w:tcPr>
            <w:tcW w:type="dxa" w:w="3118"/>
          </w:tcPr>
          <w:p>
            <w:pPr>
              <w:spacing w:lineRule="exact" w:line="600"/>
              <w:jc w:val="center"/>
            </w:pPr>
            <w:r/>
            <w:r>
              <w:rPr>
                <w:rFonts w:ascii="仿宋_GB2312" w:hAnsi="仿宋_GB2312" w:eastAsia="仿宋_GB2312"/>
                <w:b w:val="0"/>
                <w:color w:val="000000"/>
                <w:sz w:val="32"/>
              </w:rPr>
              <w:t>550万kWh/年</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未来集团调度</w:t>
            </w:r>
          </w:p>
        </w:tc>
        <w:tc>
          <w:tcPr>
            <w:tcW w:type="dxa" w:w="3118"/>
          </w:tcPr>
          <w:p>
            <w:pPr>
              <w:spacing w:lineRule="exact" w:line="600"/>
              <w:jc w:val="center"/>
            </w:pPr>
            <w:r/>
            <w:r>
              <w:rPr>
                <w:rFonts w:ascii="仿宋_GB2312" w:hAnsi="仿宋_GB2312" w:eastAsia="仿宋_GB2312"/>
                <w:b w:val="0"/>
                <w:color w:val="000000"/>
                <w:sz w:val="32"/>
              </w:rPr>
              <w:t>15000PFLOPS</w:t>
            </w:r>
          </w:p>
        </w:tc>
        <w:tc>
          <w:tcPr>
            <w:tcW w:type="dxa" w:w="3118"/>
          </w:tcPr>
          <w:p>
            <w:pPr>
              <w:spacing w:lineRule="exact" w:line="600"/>
              <w:jc w:val="center"/>
            </w:pPr>
            <w:r/>
            <w:r>
              <w:rPr>
                <w:rFonts w:ascii="仿宋_GB2312" w:hAnsi="仿宋_GB2312" w:eastAsia="仿宋_GB2312"/>
                <w:b w:val="0"/>
                <w:color w:val="000000"/>
                <w:sz w:val="32"/>
              </w:rPr>
              <w:t>济南市科技局，2025</w:t>
            </w:r>
          </w:p>
        </w:tc>
      </w:tr>
      <w:tr>
        <w:tc>
          <w:tcPr>
            <w:tcW w:type="dxa" w:w="2835"/>
          </w:tcPr>
          <w:p>
            <w:pPr>
              <w:spacing w:lineRule="exact" w:line="600"/>
              <w:jc w:val="center"/>
            </w:pPr>
            <w:r/>
            <w:r>
              <w:rPr>
                <w:rFonts w:ascii="仿宋_GB2312" w:hAnsi="仿宋_GB2312" w:eastAsia="仿宋_GB2312"/>
                <w:b w:val="0"/>
                <w:color w:val="000000"/>
                <w:sz w:val="32"/>
              </w:rPr>
              <w:t>确定性网络</w:t>
            </w:r>
          </w:p>
        </w:tc>
        <w:tc>
          <w:tcPr>
            <w:tcW w:type="dxa" w:w="3118"/>
          </w:tcPr>
          <w:p>
            <w:pPr>
              <w:spacing w:lineRule="exact" w:line="600"/>
              <w:jc w:val="center"/>
            </w:pPr>
            <w:r/>
            <w:r>
              <w:rPr>
                <w:rFonts w:ascii="仿宋_GB2312" w:hAnsi="仿宋_GB2312" w:eastAsia="仿宋_GB2312"/>
                <w:b w:val="0"/>
                <w:color w:val="000000"/>
                <w:sz w:val="32"/>
              </w:rPr>
              <w:t>3万公里</w:t>
            </w:r>
          </w:p>
        </w:tc>
        <w:tc>
          <w:tcPr>
            <w:tcW w:type="dxa" w:w="3118"/>
          </w:tcPr>
          <w:p>
            <w:pPr>
              <w:spacing w:lineRule="exact" w:line="600"/>
              <w:jc w:val="center"/>
            </w:pPr>
            <w:r/>
            <w:r>
              <w:rPr>
                <w:rFonts w:ascii="仿宋_GB2312" w:hAnsi="仿宋_GB2312" w:eastAsia="仿宋_GB2312"/>
                <w:b w:val="0"/>
                <w:color w:val="000000"/>
                <w:sz w:val="32"/>
              </w:rPr>
              <w:t>济南市科技局，2025</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（一）核心载体</w:t>
      </w:r>
    </w:p>
    <w:p>
      <w:pPr>
        <w:spacing w:lineRule="exact" w:line="600" w:before="0" w:after="0"/>
        <w:ind w:firstLine="420"/>
        <w:jc w:val="both"/>
      </w:pPr>
      <w:r>
        <w:rPr>
          <w:rFonts w:ascii="仿宋_GB2312" w:hAnsi="仿宋_GB2312" w:eastAsia="仿宋_GB2312"/>
          <w:b w:val="0"/>
          <w:color w:val="000000"/>
          <w:sz w:val="32"/>
        </w:rPr>
        <w:t>山东未来云谷为未来产业算网用一体化项目「起步园区」，总建筑面积26万㎡、总投资20.6亿元；一期产业中心18.95万㎡、占地113亩、投资13.02亿元，2024年9月底交付；已签约山东未来集团、科大讯飞济南公司、中科信控等7家龙头（来源：济南市工信局，2024）。</w:t>
      </w:r>
    </w:p>
    <w:p>
      <w:pPr>
        <w:spacing w:lineRule="exact" w:line="600" w:before="120" w:after="120"/>
        <w:ind w:firstLine="420"/>
        <w:jc w:val="left"/>
      </w:pPr>
      <w:r>
        <w:rPr>
          <w:rFonts w:ascii="楷体_GB2312" w:hAnsi="楷体_GB2312" w:eastAsia="楷体_GB2312"/>
          <w:b w:val="0"/>
          <w:color w:val="000000"/>
          <w:sz w:val="32"/>
        </w:rPr>
        <w:t>（二）龙头企业</w:t>
      </w:r>
    </w:p>
    <w:p>
      <w:pPr>
        <w:spacing w:lineRule="exact" w:line="600" w:before="0" w:after="0"/>
        <w:ind w:firstLine="420"/>
        <w:jc w:val="both"/>
      </w:pPr>
      <w:r>
        <w:rPr>
          <w:rFonts w:ascii="仿宋_GB2312" w:hAnsi="仿宋_GB2312" w:eastAsia="仿宋_GB2312"/>
          <w:b w:val="0"/>
          <w:color w:val="000000"/>
          <w:sz w:val="32"/>
        </w:rPr>
        <w:t>科大讯飞济南公司为AI链主，山东未来集团为确定性网络与算力运营主体，中科信控等入驻；全部入驻后预计年均营收超60亿元、税收超3亿元、就业1万人以上（来源：济南市工信局、市中区，2024）。</w:t>
      </w:r>
    </w:p>
    <w:p>
      <w:pPr>
        <w:spacing w:lineRule="exact" w:line="600" w:before="120" w:after="120"/>
        <w:ind w:firstLine="420"/>
        <w:jc w:val="left"/>
      </w:pPr>
      <w:r>
        <w:rPr>
          <w:rFonts w:ascii="楷体_GB2312" w:hAnsi="楷体_GB2312" w:eastAsia="楷体_GB2312"/>
          <w:b w:val="0"/>
          <w:color w:val="000000"/>
          <w:sz w:val="32"/>
        </w:rPr>
        <w:t>（三）平台与生态</w:t>
      </w:r>
    </w:p>
    <w:p>
      <w:pPr>
        <w:spacing w:lineRule="exact" w:line="600" w:before="0" w:after="0"/>
        <w:ind w:firstLine="420"/>
        <w:jc w:val="both"/>
      </w:pPr>
      <w:r>
        <w:rPr>
          <w:rFonts w:ascii="仿宋_GB2312" w:hAnsi="仿宋_GB2312" w:eastAsia="仿宋_GB2312"/>
          <w:b w:val="0"/>
          <w:color w:val="000000"/>
          <w:sz w:val="32"/>
        </w:rPr>
        <w:t>市中未来数字产业发展有限公司2024年4月完成数据资源入表，登记270个数据表、2983286条数据，获省数据交易有限公司证书，为省内第一家数据资产入表的区县平台公司（来源：市中区工信局，2024）。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主体</w:t>
            </w:r>
          </w:p>
        </w:tc>
        <w:tc>
          <w:tcPr>
            <w:tcW w:type="dxa" w:w="2835"/>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数据</w:t>
            </w:r>
          </w:p>
        </w:tc>
      </w:tr>
      <w:tr>
        <w:tc>
          <w:tcPr>
            <w:tcW w:type="dxa" w:w="2551"/>
          </w:tcPr>
          <w:p>
            <w:pPr>
              <w:spacing w:lineRule="exact" w:line="600"/>
              <w:jc w:val="center"/>
            </w:pPr>
            <w:r/>
            <w:r>
              <w:rPr>
                <w:rFonts w:ascii="仿宋_GB2312" w:hAnsi="仿宋_GB2312" w:eastAsia="仿宋_GB2312"/>
                <w:b w:val="0"/>
                <w:color w:val="000000"/>
                <w:sz w:val="32"/>
              </w:rPr>
              <w:t>山东未来云谷</w:t>
            </w:r>
          </w:p>
        </w:tc>
        <w:tc>
          <w:tcPr>
            <w:tcW w:type="dxa" w:w="2835"/>
          </w:tcPr>
          <w:p>
            <w:pPr>
              <w:spacing w:lineRule="exact" w:line="600"/>
              <w:jc w:val="center"/>
            </w:pPr>
            <w:r/>
            <w:r>
              <w:rPr>
                <w:rFonts w:ascii="仿宋_GB2312" w:hAnsi="仿宋_GB2312" w:eastAsia="仿宋_GB2312"/>
                <w:b w:val="0"/>
                <w:color w:val="000000"/>
                <w:sz w:val="32"/>
              </w:rPr>
              <w:t>核心载体</w:t>
            </w:r>
          </w:p>
        </w:tc>
        <w:tc>
          <w:tcPr>
            <w:tcW w:type="dxa" w:w="3685"/>
          </w:tcPr>
          <w:p>
            <w:pPr>
              <w:spacing w:lineRule="exact" w:line="600"/>
              <w:jc w:val="center"/>
            </w:pPr>
            <w:r/>
            <w:r>
              <w:rPr>
                <w:rFonts w:ascii="仿宋_GB2312" w:hAnsi="仿宋_GB2312" w:eastAsia="仿宋_GB2312"/>
                <w:b w:val="0"/>
                <w:color w:val="000000"/>
                <w:sz w:val="32"/>
              </w:rPr>
              <w:t>26万㎡/20.6亿</w:t>
            </w:r>
          </w:p>
        </w:tc>
      </w:tr>
      <w:tr>
        <w:tc>
          <w:tcPr>
            <w:tcW w:type="dxa" w:w="2551"/>
          </w:tcPr>
          <w:p>
            <w:pPr>
              <w:spacing w:lineRule="exact" w:line="600"/>
              <w:jc w:val="center"/>
            </w:pPr>
            <w:r/>
            <w:r>
              <w:rPr>
                <w:rFonts w:ascii="仿宋_GB2312" w:hAnsi="仿宋_GB2312" w:eastAsia="仿宋_GB2312"/>
                <w:b w:val="0"/>
                <w:color w:val="000000"/>
                <w:sz w:val="32"/>
              </w:rPr>
              <w:t>科大讯飞济南</w:t>
            </w:r>
          </w:p>
        </w:tc>
        <w:tc>
          <w:tcPr>
            <w:tcW w:type="dxa" w:w="2835"/>
          </w:tcPr>
          <w:p>
            <w:pPr>
              <w:spacing w:lineRule="exact" w:line="600"/>
              <w:jc w:val="center"/>
            </w:pPr>
            <w:r/>
            <w:r>
              <w:rPr>
                <w:rFonts w:ascii="仿宋_GB2312" w:hAnsi="仿宋_GB2312" w:eastAsia="仿宋_GB2312"/>
                <w:b w:val="0"/>
                <w:color w:val="000000"/>
                <w:sz w:val="32"/>
              </w:rPr>
              <w:t>AI链主</w:t>
            </w:r>
          </w:p>
        </w:tc>
        <w:tc>
          <w:tcPr>
            <w:tcW w:type="dxa" w:w="3685"/>
          </w:tcPr>
          <w:p>
            <w:pPr>
              <w:spacing w:lineRule="exact" w:line="600"/>
              <w:jc w:val="center"/>
            </w:pPr>
            <w:r/>
            <w:r>
              <w:rPr>
                <w:rFonts w:ascii="仿宋_GB2312" w:hAnsi="仿宋_GB2312" w:eastAsia="仿宋_GB2312"/>
                <w:b w:val="0"/>
                <w:color w:val="000000"/>
                <w:sz w:val="32"/>
              </w:rPr>
              <w:t>7家龙头之一</w:t>
            </w:r>
          </w:p>
        </w:tc>
      </w:tr>
      <w:tr>
        <w:tc>
          <w:tcPr>
            <w:tcW w:type="dxa" w:w="2551"/>
          </w:tcPr>
          <w:p>
            <w:pPr>
              <w:spacing w:lineRule="exact" w:line="600"/>
              <w:jc w:val="center"/>
            </w:pPr>
            <w:r/>
            <w:r>
              <w:rPr>
                <w:rFonts w:ascii="仿宋_GB2312" w:hAnsi="仿宋_GB2312" w:eastAsia="仿宋_GB2312"/>
                <w:b w:val="0"/>
                <w:color w:val="000000"/>
                <w:sz w:val="32"/>
              </w:rPr>
              <w:t>山东未来集团</w:t>
            </w:r>
          </w:p>
        </w:tc>
        <w:tc>
          <w:tcPr>
            <w:tcW w:type="dxa" w:w="2835"/>
          </w:tcPr>
          <w:p>
            <w:pPr>
              <w:spacing w:lineRule="exact" w:line="600"/>
              <w:jc w:val="center"/>
            </w:pPr>
            <w:r/>
            <w:r>
              <w:rPr>
                <w:rFonts w:ascii="仿宋_GB2312" w:hAnsi="仿宋_GB2312" w:eastAsia="仿宋_GB2312"/>
                <w:b w:val="0"/>
                <w:color w:val="000000"/>
                <w:sz w:val="32"/>
              </w:rPr>
              <w:t>算力/网络运营</w:t>
            </w:r>
          </w:p>
        </w:tc>
        <w:tc>
          <w:tcPr>
            <w:tcW w:type="dxa" w:w="3685"/>
          </w:tcPr>
          <w:p>
            <w:pPr>
              <w:spacing w:lineRule="exact" w:line="600"/>
              <w:jc w:val="center"/>
            </w:pPr>
            <w:r/>
            <w:r>
              <w:rPr>
                <w:rFonts w:ascii="仿宋_GB2312" w:hAnsi="仿宋_GB2312" w:eastAsia="仿宋_GB2312"/>
                <w:b w:val="0"/>
                <w:color w:val="000000"/>
                <w:sz w:val="32"/>
              </w:rPr>
              <w:t>15000PFLOPS目标</w:t>
            </w:r>
          </w:p>
        </w:tc>
      </w:tr>
      <w:tr>
        <w:tc>
          <w:tcPr>
            <w:tcW w:type="dxa" w:w="2551"/>
          </w:tcPr>
          <w:p>
            <w:pPr>
              <w:spacing w:lineRule="exact" w:line="600"/>
              <w:jc w:val="center"/>
            </w:pPr>
            <w:r/>
            <w:r>
              <w:rPr>
                <w:rFonts w:ascii="仿宋_GB2312" w:hAnsi="仿宋_GB2312" w:eastAsia="仿宋_GB2312"/>
                <w:b w:val="0"/>
                <w:color w:val="000000"/>
                <w:sz w:val="32"/>
              </w:rPr>
              <w:t>市中未来数字</w:t>
            </w:r>
          </w:p>
        </w:tc>
        <w:tc>
          <w:tcPr>
            <w:tcW w:type="dxa" w:w="2835"/>
          </w:tcPr>
          <w:p>
            <w:pPr>
              <w:spacing w:lineRule="exact" w:line="600"/>
              <w:jc w:val="center"/>
            </w:pPr>
            <w:r/>
            <w:r>
              <w:rPr>
                <w:rFonts w:ascii="仿宋_GB2312" w:hAnsi="仿宋_GB2312" w:eastAsia="仿宋_GB2312"/>
                <w:b w:val="0"/>
                <w:color w:val="000000"/>
                <w:sz w:val="32"/>
              </w:rPr>
              <w:t>数据入表平台</w:t>
            </w:r>
          </w:p>
        </w:tc>
        <w:tc>
          <w:tcPr>
            <w:tcW w:type="dxa" w:w="3685"/>
          </w:tcPr>
          <w:p>
            <w:pPr>
              <w:spacing w:lineRule="exact" w:line="600"/>
              <w:jc w:val="center"/>
            </w:pPr>
            <w:r/>
            <w:r>
              <w:rPr>
                <w:rFonts w:ascii="仿宋_GB2312" w:hAnsi="仿宋_GB2312" w:eastAsia="仿宋_GB2312"/>
                <w:b w:val="0"/>
                <w:color w:val="000000"/>
                <w:sz w:val="32"/>
              </w:rPr>
              <w:t>270表/298万条</w:t>
            </w:r>
          </w:p>
        </w:tc>
      </w:tr>
      <w:tr>
        <w:tc>
          <w:tcPr>
            <w:tcW w:type="dxa" w:w="2551"/>
          </w:tcPr>
          <w:p>
            <w:pPr>
              <w:spacing w:lineRule="exact" w:line="600"/>
              <w:jc w:val="center"/>
            </w:pPr>
            <w:r/>
            <w:r>
              <w:rPr>
                <w:rFonts w:ascii="仿宋_GB2312" w:hAnsi="仿宋_GB2312" w:eastAsia="仿宋_GB2312"/>
                <w:b w:val="0"/>
                <w:color w:val="000000"/>
                <w:sz w:val="32"/>
              </w:rPr>
              <w:t>入驻预期</w:t>
            </w:r>
          </w:p>
        </w:tc>
        <w:tc>
          <w:tcPr>
            <w:tcW w:type="dxa" w:w="2835"/>
          </w:tcPr>
          <w:p>
            <w:pPr>
              <w:spacing w:lineRule="exact" w:line="600"/>
              <w:jc w:val="center"/>
            </w:pPr>
            <w:r/>
            <w:r>
              <w:rPr>
                <w:rFonts w:ascii="仿宋_GB2312" w:hAnsi="仿宋_GB2312" w:eastAsia="仿宋_GB2312"/>
                <w:b w:val="0"/>
                <w:color w:val="000000"/>
                <w:sz w:val="32"/>
              </w:rPr>
              <w:t>7家龙头</w:t>
            </w:r>
          </w:p>
        </w:tc>
        <w:tc>
          <w:tcPr>
            <w:tcW w:type="dxa" w:w="3685"/>
          </w:tcPr>
          <w:p>
            <w:pPr>
              <w:spacing w:lineRule="exact" w:line="600"/>
              <w:jc w:val="center"/>
            </w:pPr>
            <w:r/>
            <w:r>
              <w:rPr>
                <w:rFonts w:ascii="仿宋_GB2312" w:hAnsi="仿宋_GB2312" w:eastAsia="仿宋_GB2312"/>
                <w:b w:val="0"/>
                <w:color w:val="000000"/>
                <w:sz w:val="32"/>
              </w:rPr>
              <w:t>年营收60亿+</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（一）确定性网络技术</w:t>
      </w:r>
    </w:p>
    <w:p>
      <w:pPr>
        <w:spacing w:lineRule="exact" w:line="600" w:before="0" w:after="0"/>
        <w:ind w:firstLine="420"/>
        <w:jc w:val="both"/>
      </w:pPr>
      <w:r>
        <w:rPr>
          <w:rFonts w:ascii="仿宋_GB2312" w:hAnsi="仿宋_GB2312" w:eastAsia="仿宋_GB2312"/>
          <w:b w:val="0"/>
          <w:color w:val="000000"/>
          <w:sz w:val="32"/>
        </w:rPr>
        <w:t>山东未来集团发布「1+2+N+X」战略体系，以确定性网络为底座构建网算能一体化平台与未来云平台，支撑多场景融合与数据要素流通（来源：济南市科技局，2025）。</w:t>
      </w:r>
    </w:p>
    <w:p>
      <w:pPr>
        <w:spacing w:lineRule="exact" w:line="600" w:before="120" w:after="120"/>
        <w:ind w:firstLine="420"/>
        <w:jc w:val="left"/>
      </w:pPr>
      <w:r>
        <w:rPr>
          <w:rFonts w:ascii="楷体_GB2312" w:hAnsi="楷体_GB2312" w:eastAsia="楷体_GB2312"/>
          <w:b w:val="0"/>
          <w:color w:val="000000"/>
          <w:sz w:val="32"/>
        </w:rPr>
        <w:t>（二）绿色算力技术</w:t>
      </w:r>
    </w:p>
    <w:p>
      <w:pPr>
        <w:spacing w:lineRule="exact" w:line="600" w:before="0" w:after="0"/>
        <w:ind w:firstLine="420"/>
        <w:jc w:val="both"/>
      </w:pPr>
      <w:r>
        <w:rPr>
          <w:rFonts w:ascii="仿宋_GB2312" w:hAnsi="仿宋_GB2312" w:eastAsia="仿宋_GB2312"/>
          <w:b w:val="0"/>
          <w:color w:val="000000"/>
          <w:sz w:val="32"/>
        </w:rPr>
        <w:t>未来云谷智算中心PUE设计&lt;1.3，配建光储直柔智慧综合能源中心与人工智能新基建一期，年供绿电约550万kWh；与山东未来集团联合打造联通省危化品预警系统和1289家重大危险源企业的行业专网（来源：济南市工信局，2024）。</w:t>
      </w:r>
    </w:p>
    <w:p>
      <w:pPr>
        <w:spacing w:lineRule="exact" w:line="600" w:before="120" w:after="120"/>
        <w:ind w:firstLine="420"/>
        <w:jc w:val="left"/>
      </w:pPr>
      <w:r>
        <w:rPr>
          <w:rFonts w:ascii="楷体_GB2312" w:hAnsi="楷体_GB2312" w:eastAsia="楷体_GB2312"/>
          <w:b w:val="0"/>
          <w:color w:val="000000"/>
          <w:sz w:val="32"/>
        </w:rPr>
        <w:t>（三）数据要素技术</w:t>
      </w:r>
    </w:p>
    <w:p>
      <w:pPr>
        <w:spacing w:lineRule="exact" w:line="600" w:before="0" w:after="0"/>
        <w:ind w:firstLine="420"/>
        <w:jc w:val="both"/>
      </w:pPr>
      <w:r>
        <w:rPr>
          <w:rFonts w:ascii="仿宋_GB2312" w:hAnsi="仿宋_GB2312" w:eastAsia="仿宋_GB2312"/>
          <w:b w:val="0"/>
          <w:color w:val="000000"/>
          <w:sz w:val="32"/>
        </w:rPr>
        <w:t>市中未来数字公司基于确定性算网低碳示范园区运营数据资源入表，规模270个数据表、2983286条，开创区县平台数据资产化先河（来源：市中区工信局，2024）。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402"/>
          </w:tcPr>
          <w:p>
            <w:pPr>
              <w:spacing w:lineRule="exact" w:line="600"/>
              <w:jc w:val="center"/>
            </w:pPr>
            <w:r/>
            <w:r>
              <w:rPr>
                <w:rFonts w:ascii="黑体" w:hAnsi="黑体" w:eastAsia="黑体"/>
                <w:b/>
                <w:color w:val="000000"/>
                <w:sz w:val="32"/>
              </w:rPr>
              <w:t>水平</w:t>
            </w:r>
          </w:p>
        </w:tc>
      </w:tr>
      <w:tr>
        <w:tc>
          <w:tcPr>
            <w:tcW w:type="dxa" w:w="2551"/>
          </w:tcPr>
          <w:p>
            <w:pPr>
              <w:spacing w:lineRule="exact" w:line="600"/>
              <w:jc w:val="center"/>
            </w:pPr>
            <w:r/>
            <w:r>
              <w:rPr>
                <w:rFonts w:ascii="仿宋_GB2312" w:hAnsi="仿宋_GB2312" w:eastAsia="仿宋_GB2312"/>
                <w:b w:val="0"/>
                <w:color w:val="000000"/>
                <w:sz w:val="32"/>
              </w:rPr>
              <w:t>确定性网络</w:t>
            </w:r>
          </w:p>
        </w:tc>
        <w:tc>
          <w:tcPr>
            <w:tcW w:type="dxa" w:w="3118"/>
          </w:tcPr>
          <w:p>
            <w:pPr>
              <w:spacing w:lineRule="exact" w:line="600"/>
              <w:jc w:val="center"/>
            </w:pPr>
            <w:r/>
            <w:r>
              <w:rPr>
                <w:rFonts w:ascii="仿宋_GB2312" w:hAnsi="仿宋_GB2312" w:eastAsia="仿宋_GB2312"/>
                <w:b w:val="0"/>
                <w:color w:val="000000"/>
                <w:sz w:val="32"/>
              </w:rPr>
              <w:t>1+2+N+X战略</w:t>
            </w:r>
          </w:p>
        </w:tc>
        <w:tc>
          <w:tcPr>
            <w:tcW w:type="dxa" w:w="3402"/>
          </w:tcPr>
          <w:p>
            <w:pPr>
              <w:spacing w:lineRule="exact" w:line="600"/>
              <w:jc w:val="center"/>
            </w:pPr>
            <w:r/>
            <w:r>
              <w:rPr>
                <w:rFonts w:ascii="仿宋_GB2312" w:hAnsi="仿宋_GB2312" w:eastAsia="仿宋_GB2312"/>
                <w:b w:val="0"/>
                <w:color w:val="000000"/>
                <w:sz w:val="32"/>
              </w:rPr>
              <w:t>网算能一体化</w:t>
            </w:r>
          </w:p>
        </w:tc>
      </w:tr>
      <w:tr>
        <w:tc>
          <w:tcPr>
            <w:tcW w:type="dxa" w:w="2551"/>
          </w:tcPr>
          <w:p>
            <w:pPr>
              <w:spacing w:lineRule="exact" w:line="600"/>
              <w:jc w:val="center"/>
            </w:pPr>
            <w:r/>
            <w:r>
              <w:rPr>
                <w:rFonts w:ascii="仿宋_GB2312" w:hAnsi="仿宋_GB2312" w:eastAsia="仿宋_GB2312"/>
                <w:b w:val="0"/>
                <w:color w:val="000000"/>
                <w:sz w:val="32"/>
              </w:rPr>
              <w:t>绿色算力</w:t>
            </w:r>
          </w:p>
        </w:tc>
        <w:tc>
          <w:tcPr>
            <w:tcW w:type="dxa" w:w="3118"/>
          </w:tcPr>
          <w:p>
            <w:pPr>
              <w:spacing w:lineRule="exact" w:line="600"/>
              <w:jc w:val="center"/>
            </w:pPr>
            <w:r/>
            <w:r>
              <w:rPr>
                <w:rFonts w:ascii="仿宋_GB2312" w:hAnsi="仿宋_GB2312" w:eastAsia="仿宋_GB2312"/>
                <w:b w:val="0"/>
                <w:color w:val="000000"/>
                <w:sz w:val="32"/>
              </w:rPr>
              <w:t>PUE&lt;1.3+光储直柔</w:t>
            </w:r>
          </w:p>
        </w:tc>
        <w:tc>
          <w:tcPr>
            <w:tcW w:type="dxa" w:w="3402"/>
          </w:tcPr>
          <w:p>
            <w:pPr>
              <w:spacing w:lineRule="exact" w:line="600"/>
              <w:jc w:val="center"/>
            </w:pPr>
            <w:r/>
            <w:r>
              <w:rPr>
                <w:rFonts w:ascii="仿宋_GB2312" w:hAnsi="仿宋_GB2312" w:eastAsia="仿宋_GB2312"/>
                <w:b w:val="0"/>
                <w:color w:val="000000"/>
                <w:sz w:val="32"/>
              </w:rPr>
              <w:t>年供绿电550万kWh</w:t>
            </w:r>
          </w:p>
        </w:tc>
      </w:tr>
      <w:tr>
        <w:tc>
          <w:tcPr>
            <w:tcW w:type="dxa" w:w="2551"/>
          </w:tcPr>
          <w:p>
            <w:pPr>
              <w:spacing w:lineRule="exact" w:line="600"/>
              <w:jc w:val="center"/>
            </w:pPr>
            <w:r/>
            <w:r>
              <w:rPr>
                <w:rFonts w:ascii="仿宋_GB2312" w:hAnsi="仿宋_GB2312" w:eastAsia="仿宋_GB2312"/>
                <w:b w:val="0"/>
                <w:color w:val="000000"/>
                <w:sz w:val="32"/>
              </w:rPr>
              <w:t>数据入表</w:t>
            </w:r>
          </w:p>
        </w:tc>
        <w:tc>
          <w:tcPr>
            <w:tcW w:type="dxa" w:w="3118"/>
          </w:tcPr>
          <w:p>
            <w:pPr>
              <w:spacing w:lineRule="exact" w:line="600"/>
              <w:jc w:val="center"/>
            </w:pPr>
            <w:r/>
            <w:r>
              <w:rPr>
                <w:rFonts w:ascii="仿宋_GB2312" w:hAnsi="仿宋_GB2312" w:eastAsia="仿宋_GB2312"/>
                <w:b w:val="0"/>
                <w:color w:val="000000"/>
                <w:sz w:val="32"/>
              </w:rPr>
              <w:t>270表/298万条</w:t>
            </w:r>
          </w:p>
        </w:tc>
        <w:tc>
          <w:tcPr>
            <w:tcW w:type="dxa" w:w="3402"/>
          </w:tcPr>
          <w:p>
            <w:pPr>
              <w:spacing w:lineRule="exact" w:line="600"/>
              <w:jc w:val="center"/>
            </w:pPr>
            <w:r/>
            <w:r>
              <w:rPr>
                <w:rFonts w:ascii="仿宋_GB2312" w:hAnsi="仿宋_GB2312" w:eastAsia="仿宋_GB2312"/>
                <w:b w:val="0"/>
                <w:color w:val="000000"/>
                <w:sz w:val="32"/>
              </w:rPr>
              <w:t>省内区县首家</w:t>
            </w:r>
          </w:p>
        </w:tc>
      </w:tr>
      <w:tr>
        <w:tc>
          <w:tcPr>
            <w:tcW w:type="dxa" w:w="2551"/>
          </w:tcPr>
          <w:p>
            <w:pPr>
              <w:spacing w:lineRule="exact" w:line="600"/>
              <w:jc w:val="center"/>
            </w:pPr>
            <w:r/>
            <w:r>
              <w:rPr>
                <w:rFonts w:ascii="仿宋_GB2312" w:hAnsi="仿宋_GB2312" w:eastAsia="仿宋_GB2312"/>
                <w:b w:val="0"/>
                <w:color w:val="000000"/>
                <w:sz w:val="32"/>
              </w:rPr>
              <w:t>智算</w:t>
            </w:r>
          </w:p>
        </w:tc>
        <w:tc>
          <w:tcPr>
            <w:tcW w:type="dxa" w:w="3118"/>
          </w:tcPr>
          <w:p>
            <w:pPr>
              <w:spacing w:lineRule="exact" w:line="600"/>
              <w:jc w:val="center"/>
            </w:pPr>
            <w:r/>
            <w:r>
              <w:rPr>
                <w:rFonts w:ascii="仿宋_GB2312" w:hAnsi="仿宋_GB2312" w:eastAsia="仿宋_GB2312"/>
                <w:b w:val="0"/>
                <w:color w:val="000000"/>
                <w:sz w:val="32"/>
              </w:rPr>
              <w:t>200P（一期100P）</w:t>
            </w:r>
          </w:p>
        </w:tc>
        <w:tc>
          <w:tcPr>
            <w:tcW w:type="dxa" w:w="3402"/>
          </w:tcPr>
          <w:p>
            <w:pPr>
              <w:spacing w:lineRule="exact" w:line="600"/>
              <w:jc w:val="center"/>
            </w:pPr>
            <w:r/>
            <w:r>
              <w:rPr>
                <w:rFonts w:ascii="仿宋_GB2312" w:hAnsi="仿宋_GB2312" w:eastAsia="仿宋_GB2312"/>
                <w:b w:val="0"/>
                <w:color w:val="000000"/>
                <w:sz w:val="32"/>
              </w:rPr>
              <w:t>AI示范区</w:t>
            </w:r>
          </w:p>
        </w:tc>
      </w:tr>
      <w:tr>
        <w:tc>
          <w:tcPr>
            <w:tcW w:type="dxa" w:w="2551"/>
          </w:tcPr>
          <w:p>
            <w:pPr>
              <w:spacing w:lineRule="exact" w:line="600"/>
              <w:jc w:val="center"/>
            </w:pPr>
            <w:r/>
            <w:r>
              <w:rPr>
                <w:rFonts w:ascii="仿宋_GB2312" w:hAnsi="仿宋_GB2312" w:eastAsia="仿宋_GB2312"/>
                <w:b w:val="0"/>
                <w:color w:val="000000"/>
                <w:sz w:val="32"/>
              </w:rPr>
              <w:t>专网</w:t>
            </w:r>
          </w:p>
        </w:tc>
        <w:tc>
          <w:tcPr>
            <w:tcW w:type="dxa" w:w="3118"/>
          </w:tcPr>
          <w:p>
            <w:pPr>
              <w:spacing w:lineRule="exact" w:line="600"/>
              <w:jc w:val="center"/>
            </w:pPr>
            <w:r/>
            <w:r>
              <w:rPr>
                <w:rFonts w:ascii="仿宋_GB2312" w:hAnsi="仿宋_GB2312" w:eastAsia="仿宋_GB2312"/>
                <w:b w:val="0"/>
                <w:color w:val="000000"/>
                <w:sz w:val="32"/>
              </w:rPr>
              <w:t>危化品预警</w:t>
            </w:r>
          </w:p>
        </w:tc>
        <w:tc>
          <w:tcPr>
            <w:tcW w:type="dxa" w:w="3402"/>
          </w:tcPr>
          <w:p>
            <w:pPr>
              <w:spacing w:lineRule="exact" w:line="600"/>
              <w:jc w:val="center"/>
            </w:pPr>
            <w:r/>
            <w:r>
              <w:rPr>
                <w:rFonts w:ascii="仿宋_GB2312" w:hAnsi="仿宋_GB2312" w:eastAsia="仿宋_GB2312"/>
                <w:b w:val="0"/>
                <w:color w:val="000000"/>
                <w:sz w:val="32"/>
              </w:rPr>
              <w:t>1289家重源</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（一）算力成本与电价</w:t>
      </w:r>
    </w:p>
    <w:p>
      <w:pPr>
        <w:spacing w:lineRule="exact" w:line="600" w:before="0" w:after="0"/>
        <w:ind w:firstLine="420"/>
        <w:jc w:val="both"/>
      </w:pPr>
      <w:r>
        <w:rPr>
          <w:rFonts w:ascii="仿宋_GB2312" w:hAnsi="仿宋_GB2312" w:eastAsia="仿宋_GB2312"/>
          <w:b w:val="0"/>
          <w:color w:val="000000"/>
          <w:sz w:val="32"/>
        </w:rPr>
        <w:t>智算中心能耗与电价主导运营成本。光储直柔与绿电直供降低PUE与电费；未来云谷年供绿电550万kWh，缓解高载能压力（来源：济南市工信局，2024）。</w:t>
      </w:r>
    </w:p>
    <w:p>
      <w:pPr>
        <w:spacing w:lineRule="exact" w:line="600" w:before="120" w:after="120"/>
        <w:ind w:firstLine="420"/>
        <w:jc w:val="left"/>
      </w:pPr>
      <w:r>
        <w:rPr>
          <w:rFonts w:ascii="楷体_GB2312" w:hAnsi="楷体_GB2312" w:eastAsia="楷体_GB2312"/>
          <w:b w:val="0"/>
          <w:color w:val="000000"/>
          <w:sz w:val="32"/>
        </w:rPr>
        <w:t>（二）运营与效益</w:t>
      </w:r>
    </w:p>
    <w:p>
      <w:pPr>
        <w:spacing w:lineRule="exact" w:line="600" w:before="0" w:after="0"/>
        <w:ind w:firstLine="420"/>
        <w:jc w:val="both"/>
      </w:pPr>
      <w:r>
        <w:rPr>
          <w:rFonts w:ascii="仿宋_GB2312" w:hAnsi="仿宋_GB2312" w:eastAsia="仿宋_GB2312"/>
          <w:b w:val="0"/>
          <w:color w:val="000000"/>
          <w:sz w:val="32"/>
        </w:rPr>
        <w:t>山东未来云谷可租售面积11.2万㎡（南区8.4万、北区2.8万），全面运营后年均营收超60亿元、税收超3亿元、带动就业2万人以上；投入产出率2.1%（来源：新浪财经，2025）。</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市中区「二次创业」以数字经济集聚先锋为定位，推进四个数据中心建设；联通、移动、铁塔省市总部集聚，5G与万兆光网试点、5G-A低空专网支撑融合基础设施（来源：市中区工信局、2026政府工作报告，2024—2026）。</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绿电</w:t>
            </w:r>
          </w:p>
        </w:tc>
        <w:tc>
          <w:tcPr>
            <w:tcW w:type="dxa" w:w="3402"/>
          </w:tcPr>
          <w:p>
            <w:pPr>
              <w:spacing w:lineRule="exact" w:line="600"/>
              <w:jc w:val="center"/>
            </w:pPr>
            <w:r/>
            <w:r>
              <w:rPr>
                <w:rFonts w:ascii="仿宋_GB2312" w:hAnsi="仿宋_GB2312" w:eastAsia="仿宋_GB2312"/>
                <w:b w:val="0"/>
                <w:color w:val="000000"/>
                <w:sz w:val="32"/>
              </w:rPr>
              <w:t>550万kWh/年</w:t>
            </w:r>
          </w:p>
        </w:tc>
        <w:tc>
          <w:tcPr>
            <w:tcW w:type="dxa" w:w="3402"/>
          </w:tcPr>
          <w:p>
            <w:pPr>
              <w:spacing w:lineRule="exact" w:line="600"/>
              <w:jc w:val="center"/>
            </w:pPr>
            <w:r/>
            <w:r>
              <w:rPr>
                <w:rFonts w:ascii="仿宋_GB2312" w:hAnsi="仿宋_GB2312" w:eastAsia="仿宋_GB2312"/>
                <w:b w:val="0"/>
                <w:color w:val="000000"/>
                <w:sz w:val="32"/>
              </w:rPr>
              <w:t>降低电费碳排</w:t>
            </w:r>
          </w:p>
        </w:tc>
      </w:tr>
      <w:tr>
        <w:tc>
          <w:tcPr>
            <w:tcW w:type="dxa" w:w="2268"/>
          </w:tcPr>
          <w:p>
            <w:pPr>
              <w:spacing w:lineRule="exact" w:line="600"/>
              <w:jc w:val="center"/>
            </w:pPr>
            <w:r/>
            <w:r>
              <w:rPr>
                <w:rFonts w:ascii="仿宋_GB2312" w:hAnsi="仿宋_GB2312" w:eastAsia="仿宋_GB2312"/>
                <w:b w:val="0"/>
                <w:color w:val="000000"/>
                <w:sz w:val="32"/>
              </w:rPr>
              <w:t>载体</w:t>
            </w:r>
          </w:p>
        </w:tc>
        <w:tc>
          <w:tcPr>
            <w:tcW w:type="dxa" w:w="3402"/>
          </w:tcPr>
          <w:p>
            <w:pPr>
              <w:spacing w:lineRule="exact" w:line="600"/>
              <w:jc w:val="center"/>
            </w:pPr>
            <w:r/>
            <w:r>
              <w:rPr>
                <w:rFonts w:ascii="仿宋_GB2312" w:hAnsi="仿宋_GB2312" w:eastAsia="仿宋_GB2312"/>
                <w:b w:val="0"/>
                <w:color w:val="000000"/>
                <w:sz w:val="32"/>
              </w:rPr>
              <w:t>11.2万㎡可租售</w:t>
            </w:r>
          </w:p>
        </w:tc>
        <w:tc>
          <w:tcPr>
            <w:tcW w:type="dxa" w:w="3402"/>
          </w:tcPr>
          <w:p>
            <w:pPr>
              <w:spacing w:lineRule="exact" w:line="600"/>
              <w:jc w:val="center"/>
            </w:pPr>
            <w:r/>
            <w:r>
              <w:rPr>
                <w:rFonts w:ascii="仿宋_GB2312" w:hAnsi="仿宋_GB2312" w:eastAsia="仿宋_GB2312"/>
                <w:b w:val="0"/>
                <w:color w:val="000000"/>
                <w:sz w:val="32"/>
              </w:rPr>
              <w:t>年营收60亿+</w:t>
            </w:r>
          </w:p>
        </w:tc>
      </w:tr>
      <w:tr>
        <w:tc>
          <w:tcPr>
            <w:tcW w:type="dxa" w:w="2268"/>
          </w:tcPr>
          <w:p>
            <w:pPr>
              <w:spacing w:lineRule="exact" w:line="600"/>
              <w:jc w:val="center"/>
            </w:pPr>
            <w:r/>
            <w:r>
              <w:rPr>
                <w:rFonts w:ascii="仿宋_GB2312" w:hAnsi="仿宋_GB2312" w:eastAsia="仿宋_GB2312"/>
                <w:b w:val="0"/>
                <w:color w:val="000000"/>
                <w:sz w:val="32"/>
              </w:rPr>
              <w:t>网络</w:t>
            </w:r>
          </w:p>
        </w:tc>
        <w:tc>
          <w:tcPr>
            <w:tcW w:type="dxa" w:w="3402"/>
          </w:tcPr>
          <w:p>
            <w:pPr>
              <w:spacing w:lineRule="exact" w:line="600"/>
              <w:jc w:val="center"/>
            </w:pPr>
            <w:r/>
            <w:r>
              <w:rPr>
                <w:rFonts w:ascii="仿宋_GB2312" w:hAnsi="仿宋_GB2312" w:eastAsia="仿宋_GB2312"/>
                <w:b w:val="0"/>
                <w:color w:val="000000"/>
                <w:sz w:val="32"/>
              </w:rPr>
              <w:t>5G-A/万兆光网</w:t>
            </w:r>
          </w:p>
        </w:tc>
        <w:tc>
          <w:tcPr>
            <w:tcW w:type="dxa" w:w="3402"/>
          </w:tcPr>
          <w:p>
            <w:pPr>
              <w:spacing w:lineRule="exact" w:line="600"/>
              <w:jc w:val="center"/>
            </w:pPr>
            <w:r/>
            <w:r>
              <w:rPr>
                <w:rFonts w:ascii="仿宋_GB2312" w:hAnsi="仿宋_GB2312" w:eastAsia="仿宋_GB2312"/>
                <w:b w:val="0"/>
                <w:color w:val="000000"/>
                <w:sz w:val="32"/>
              </w:rPr>
              <w:t>融合基建</w:t>
            </w:r>
          </w:p>
        </w:tc>
      </w:tr>
      <w:tr>
        <w:tc>
          <w:tcPr>
            <w:tcW w:type="dxa" w:w="2268"/>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四个数据中心统筹</w:t>
            </w:r>
          </w:p>
        </w:tc>
        <w:tc>
          <w:tcPr>
            <w:tcW w:type="dxa" w:w="3402"/>
          </w:tcPr>
          <w:p>
            <w:pPr>
              <w:spacing w:lineRule="exact" w:line="600"/>
              <w:jc w:val="center"/>
            </w:pPr>
            <w:r/>
            <w:r>
              <w:rPr>
                <w:rFonts w:ascii="仿宋_GB2312" w:hAnsi="仿宋_GB2312" w:eastAsia="仿宋_GB2312"/>
                <w:b w:val="0"/>
                <w:color w:val="000000"/>
                <w:sz w:val="32"/>
              </w:rPr>
              <w:t>算力供给体系</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数字人才基地</w:t>
            </w:r>
          </w:p>
        </w:tc>
        <w:tc>
          <w:tcPr>
            <w:tcW w:type="dxa" w:w="3402"/>
          </w:tcPr>
          <w:p>
            <w:pPr>
              <w:spacing w:lineRule="exact" w:line="600"/>
              <w:jc w:val="center"/>
            </w:pPr>
            <w:r/>
            <w:r>
              <w:rPr>
                <w:rFonts w:ascii="仿宋_GB2312" w:hAnsi="仿宋_GB2312" w:eastAsia="仿宋_GB2312"/>
                <w:b w:val="0"/>
                <w:color w:val="000000"/>
                <w:sz w:val="32"/>
              </w:rPr>
              <w:t>产教融合</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「人工智能+」行动、数据要素改革与智算需求爆发，为市中算力基建带来窗口；确定性网络与绿色算力形成差异化（来源：行业共性研判、济南市科技局，2025）。</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智算中心投资大、回报周期长；高端算力芯片与人才依赖外部；与济南其他区县及青岛、烟台同质化竞争（来源：行业共性研判）。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算力供需错配与利用率不足、芯片供应链风险、电价波动与能耗双控，为主要风险（来源：行业共性研判）。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AI+/数据要素/智算</w:t>
            </w:r>
          </w:p>
        </w:tc>
        <w:tc>
          <w:tcPr>
            <w:tcW w:type="dxa" w:w="3118"/>
          </w:tcPr>
          <w:p>
            <w:pPr>
              <w:spacing w:lineRule="exact" w:line="600"/>
              <w:jc w:val="center"/>
            </w:pPr>
            <w:r/>
            <w:r>
              <w:rPr>
                <w:rFonts w:ascii="仿宋_GB2312" w:hAnsi="仿宋_GB2312" w:eastAsia="仿宋_GB2312"/>
                <w:b w:val="0"/>
                <w:color w:val="000000"/>
                <w:sz w:val="32"/>
              </w:rPr>
              <w:t>需求扩张</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投资大/人才/同质化</w:t>
            </w:r>
          </w:p>
        </w:tc>
        <w:tc>
          <w:tcPr>
            <w:tcW w:type="dxa" w:w="3118"/>
          </w:tcPr>
          <w:p>
            <w:pPr>
              <w:spacing w:lineRule="exact" w:line="600"/>
              <w:jc w:val="center"/>
            </w:pPr>
            <w:r/>
            <w:r>
              <w:rPr>
                <w:rFonts w:ascii="仿宋_GB2312" w:hAnsi="仿宋_GB2312" w:eastAsia="仿宋_GB2312"/>
                <w:b w:val="0"/>
                <w:color w:val="000000"/>
                <w:sz w:val="32"/>
              </w:rPr>
              <w:t>回报与竞争</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利用率/芯片/能耗</w:t>
            </w:r>
          </w:p>
        </w:tc>
        <w:tc>
          <w:tcPr>
            <w:tcW w:type="dxa" w:w="3118"/>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绿色+确定性+应用</w:t>
            </w:r>
          </w:p>
        </w:tc>
        <w:tc>
          <w:tcPr>
            <w:tcW w:type="dxa" w:w="3118"/>
          </w:tcPr>
          <w:p>
            <w:pPr>
              <w:spacing w:lineRule="exact" w:line="600"/>
              <w:jc w:val="center"/>
            </w:pPr>
            <w:r/>
            <w:r>
              <w:rPr>
                <w:rFonts w:ascii="仿宋_GB2312" w:hAnsi="仿宋_GB2312" w:eastAsia="仿宋_GB2312"/>
                <w:b w:val="0"/>
                <w:color w:val="000000"/>
                <w:sz w:val="32"/>
              </w:rPr>
              <w:t>差异化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（一）绿色化算力</w:t>
      </w:r>
    </w:p>
    <w:p>
      <w:pPr>
        <w:spacing w:lineRule="exact" w:line="600" w:before="0" w:after="0"/>
        <w:ind w:firstLine="420"/>
        <w:jc w:val="both"/>
      </w:pPr>
      <w:r>
        <w:rPr>
          <w:rFonts w:ascii="仿宋_GB2312" w:hAnsi="仿宋_GB2312" w:eastAsia="仿宋_GB2312"/>
          <w:b w:val="0"/>
          <w:color w:val="000000"/>
          <w:sz w:val="32"/>
        </w:rPr>
        <w:t>以PUE&lt;1.3与光储直柔绿电为标杆，建设低碳示范园区，年供绿电550万kWh，打造绿色算力基础设施（来源：济南市工信局，2024）。</w:t>
      </w:r>
    </w:p>
    <w:p>
      <w:pPr>
        <w:spacing w:lineRule="exact" w:line="600" w:before="120" w:after="120"/>
        <w:ind w:firstLine="420"/>
        <w:jc w:val="left"/>
      </w:pPr>
      <w:r>
        <w:rPr>
          <w:rFonts w:ascii="楷体_GB2312" w:hAnsi="楷体_GB2312" w:eastAsia="楷体_GB2312"/>
          <w:b w:val="0"/>
          <w:color w:val="000000"/>
          <w:sz w:val="32"/>
        </w:rPr>
        <w:t>（二）确定性网络+算力融合</w:t>
      </w:r>
    </w:p>
    <w:p>
      <w:pPr>
        <w:spacing w:lineRule="exact" w:line="600" w:before="0" w:after="0"/>
        <w:ind w:firstLine="420"/>
        <w:jc w:val="both"/>
      </w:pPr>
      <w:r>
        <w:rPr>
          <w:rFonts w:ascii="仿宋_GB2312" w:hAnsi="仿宋_GB2312" w:eastAsia="仿宋_GB2312"/>
          <w:b w:val="0"/>
          <w:color w:val="000000"/>
          <w:sz w:val="32"/>
        </w:rPr>
        <w:t>以山东未来集团网算能一体化平台，推动确定性网络在算力调度、可信空间、行业专网规模化应用，建设行业应用级算力创新高地（来源：2026政府工作报告、济南市科技局，2025）。</w:t>
      </w:r>
    </w:p>
    <w:p>
      <w:pPr>
        <w:spacing w:lineRule="exact" w:line="600" w:before="120" w:after="120"/>
        <w:ind w:firstLine="420"/>
        <w:jc w:val="left"/>
      </w:pPr>
      <w:r>
        <w:rPr>
          <w:rFonts w:ascii="楷体_GB2312" w:hAnsi="楷体_GB2312" w:eastAsia="楷体_GB2312"/>
          <w:b w:val="0"/>
          <w:color w:val="000000"/>
          <w:sz w:val="32"/>
        </w:rPr>
        <w:t>（三）数据要素化</w:t>
      </w:r>
    </w:p>
    <w:p>
      <w:pPr>
        <w:spacing w:lineRule="exact" w:line="600" w:before="0" w:after="0"/>
        <w:ind w:firstLine="420"/>
        <w:jc w:val="both"/>
      </w:pPr>
      <w:r>
        <w:rPr>
          <w:rFonts w:ascii="仿宋_GB2312" w:hAnsi="仿宋_GB2312" w:eastAsia="仿宋_GB2312"/>
          <w:b w:val="0"/>
          <w:color w:val="000000"/>
          <w:sz w:val="32"/>
        </w:rPr>
        <w:t>以数据资源入表为突破口，发挥数据资产融资与交易价值，激发数据要素乘数效应（来源：市中区工信局，2024）。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绿色化</w:t>
            </w:r>
          </w:p>
        </w:tc>
        <w:tc>
          <w:tcPr>
            <w:tcW w:type="dxa" w:w="3685"/>
          </w:tcPr>
          <w:p>
            <w:pPr>
              <w:spacing w:lineRule="exact" w:line="600"/>
              <w:jc w:val="center"/>
            </w:pPr>
            <w:r/>
            <w:r>
              <w:rPr>
                <w:rFonts w:ascii="仿宋_GB2312" w:hAnsi="仿宋_GB2312" w:eastAsia="仿宋_GB2312"/>
                <w:b w:val="0"/>
                <w:color w:val="000000"/>
                <w:sz w:val="32"/>
              </w:rPr>
              <w:t>PUE&lt;1.3+绿电</w:t>
            </w:r>
          </w:p>
        </w:tc>
        <w:tc>
          <w:tcPr>
            <w:tcW w:type="dxa" w:w="3118"/>
          </w:tcPr>
          <w:p>
            <w:pPr>
              <w:spacing w:lineRule="exact" w:line="600"/>
              <w:jc w:val="center"/>
            </w:pPr>
            <w:r/>
            <w:r>
              <w:rPr>
                <w:rFonts w:ascii="仿宋_GB2312" w:hAnsi="仿宋_GB2312" w:eastAsia="仿宋_GB2312"/>
                <w:b w:val="0"/>
                <w:color w:val="000000"/>
                <w:sz w:val="32"/>
              </w:rPr>
              <w:t>年供550万kWh</w:t>
            </w:r>
          </w:p>
        </w:tc>
      </w:tr>
      <w:tr>
        <w:tc>
          <w:tcPr>
            <w:tcW w:type="dxa" w:w="2268"/>
          </w:tcPr>
          <w:p>
            <w:pPr>
              <w:spacing w:lineRule="exact" w:line="600"/>
              <w:jc w:val="center"/>
            </w:pPr>
            <w:r/>
            <w:r>
              <w:rPr>
                <w:rFonts w:ascii="仿宋_GB2312" w:hAnsi="仿宋_GB2312" w:eastAsia="仿宋_GB2312"/>
                <w:b w:val="0"/>
                <w:color w:val="000000"/>
                <w:sz w:val="32"/>
              </w:rPr>
              <w:t>融合化</w:t>
            </w:r>
          </w:p>
        </w:tc>
        <w:tc>
          <w:tcPr>
            <w:tcW w:type="dxa" w:w="3685"/>
          </w:tcPr>
          <w:p>
            <w:pPr>
              <w:spacing w:lineRule="exact" w:line="600"/>
              <w:jc w:val="center"/>
            </w:pPr>
            <w:r/>
            <w:r>
              <w:rPr>
                <w:rFonts w:ascii="仿宋_GB2312" w:hAnsi="仿宋_GB2312" w:eastAsia="仿宋_GB2312"/>
                <w:b w:val="0"/>
                <w:color w:val="000000"/>
                <w:sz w:val="32"/>
              </w:rPr>
              <w:t>网算能一体化</w:t>
            </w:r>
          </w:p>
        </w:tc>
        <w:tc>
          <w:tcPr>
            <w:tcW w:type="dxa" w:w="3118"/>
          </w:tcPr>
          <w:p>
            <w:pPr>
              <w:spacing w:lineRule="exact" w:line="600"/>
              <w:jc w:val="center"/>
            </w:pPr>
            <w:r/>
            <w:r>
              <w:rPr>
                <w:rFonts w:ascii="仿宋_GB2312" w:hAnsi="仿宋_GB2312" w:eastAsia="仿宋_GB2312"/>
                <w:b w:val="0"/>
                <w:color w:val="000000"/>
                <w:sz w:val="32"/>
              </w:rPr>
              <w:t>15000PFLOPS</w:t>
            </w:r>
          </w:p>
        </w:tc>
      </w:tr>
      <w:tr>
        <w:tc>
          <w:tcPr>
            <w:tcW w:type="dxa" w:w="2268"/>
          </w:tcPr>
          <w:p>
            <w:pPr>
              <w:spacing w:lineRule="exact" w:line="600"/>
              <w:jc w:val="center"/>
            </w:pPr>
            <w:r/>
            <w:r>
              <w:rPr>
                <w:rFonts w:ascii="仿宋_GB2312" w:hAnsi="仿宋_GB2312" w:eastAsia="仿宋_GB2312"/>
                <w:b w:val="0"/>
                <w:color w:val="000000"/>
                <w:sz w:val="32"/>
              </w:rPr>
              <w:t>要素化</w:t>
            </w:r>
          </w:p>
        </w:tc>
        <w:tc>
          <w:tcPr>
            <w:tcW w:type="dxa" w:w="3685"/>
          </w:tcPr>
          <w:p>
            <w:pPr>
              <w:spacing w:lineRule="exact" w:line="600"/>
              <w:jc w:val="center"/>
            </w:pPr>
            <w:r/>
            <w:r>
              <w:rPr>
                <w:rFonts w:ascii="仿宋_GB2312" w:hAnsi="仿宋_GB2312" w:eastAsia="仿宋_GB2312"/>
                <w:b w:val="0"/>
                <w:color w:val="000000"/>
                <w:sz w:val="32"/>
              </w:rPr>
              <w:t>数据入表</w:t>
            </w:r>
          </w:p>
        </w:tc>
        <w:tc>
          <w:tcPr>
            <w:tcW w:type="dxa" w:w="3118"/>
          </w:tcPr>
          <w:p>
            <w:pPr>
              <w:spacing w:lineRule="exact" w:line="600"/>
              <w:jc w:val="center"/>
            </w:pPr>
            <w:r/>
            <w:r>
              <w:rPr>
                <w:rFonts w:ascii="仿宋_GB2312" w:hAnsi="仿宋_GB2312" w:eastAsia="仿宋_GB2312"/>
                <w:b w:val="0"/>
                <w:color w:val="000000"/>
                <w:sz w:val="32"/>
              </w:rPr>
              <w:t>270表/298万条</w:t>
            </w:r>
          </w:p>
        </w:tc>
      </w:tr>
      <w:tr>
        <w:tc>
          <w:tcPr>
            <w:tcW w:type="dxa" w:w="2268"/>
          </w:tcPr>
          <w:p>
            <w:pPr>
              <w:spacing w:lineRule="exact" w:line="600"/>
              <w:jc w:val="center"/>
            </w:pPr>
            <w:r/>
            <w:r>
              <w:rPr>
                <w:rFonts w:ascii="仿宋_GB2312" w:hAnsi="仿宋_GB2312" w:eastAsia="仿宋_GB2312"/>
                <w:b w:val="0"/>
                <w:color w:val="000000"/>
                <w:sz w:val="32"/>
              </w:rPr>
              <w:t>集群</w:t>
            </w:r>
          </w:p>
        </w:tc>
        <w:tc>
          <w:tcPr>
            <w:tcW w:type="dxa" w:w="3685"/>
          </w:tcPr>
          <w:p>
            <w:pPr>
              <w:spacing w:lineRule="exact" w:line="600"/>
              <w:jc w:val="center"/>
            </w:pPr>
            <w:r/>
            <w:r>
              <w:rPr>
                <w:rFonts w:ascii="仿宋_GB2312" w:hAnsi="仿宋_GB2312" w:eastAsia="仿宋_GB2312"/>
                <w:b w:val="0"/>
                <w:color w:val="000000"/>
                <w:sz w:val="32"/>
              </w:rPr>
              <w:t>四大算力节点</w:t>
            </w:r>
          </w:p>
        </w:tc>
        <w:tc>
          <w:tcPr>
            <w:tcW w:type="dxa" w:w="3118"/>
          </w:tcPr>
          <w:p>
            <w:pPr>
              <w:spacing w:lineRule="exact" w:line="600"/>
              <w:jc w:val="center"/>
            </w:pPr>
            <w:r/>
            <w:r>
              <w:rPr>
                <w:rFonts w:ascii="仿宋_GB2312" w:hAnsi="仿宋_GB2312" w:eastAsia="仿宋_GB2312"/>
                <w:b w:val="0"/>
                <w:color w:val="000000"/>
                <w:sz w:val="32"/>
              </w:rPr>
              <w:t>160亿目标</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（一）智算中心建设</w:t>
      </w:r>
    </w:p>
    <w:p>
      <w:pPr>
        <w:spacing w:lineRule="exact" w:line="600" w:before="0" w:after="0"/>
        <w:ind w:firstLine="420"/>
        <w:jc w:val="both"/>
      </w:pPr>
      <w:r>
        <w:rPr>
          <w:rFonts w:ascii="仿宋_GB2312" w:hAnsi="仿宋_GB2312" w:eastAsia="仿宋_GB2312"/>
          <w:b w:val="0"/>
          <w:color w:val="000000"/>
          <w:sz w:val="32"/>
        </w:rPr>
        <w:t>未来产业算网用一体化项目总投资25.3亿元、2024年计划投资7.8亿元；200P智算中心（一期100P）建设对中长期信贷与专项债需求大（来源：济南市工信局，2024）。</w:t>
      </w:r>
    </w:p>
    <w:p>
      <w:pPr>
        <w:spacing w:lineRule="exact" w:line="600" w:before="120" w:after="120"/>
        <w:ind w:firstLine="420"/>
        <w:jc w:val="left"/>
      </w:pPr>
      <w:r>
        <w:rPr>
          <w:rFonts w:ascii="楷体_GB2312" w:hAnsi="楷体_GB2312" w:eastAsia="楷体_GB2312"/>
          <w:b w:val="0"/>
          <w:color w:val="000000"/>
          <w:sz w:val="32"/>
        </w:rPr>
        <w:t>（二）绿色能源配套</w:t>
      </w:r>
    </w:p>
    <w:p>
      <w:pPr>
        <w:spacing w:lineRule="exact" w:line="600" w:before="0" w:after="0"/>
        <w:ind w:firstLine="420"/>
        <w:jc w:val="both"/>
      </w:pPr>
      <w:r>
        <w:rPr>
          <w:rFonts w:ascii="仿宋_GB2312" w:hAnsi="仿宋_GB2312" w:eastAsia="仿宋_GB2312"/>
          <w:b w:val="0"/>
          <w:color w:val="000000"/>
          <w:sz w:val="32"/>
        </w:rPr>
        <w:t>光储直柔智慧综合能源中心、人工智能新基建一期建设需能源基建融资与绿电专项支持（来源：济南市工信局，2024）。</w:t>
      </w:r>
    </w:p>
    <w:p>
      <w:pPr>
        <w:spacing w:lineRule="exact" w:line="600" w:before="120" w:after="120"/>
        <w:ind w:firstLine="420"/>
        <w:jc w:val="left"/>
      </w:pPr>
      <w:r>
        <w:rPr>
          <w:rFonts w:ascii="楷体_GB2312" w:hAnsi="楷体_GB2312" w:eastAsia="楷体_GB2312"/>
          <w:b w:val="0"/>
          <w:color w:val="000000"/>
          <w:sz w:val="32"/>
        </w:rPr>
        <w:t>（三）数据资产融资</w:t>
      </w:r>
    </w:p>
    <w:p>
      <w:pPr>
        <w:spacing w:lineRule="exact" w:line="600" w:before="0" w:after="0"/>
        <w:ind w:firstLine="420"/>
        <w:jc w:val="both"/>
      </w:pPr>
      <w:r>
        <w:rPr>
          <w:rFonts w:ascii="仿宋_GB2312" w:hAnsi="仿宋_GB2312" w:eastAsia="仿宋_GB2312"/>
          <w:b w:val="0"/>
          <w:color w:val="000000"/>
          <w:sz w:val="32"/>
        </w:rPr>
        <w:t>市中未来数字公司数据资源入表（270表/298万条）可探索数据资产质押、数据交易与数据资产融资，激活国有资产（来源：市中区工信局，2024）。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算网一体化</w:t>
            </w:r>
          </w:p>
        </w:tc>
        <w:tc>
          <w:tcPr>
            <w:tcW w:type="dxa" w:w="3118"/>
          </w:tcPr>
          <w:p>
            <w:pPr>
              <w:spacing w:lineRule="exact" w:line="600"/>
              <w:jc w:val="center"/>
            </w:pPr>
            <w:r/>
            <w:r>
              <w:rPr>
                <w:rFonts w:ascii="仿宋_GB2312" w:hAnsi="仿宋_GB2312" w:eastAsia="仿宋_GB2312"/>
                <w:b w:val="0"/>
                <w:color w:val="000000"/>
                <w:sz w:val="32"/>
              </w:rPr>
              <w:t>25.3亿元（年投7.8亿）</w:t>
            </w:r>
          </w:p>
        </w:tc>
        <w:tc>
          <w:tcPr>
            <w:tcW w:type="dxa" w:w="3402"/>
          </w:tcPr>
          <w:p>
            <w:pPr>
              <w:spacing w:lineRule="exact" w:line="600"/>
              <w:jc w:val="center"/>
            </w:pPr>
            <w:r/>
            <w:r>
              <w:rPr>
                <w:rFonts w:ascii="仿宋_GB2312" w:hAnsi="仿宋_GB2312" w:eastAsia="仿宋_GB2312"/>
                <w:b w:val="0"/>
                <w:color w:val="000000"/>
                <w:sz w:val="32"/>
              </w:rPr>
              <w:t>专项债/信贷</w:t>
            </w:r>
          </w:p>
        </w:tc>
      </w:tr>
      <w:tr>
        <w:tc>
          <w:tcPr>
            <w:tcW w:type="dxa" w:w="2551"/>
          </w:tcPr>
          <w:p>
            <w:pPr>
              <w:spacing w:lineRule="exact" w:line="600"/>
              <w:jc w:val="center"/>
            </w:pPr>
            <w:r/>
            <w:r>
              <w:rPr>
                <w:rFonts w:ascii="仿宋_GB2312" w:hAnsi="仿宋_GB2312" w:eastAsia="仿宋_GB2312"/>
                <w:b w:val="0"/>
                <w:color w:val="000000"/>
                <w:sz w:val="32"/>
              </w:rPr>
              <w:t>智算中心</w:t>
            </w:r>
          </w:p>
        </w:tc>
        <w:tc>
          <w:tcPr>
            <w:tcW w:type="dxa" w:w="3118"/>
          </w:tcPr>
          <w:p>
            <w:pPr>
              <w:spacing w:lineRule="exact" w:line="600"/>
              <w:jc w:val="center"/>
            </w:pPr>
            <w:r/>
            <w:r>
              <w:rPr>
                <w:rFonts w:ascii="仿宋_GB2312" w:hAnsi="仿宋_GB2312" w:eastAsia="仿宋_GB2312"/>
                <w:b w:val="0"/>
                <w:color w:val="000000"/>
                <w:sz w:val="32"/>
              </w:rPr>
              <w:t>200P（一期100P）</w:t>
            </w:r>
          </w:p>
        </w:tc>
        <w:tc>
          <w:tcPr>
            <w:tcW w:type="dxa" w:w="3402"/>
          </w:tcPr>
          <w:p>
            <w:pPr>
              <w:spacing w:lineRule="exact" w:line="600"/>
              <w:jc w:val="center"/>
            </w:pPr>
            <w:r/>
            <w:r>
              <w:rPr>
                <w:rFonts w:ascii="仿宋_GB2312" w:hAnsi="仿宋_GB2312" w:eastAsia="仿宋_GB2312"/>
                <w:b w:val="0"/>
                <w:color w:val="000000"/>
                <w:sz w:val="32"/>
              </w:rPr>
              <w:t>中长期信贷</w:t>
            </w:r>
          </w:p>
        </w:tc>
      </w:tr>
      <w:tr>
        <w:tc>
          <w:tcPr>
            <w:tcW w:type="dxa" w:w="2551"/>
          </w:tcPr>
          <w:p>
            <w:pPr>
              <w:spacing w:lineRule="exact" w:line="600"/>
              <w:jc w:val="center"/>
            </w:pPr>
            <w:r/>
            <w:r>
              <w:rPr>
                <w:rFonts w:ascii="仿宋_GB2312" w:hAnsi="仿宋_GB2312" w:eastAsia="仿宋_GB2312"/>
                <w:b w:val="0"/>
                <w:color w:val="000000"/>
                <w:sz w:val="32"/>
              </w:rPr>
              <w:t>绿色能源</w:t>
            </w:r>
          </w:p>
        </w:tc>
        <w:tc>
          <w:tcPr>
            <w:tcW w:type="dxa" w:w="3118"/>
          </w:tcPr>
          <w:p>
            <w:pPr>
              <w:spacing w:lineRule="exact" w:line="600"/>
              <w:jc w:val="center"/>
            </w:pPr>
            <w:r/>
            <w:r>
              <w:rPr>
                <w:rFonts w:ascii="仿宋_GB2312" w:hAnsi="仿宋_GB2312" w:eastAsia="仿宋_GB2312"/>
                <w:b w:val="0"/>
                <w:color w:val="000000"/>
                <w:sz w:val="32"/>
              </w:rPr>
              <w:t>光储直柔中心</w:t>
            </w:r>
          </w:p>
        </w:tc>
        <w:tc>
          <w:tcPr>
            <w:tcW w:type="dxa" w:w="3402"/>
          </w:tcPr>
          <w:p>
            <w:pPr>
              <w:spacing w:lineRule="exact" w:line="600"/>
              <w:jc w:val="center"/>
            </w:pPr>
            <w:r/>
            <w:r>
              <w:rPr>
                <w:rFonts w:ascii="仿宋_GB2312" w:hAnsi="仿宋_GB2312" w:eastAsia="仿宋_GB2312"/>
                <w:b w:val="0"/>
                <w:color w:val="000000"/>
                <w:sz w:val="32"/>
              </w:rPr>
              <w:t>绿电融资</w:t>
            </w:r>
          </w:p>
        </w:tc>
      </w:tr>
      <w:tr>
        <w:tc>
          <w:tcPr>
            <w:tcW w:type="dxa" w:w="2551"/>
          </w:tcPr>
          <w:p>
            <w:pPr>
              <w:spacing w:lineRule="exact" w:line="600"/>
              <w:jc w:val="center"/>
            </w:pPr>
            <w:r/>
            <w:r>
              <w:rPr>
                <w:rFonts w:ascii="仿宋_GB2312" w:hAnsi="仿宋_GB2312" w:eastAsia="仿宋_GB2312"/>
                <w:b w:val="0"/>
                <w:color w:val="000000"/>
                <w:sz w:val="32"/>
              </w:rPr>
              <w:t>数据资产</w:t>
            </w:r>
          </w:p>
        </w:tc>
        <w:tc>
          <w:tcPr>
            <w:tcW w:type="dxa" w:w="3118"/>
          </w:tcPr>
          <w:p>
            <w:pPr>
              <w:spacing w:lineRule="exact" w:line="600"/>
              <w:jc w:val="center"/>
            </w:pPr>
            <w:r/>
            <w:r>
              <w:rPr>
                <w:rFonts w:ascii="仿宋_GB2312" w:hAnsi="仿宋_GB2312" w:eastAsia="仿宋_GB2312"/>
                <w:b w:val="0"/>
                <w:color w:val="000000"/>
                <w:sz w:val="32"/>
              </w:rPr>
              <w:t>270表入表</w:t>
            </w:r>
          </w:p>
        </w:tc>
        <w:tc>
          <w:tcPr>
            <w:tcW w:type="dxa" w:w="3402"/>
          </w:tcPr>
          <w:p>
            <w:pPr>
              <w:spacing w:lineRule="exact" w:line="600"/>
              <w:jc w:val="center"/>
            </w:pPr>
            <w:r/>
            <w:r>
              <w:rPr>
                <w:rFonts w:ascii="仿宋_GB2312" w:hAnsi="仿宋_GB2312" w:eastAsia="仿宋_GB2312"/>
                <w:b w:val="0"/>
                <w:color w:val="000000"/>
                <w:sz w:val="32"/>
              </w:rPr>
              <w:t>数据质押/交易</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科大讯飞山东/济南公司：AI链主企业，2023年8月与市中区签约、9月成立全资控股的泉讯人工智能（山东）有限公司，业务涵盖人工智能基础资源与技术平台、AI应用软件、理论与算法软件、数据处理服务；入驻山东未来云谷，以高性能算力与确定性网络为支撑打造人工智能应用全国示范区，赋能教育、办公等场景。来源：济南市科技局、市中区报道、青企大会报道，2023—2025。</w:t>
      </w:r>
    </w:p>
    <w:p>
      <w:pPr>
        <w:spacing w:lineRule="exact" w:line="600" w:before="0" w:after="0"/>
        <w:ind w:firstLine="420"/>
        <w:jc w:val="both"/>
      </w:pPr>
      <w:r>
        <w:rPr>
          <w:rFonts w:ascii="仿宋_GB2312" w:hAnsi="仿宋_GB2312" w:eastAsia="仿宋_GB2312"/>
          <w:b w:val="0"/>
          <w:color w:val="000000"/>
          <w:sz w:val="32"/>
        </w:rPr>
        <w:t>山东未来集团有限公司：确定性网络与算力运营主体，发布「1+2+N+X」战略体系，以确定性网络为底座构建网算能一体化平台与未来云平台；三年目标覆盖3万公里确定性网络、50个「AI+确定性网络」应用、调度算力15000PFLOPS，并构建虚拟电厂与源网荷储体系；总部入驻山东未来云谷。来源：济南市科技局、济南市工信局，2024—2025。</w:t>
      </w:r>
    </w:p>
    <w:p>
      <w:pPr>
        <w:spacing w:lineRule="exact" w:line="600" w:before="0" w:after="0"/>
        <w:ind w:firstLine="420"/>
        <w:jc w:val="both"/>
      </w:pPr>
      <w:r>
        <w:rPr>
          <w:rFonts w:ascii="仿宋_GB2312" w:hAnsi="仿宋_GB2312" w:eastAsia="仿宋_GB2312"/>
          <w:b w:val="0"/>
          <w:color w:val="000000"/>
          <w:sz w:val="32"/>
        </w:rPr>
        <w:t>中科（济南）超级云智算中心：市中区先进算力节点之一，与山东未来云谷智算中心、济南市人工智能场景创新中心、山东未来网络研究院算力中心、国家大学科技园智算中心共同构成四大算力基础设施；2026年市中区政府工作报告提出高效释放其先进算力资源，支撑市政管理、智能制造等重点领域。来源：市中区工信局、2026政府工作报告，2024—2026。</w:t>
      </w:r>
    </w:p>
    <w:p>
      <w:pPr>
        <w:spacing w:lineRule="exact" w:line="600" w:before="0" w:after="0"/>
        <w:jc w:val="left"/>
      </w:pPr>
      <w:r>
        <w:rPr>
          <w:rFonts w:ascii="仿宋_GB2312" w:hAnsi="仿宋_GB2312" w:eastAsia="仿宋_GB2312"/>
          <w:b w:val="0"/>
          <w:color w:val="000000"/>
          <w:sz w:val="28"/>
        </w:rPr>
        <w:t>主要数据来源：济南市工业和信息化局《培育多元未来关联产业，市中这个园区将打造人工智能应用全国示范区》（未来云谷、200P智算、科大讯飞），2024；市中区工业和信息化局政协提案答复（四个数据中心、数据资源入表），2024；新华网《济南市中区：打造园区强磁场 激活创新主引擎》（GDP、工业数据），2024；新浪财经《山东未来云谷：建设数字产业集聚区》（可租售面积、营收预期），2025；济南市科技局《新数智·云共创·向未来》（未来集团战略、15000PFLOPS），2025；2026年济南市中区政府工作报告（中科超级云智算中心、160亿目标），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