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山东济南市中区(能源互联网)特色产业集群</w:t>
      </w:r>
    </w:p>
    <w:p>
      <w:pPr>
        <w:spacing w:lineRule="exact" w:line="600" w:before="240" w:after="240"/>
        <w:ind w:firstLine="0"/>
        <w:jc w:val="center"/>
      </w:pPr>
      <w:r>
        <w:rPr>
          <w:rFonts w:ascii="方正小标宋简体" w:hAnsi="方正小标宋简体" w:eastAsia="方正小标宋简体"/>
          <w:b w:val="0"/>
          <w:color w:val="000000"/>
          <w:sz w:val="44"/>
        </w:rPr>
        <w:t>智能电网装备行业深度分析报告</w:t>
      </w:r>
    </w:p>
    <w:p>
      <w:pPr>
        <w:spacing w:lineRule="exact" w:line="600" w:before="0" w:after="0"/>
        <w:jc w:val="left"/>
      </w:pPr>
      <w:r>
        <w:rPr>
          <w:rFonts w:ascii="仿宋_GB2312" w:hAnsi="仿宋_GB2312" w:eastAsia="仿宋_GB2312"/>
          <w:b w:val="0"/>
          <w:color w:val="000000"/>
          <w:sz w:val="28"/>
        </w:rPr>
        <w:t>本报告聚焦智能电网装备（特高压变压器、电抗器、换流变压器），数据来源于大众新闻、市中区工信局及山东电力设备公开报道。数据截至2024—2025年，部分细分领域公开统计有限，已标注共性研判。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智能电网装备是市中能源互联网产业集群的硬支撑。以山东电力设备有限公司为龙头，电力装备及电力电子产业链群已具规模效应。山东电力设备研发世界首台320兆乏/1100千伏单柱式低噪声并联电抗器（噪声低至62.6分贝），破解特高压声振污染「卡脖子」；承担±800千伏高可靠性高端换流变压器，服务陕北—安徽特高压直流工程合州站等国家级重大工程；66项新产品通过国家级技术鉴定、其中57项达国际领先或先进水平，特高压线圈绕制可环地球12圈。公司拥有世界单厂产能最大、工装最先进、试验能力最强的变压器制造基地，产品覆盖全国32个省区、全球40多国。济南西门子能源变压器有限公司处国内领先；2026年市中区提出支持龙头企业扩大产能、加快布局特高压输变电与智能变压器高端装备，聚力打造国家级能源互联产业集群、产业规模突破380亿元。</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电抗器</w:t>
            </w:r>
          </w:p>
        </w:tc>
        <w:tc>
          <w:tcPr>
            <w:tcW w:type="dxa" w:w="2835"/>
          </w:tcPr>
          <w:p>
            <w:pPr>
              <w:spacing w:lineRule="exact" w:line="600"/>
              <w:jc w:val="center"/>
            </w:pPr>
            <w:r/>
            <w:r>
              <w:rPr>
                <w:rFonts w:ascii="仿宋_GB2312" w:hAnsi="仿宋_GB2312" w:eastAsia="仿宋_GB2312"/>
                <w:b w:val="0"/>
                <w:color w:val="000000"/>
                <w:sz w:val="32"/>
              </w:rPr>
              <w:t>320兆乏/1100kV（世界首台）</w:t>
            </w:r>
          </w:p>
        </w:tc>
        <w:tc>
          <w:tcPr>
            <w:tcW w:type="dxa" w:w="3118"/>
          </w:tcPr>
          <w:p>
            <w:pPr>
              <w:spacing w:lineRule="exact" w:line="600"/>
              <w:jc w:val="center"/>
            </w:pPr>
            <w:r/>
            <w:r>
              <w:rPr>
                <w:rFonts w:ascii="仿宋_GB2312" w:hAnsi="仿宋_GB2312" w:eastAsia="仿宋_GB2312"/>
                <w:b w:val="0"/>
                <w:color w:val="000000"/>
                <w:sz w:val="32"/>
              </w:rPr>
              <w:t>大众新闻，2025</w:t>
            </w:r>
          </w:p>
        </w:tc>
      </w:tr>
      <w:tr>
        <w:tc>
          <w:tcPr>
            <w:tcW w:type="dxa" w:w="2835"/>
          </w:tcPr>
          <w:p>
            <w:pPr>
              <w:spacing w:lineRule="exact" w:line="600"/>
              <w:jc w:val="center"/>
            </w:pPr>
            <w:r/>
            <w:r>
              <w:rPr>
                <w:rFonts w:ascii="仿宋_GB2312" w:hAnsi="仿宋_GB2312" w:eastAsia="仿宋_GB2312"/>
                <w:b w:val="0"/>
                <w:color w:val="000000"/>
                <w:sz w:val="32"/>
              </w:rPr>
              <w:t>换流变压器</w:t>
            </w:r>
          </w:p>
        </w:tc>
        <w:tc>
          <w:tcPr>
            <w:tcW w:type="dxa" w:w="2835"/>
          </w:tcPr>
          <w:p>
            <w:pPr>
              <w:spacing w:lineRule="exact" w:line="600"/>
              <w:jc w:val="center"/>
            </w:pPr>
            <w:r/>
            <w:r>
              <w:rPr>
                <w:rFonts w:ascii="仿宋_GB2312" w:hAnsi="仿宋_GB2312" w:eastAsia="仿宋_GB2312"/>
                <w:b w:val="0"/>
                <w:color w:val="000000"/>
                <w:sz w:val="32"/>
              </w:rPr>
              <w:t>±800千伏</w:t>
            </w:r>
          </w:p>
        </w:tc>
        <w:tc>
          <w:tcPr>
            <w:tcW w:type="dxa" w:w="3118"/>
          </w:tcPr>
          <w:p>
            <w:pPr>
              <w:spacing w:lineRule="exact" w:line="600"/>
              <w:jc w:val="center"/>
            </w:pPr>
            <w:r/>
            <w:r>
              <w:rPr>
                <w:rFonts w:ascii="仿宋_GB2312" w:hAnsi="仿宋_GB2312" w:eastAsia="仿宋_GB2312"/>
                <w:b w:val="0"/>
                <w:color w:val="000000"/>
                <w:sz w:val="32"/>
              </w:rPr>
              <w:t>陕皖特高压，2025</w:t>
            </w:r>
          </w:p>
        </w:tc>
      </w:tr>
      <w:tr>
        <w:tc>
          <w:tcPr>
            <w:tcW w:type="dxa" w:w="2835"/>
          </w:tcPr>
          <w:p>
            <w:pPr>
              <w:spacing w:lineRule="exact" w:line="600"/>
              <w:jc w:val="center"/>
            </w:pPr>
            <w:r/>
            <w:r>
              <w:rPr>
                <w:rFonts w:ascii="仿宋_GB2312" w:hAnsi="仿宋_GB2312" w:eastAsia="仿宋_GB2312"/>
                <w:b w:val="0"/>
                <w:color w:val="000000"/>
                <w:sz w:val="32"/>
              </w:rPr>
              <w:t>新产品鉴定</w:t>
            </w:r>
          </w:p>
        </w:tc>
        <w:tc>
          <w:tcPr>
            <w:tcW w:type="dxa" w:w="2835"/>
          </w:tcPr>
          <w:p>
            <w:pPr>
              <w:spacing w:lineRule="exact" w:line="600"/>
              <w:jc w:val="center"/>
            </w:pPr>
            <w:r/>
            <w:r>
              <w:rPr>
                <w:rFonts w:ascii="仿宋_GB2312" w:hAnsi="仿宋_GB2312" w:eastAsia="仿宋_GB2312"/>
                <w:b w:val="0"/>
                <w:color w:val="000000"/>
                <w:sz w:val="32"/>
              </w:rPr>
              <w:t>66项（57项国际先进）</w:t>
            </w:r>
          </w:p>
        </w:tc>
        <w:tc>
          <w:tcPr>
            <w:tcW w:type="dxa" w:w="3118"/>
          </w:tcPr>
          <w:p>
            <w:pPr>
              <w:spacing w:lineRule="exact" w:line="600"/>
              <w:jc w:val="center"/>
            </w:pPr>
            <w:r/>
            <w:r>
              <w:rPr>
                <w:rFonts w:ascii="仿宋_GB2312" w:hAnsi="仿宋_GB2312" w:eastAsia="仿宋_GB2312"/>
                <w:b w:val="0"/>
                <w:color w:val="000000"/>
                <w:sz w:val="32"/>
              </w:rPr>
              <w:t>大众新闻，2025</w:t>
            </w:r>
          </w:p>
        </w:tc>
      </w:tr>
      <w:tr>
        <w:tc>
          <w:tcPr>
            <w:tcW w:type="dxa" w:w="2835"/>
          </w:tcPr>
          <w:p>
            <w:pPr>
              <w:spacing w:lineRule="exact" w:line="600"/>
              <w:jc w:val="center"/>
            </w:pPr>
            <w:r/>
            <w:r>
              <w:rPr>
                <w:rFonts w:ascii="仿宋_GB2312" w:hAnsi="仿宋_GB2312" w:eastAsia="仿宋_GB2312"/>
                <w:b w:val="0"/>
                <w:color w:val="000000"/>
                <w:sz w:val="32"/>
              </w:rPr>
              <w:t>市场覆盖</w:t>
            </w:r>
          </w:p>
        </w:tc>
        <w:tc>
          <w:tcPr>
            <w:tcW w:type="dxa" w:w="2835"/>
          </w:tcPr>
          <w:p>
            <w:pPr>
              <w:spacing w:lineRule="exact" w:line="600"/>
              <w:jc w:val="center"/>
            </w:pPr>
            <w:r/>
            <w:r>
              <w:rPr>
                <w:rFonts w:ascii="仿宋_GB2312" w:hAnsi="仿宋_GB2312" w:eastAsia="仿宋_GB2312"/>
                <w:b w:val="0"/>
                <w:color w:val="000000"/>
                <w:sz w:val="32"/>
              </w:rPr>
              <w:t>全国32省/全球40国</w:t>
            </w:r>
          </w:p>
        </w:tc>
        <w:tc>
          <w:tcPr>
            <w:tcW w:type="dxa" w:w="3118"/>
          </w:tcPr>
          <w:p>
            <w:pPr>
              <w:spacing w:lineRule="exact" w:line="600"/>
              <w:jc w:val="center"/>
            </w:pPr>
            <w:r/>
            <w:r>
              <w:rPr>
                <w:rFonts w:ascii="仿宋_GB2312" w:hAnsi="仿宋_GB2312" w:eastAsia="仿宋_GB2312"/>
                <w:b w:val="0"/>
                <w:color w:val="000000"/>
                <w:sz w:val="32"/>
              </w:rPr>
              <w:t>大众新闻，2025</w:t>
            </w:r>
          </w:p>
        </w:tc>
      </w:tr>
      <w:tr>
        <w:tc>
          <w:tcPr>
            <w:tcW w:type="dxa" w:w="2835"/>
          </w:tcPr>
          <w:p>
            <w:pPr>
              <w:spacing w:lineRule="exact" w:line="600"/>
              <w:jc w:val="center"/>
            </w:pPr>
            <w:r/>
            <w:r>
              <w:rPr>
                <w:rFonts w:ascii="仿宋_GB2312" w:hAnsi="仿宋_GB2312" w:eastAsia="仿宋_GB2312"/>
                <w:b w:val="0"/>
                <w:color w:val="000000"/>
                <w:sz w:val="32"/>
              </w:rPr>
              <w:t>产业目标</w:t>
            </w:r>
          </w:p>
        </w:tc>
        <w:tc>
          <w:tcPr>
            <w:tcW w:type="dxa" w:w="2835"/>
          </w:tcPr>
          <w:p>
            <w:pPr>
              <w:spacing w:lineRule="exact" w:line="600"/>
              <w:jc w:val="center"/>
            </w:pPr>
            <w:r/>
            <w:r>
              <w:rPr>
                <w:rFonts w:ascii="仿宋_GB2312" w:hAnsi="仿宋_GB2312" w:eastAsia="仿宋_GB2312"/>
                <w:b w:val="0"/>
                <w:color w:val="000000"/>
                <w:sz w:val="32"/>
              </w:rPr>
              <w:t>突破380亿元</w:t>
            </w:r>
          </w:p>
        </w:tc>
        <w:tc>
          <w:tcPr>
            <w:tcW w:type="dxa" w:w="3118"/>
          </w:tcPr>
          <w:p>
            <w:pPr>
              <w:spacing w:lineRule="exact" w:line="600"/>
              <w:jc w:val="center"/>
            </w:pPr>
            <w:r/>
            <w:r>
              <w:rPr>
                <w:rFonts w:ascii="仿宋_GB2312" w:hAnsi="仿宋_GB2312" w:eastAsia="仿宋_GB2312"/>
                <w:b w:val="0"/>
                <w:color w:val="000000"/>
                <w:sz w:val="32"/>
              </w:rPr>
              <w:t>2026政府工作报告</w:t>
            </w:r>
          </w:p>
        </w:tc>
      </w:tr>
      <w:tr>
        <w:tc>
          <w:tcPr>
            <w:tcW w:type="dxa" w:w="2835"/>
          </w:tcPr>
          <w:p>
            <w:pPr>
              <w:spacing w:lineRule="exact" w:line="600"/>
              <w:jc w:val="center"/>
            </w:pPr>
            <w:r/>
            <w:r>
              <w:rPr>
                <w:rFonts w:ascii="仿宋_GB2312" w:hAnsi="仿宋_GB2312" w:eastAsia="仿宋_GB2312"/>
                <w:b w:val="0"/>
                <w:color w:val="000000"/>
                <w:sz w:val="32"/>
              </w:rPr>
              <w:t>能源专精特新</w:t>
            </w:r>
          </w:p>
        </w:tc>
        <w:tc>
          <w:tcPr>
            <w:tcW w:type="dxa" w:w="2835"/>
          </w:tcPr>
          <w:p>
            <w:pPr>
              <w:spacing w:lineRule="exact" w:line="600"/>
              <w:jc w:val="center"/>
            </w:pPr>
            <w:r/>
            <w:r>
              <w:rPr>
                <w:rFonts w:ascii="仿宋_GB2312" w:hAnsi="仿宋_GB2312" w:eastAsia="仿宋_GB2312"/>
                <w:b w:val="0"/>
                <w:color w:val="000000"/>
                <w:sz w:val="32"/>
              </w:rPr>
              <w:t>累计22家</w:t>
            </w:r>
          </w:p>
        </w:tc>
        <w:tc>
          <w:tcPr>
            <w:tcW w:type="dxa" w:w="3118"/>
          </w:tcPr>
          <w:p>
            <w:pPr>
              <w:spacing w:lineRule="exact" w:line="600"/>
              <w:jc w:val="center"/>
            </w:pPr>
            <w:r/>
            <w:r>
              <w:rPr>
                <w:rFonts w:ascii="仿宋_GB2312" w:hAnsi="仿宋_GB2312" w:eastAsia="仿宋_GB2312"/>
                <w:b w:val="0"/>
                <w:color w:val="000000"/>
                <w:sz w:val="32"/>
              </w:rPr>
              <w:t>市中区报道，2024</w:t>
            </w:r>
          </w:p>
        </w:tc>
      </w:tr>
      <w:tr>
        <w:tc>
          <w:tcPr>
            <w:tcW w:type="dxa" w:w="2835"/>
          </w:tcPr>
          <w:p>
            <w:pPr>
              <w:spacing w:lineRule="exact" w:line="600"/>
              <w:jc w:val="center"/>
            </w:pPr>
            <w:r/>
            <w:r>
              <w:rPr>
                <w:rFonts w:ascii="仿宋_GB2312" w:hAnsi="仿宋_GB2312" w:eastAsia="仿宋_GB2312"/>
                <w:b w:val="0"/>
                <w:color w:val="000000"/>
                <w:sz w:val="32"/>
              </w:rPr>
              <w:t>噪声</w:t>
            </w:r>
          </w:p>
        </w:tc>
        <w:tc>
          <w:tcPr>
            <w:tcW w:type="dxa" w:w="2835"/>
          </w:tcPr>
          <w:p>
            <w:pPr>
              <w:spacing w:lineRule="exact" w:line="600"/>
              <w:jc w:val="center"/>
            </w:pPr>
            <w:r/>
            <w:r>
              <w:rPr>
                <w:rFonts w:ascii="仿宋_GB2312" w:hAnsi="仿宋_GB2312" w:eastAsia="仿宋_GB2312"/>
                <w:b w:val="0"/>
                <w:color w:val="000000"/>
                <w:sz w:val="32"/>
              </w:rPr>
              <w:t>62.6分贝</w:t>
            </w:r>
          </w:p>
        </w:tc>
        <w:tc>
          <w:tcPr>
            <w:tcW w:type="dxa" w:w="3118"/>
          </w:tcPr>
          <w:p>
            <w:pPr>
              <w:spacing w:lineRule="exact" w:line="600"/>
              <w:jc w:val="center"/>
            </w:pPr>
            <w:r/>
            <w:r>
              <w:rPr>
                <w:rFonts w:ascii="仿宋_GB2312" w:hAnsi="仿宋_GB2312" w:eastAsia="仿宋_GB2312"/>
                <w:b w:val="0"/>
                <w:color w:val="000000"/>
                <w:sz w:val="32"/>
              </w:rPr>
              <w:t>大众新闻，2025</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（一）政策导向</w:t>
      </w:r>
    </w:p>
    <w:p>
      <w:pPr>
        <w:spacing w:lineRule="exact" w:line="600" w:before="0" w:after="0"/>
        <w:ind w:firstLine="420"/>
        <w:jc w:val="both"/>
      </w:pPr>
      <w:r>
        <w:rPr>
          <w:rFonts w:ascii="仿宋_GB2312" w:hAnsi="仿宋_GB2312" w:eastAsia="仿宋_GB2312"/>
          <w:b w:val="0"/>
          <w:color w:val="000000"/>
          <w:sz w:val="32"/>
        </w:rPr>
        <w:t>国家特高压与新型电力系统建设推动高端电网装备需求。市中区「能源互联网产业集聚区」战略为电力装备提供政策指引，提出加快布局特高压输变电与智能变压器高端装备（来源：大众新闻、2026政府工作报告，2025—2026）。</w:t>
      </w:r>
    </w:p>
    <w:p>
      <w:pPr>
        <w:spacing w:lineRule="exact" w:line="600" w:before="120" w:after="120"/>
        <w:ind w:firstLine="420"/>
        <w:jc w:val="left"/>
      </w:pPr>
      <w:r>
        <w:rPr>
          <w:rFonts w:ascii="楷体_GB2312" w:hAnsi="楷体_GB2312" w:eastAsia="楷体_GB2312"/>
          <w:b w:val="0"/>
          <w:color w:val="000000"/>
          <w:sz w:val="32"/>
        </w:rPr>
        <w:t>（二）区域定位</w:t>
      </w:r>
    </w:p>
    <w:p>
      <w:pPr>
        <w:spacing w:lineRule="exact" w:line="600" w:before="0" w:after="0"/>
        <w:ind w:firstLine="420"/>
        <w:jc w:val="both"/>
      </w:pPr>
      <w:r>
        <w:rPr>
          <w:rFonts w:ascii="仿宋_GB2312" w:hAnsi="仿宋_GB2312" w:eastAsia="仿宋_GB2312"/>
          <w:b w:val="0"/>
          <w:color w:val="000000"/>
          <w:sz w:val="32"/>
        </w:rPr>
        <w:t>市中区以山东电力设备、济南西门子能源变压器为双核支撑，围绕变电设备、光伏组件等延伸产业链，打造国家级能源互联产业集群（来源：市中区工信局、2026政府工作报告，2024—2026）。</w:t>
      </w:r>
    </w:p>
    <w:p>
      <w:pPr>
        <w:spacing w:lineRule="exact" w:line="600" w:before="120" w:after="120"/>
        <w:ind w:firstLine="420"/>
        <w:jc w:val="left"/>
      </w:pPr>
      <w:r>
        <w:rPr>
          <w:rFonts w:ascii="楷体_GB2312" w:hAnsi="楷体_GB2312" w:eastAsia="楷体_GB2312"/>
          <w:b w:val="0"/>
          <w:color w:val="000000"/>
          <w:sz w:val="32"/>
        </w:rPr>
        <w:t>（三）集群规模</w:t>
      </w:r>
    </w:p>
    <w:p>
      <w:pPr>
        <w:spacing w:lineRule="exact" w:line="600" w:before="0" w:after="0"/>
        <w:ind w:firstLine="420"/>
        <w:jc w:val="both"/>
      </w:pPr>
      <w:r>
        <w:rPr>
          <w:rFonts w:ascii="仿宋_GB2312" w:hAnsi="仿宋_GB2312" w:eastAsia="仿宋_GB2312"/>
          <w:b w:val="0"/>
          <w:color w:val="000000"/>
          <w:sz w:val="32"/>
        </w:rPr>
        <w:t>2024年山东中实易通、山东思极等14家能源类企业获省级专精特新，全区累计能源相关专精特新达22家；电力装备及电力电子产业链群已具规模效应（来源：市中区能源互联网报道，2024）。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产业目标</w:t>
            </w:r>
          </w:p>
        </w:tc>
        <w:tc>
          <w:tcPr>
            <w:tcW w:type="dxa" w:w="3118"/>
          </w:tcPr>
          <w:p>
            <w:pPr>
              <w:spacing w:lineRule="exact" w:line="600"/>
              <w:jc w:val="center"/>
            </w:pPr>
            <w:r/>
            <w:r>
              <w:rPr>
                <w:rFonts w:ascii="仿宋_GB2312" w:hAnsi="仿宋_GB2312" w:eastAsia="仿宋_GB2312"/>
                <w:b w:val="0"/>
                <w:color w:val="000000"/>
                <w:sz w:val="32"/>
              </w:rPr>
              <w:t>突破380亿元</w:t>
            </w:r>
          </w:p>
        </w:tc>
        <w:tc>
          <w:tcPr>
            <w:tcW w:type="dxa" w:w="3118"/>
          </w:tcPr>
          <w:p>
            <w:pPr>
              <w:spacing w:lineRule="exact" w:line="600"/>
              <w:jc w:val="center"/>
            </w:pPr>
            <w:r/>
            <w:r>
              <w:rPr>
                <w:rFonts w:ascii="仿宋_GB2312" w:hAnsi="仿宋_GB2312" w:eastAsia="仿宋_GB2312"/>
                <w:b w:val="0"/>
                <w:color w:val="000000"/>
                <w:sz w:val="32"/>
              </w:rPr>
              <w:t>2026政府工作报告</w:t>
            </w:r>
          </w:p>
        </w:tc>
      </w:tr>
      <w:tr>
        <w:tc>
          <w:tcPr>
            <w:tcW w:type="dxa" w:w="2835"/>
          </w:tcPr>
          <w:p>
            <w:pPr>
              <w:spacing w:lineRule="exact" w:line="600"/>
              <w:jc w:val="center"/>
            </w:pPr>
            <w:r/>
            <w:r>
              <w:rPr>
                <w:rFonts w:ascii="仿宋_GB2312" w:hAnsi="仿宋_GB2312" w:eastAsia="仿宋_GB2312"/>
                <w:b w:val="0"/>
                <w:color w:val="000000"/>
                <w:sz w:val="32"/>
              </w:rPr>
              <w:t>能源专精特新</w:t>
            </w:r>
          </w:p>
        </w:tc>
        <w:tc>
          <w:tcPr>
            <w:tcW w:type="dxa" w:w="3118"/>
          </w:tcPr>
          <w:p>
            <w:pPr>
              <w:spacing w:lineRule="exact" w:line="600"/>
              <w:jc w:val="center"/>
            </w:pPr>
            <w:r/>
            <w:r>
              <w:rPr>
                <w:rFonts w:ascii="仿宋_GB2312" w:hAnsi="仿宋_GB2312" w:eastAsia="仿宋_GB2312"/>
                <w:b w:val="0"/>
                <w:color w:val="000000"/>
                <w:sz w:val="32"/>
              </w:rPr>
              <w:t>累计22家</w:t>
            </w:r>
          </w:p>
        </w:tc>
        <w:tc>
          <w:tcPr>
            <w:tcW w:type="dxa" w:w="3118"/>
          </w:tcPr>
          <w:p>
            <w:pPr>
              <w:spacing w:lineRule="exact" w:line="600"/>
              <w:jc w:val="center"/>
            </w:pPr>
            <w:r/>
            <w:r>
              <w:rPr>
                <w:rFonts w:ascii="仿宋_GB2312" w:hAnsi="仿宋_GB2312" w:eastAsia="仿宋_GB2312"/>
                <w:b w:val="0"/>
                <w:color w:val="000000"/>
                <w:sz w:val="32"/>
              </w:rPr>
              <w:t>市中区报道，2024</w:t>
            </w:r>
          </w:p>
        </w:tc>
      </w:tr>
      <w:tr>
        <w:tc>
          <w:tcPr>
            <w:tcW w:type="dxa" w:w="2835"/>
          </w:tcPr>
          <w:p>
            <w:pPr>
              <w:spacing w:lineRule="exact" w:line="600"/>
              <w:jc w:val="center"/>
            </w:pPr>
            <w:r/>
            <w:r>
              <w:rPr>
                <w:rFonts w:ascii="仿宋_GB2312" w:hAnsi="仿宋_GB2312" w:eastAsia="仿宋_GB2312"/>
                <w:b w:val="0"/>
                <w:color w:val="000000"/>
                <w:sz w:val="32"/>
              </w:rPr>
              <w:t>省级荣誉</w:t>
            </w:r>
          </w:p>
        </w:tc>
        <w:tc>
          <w:tcPr>
            <w:tcW w:type="dxa" w:w="3118"/>
          </w:tcPr>
          <w:p>
            <w:pPr>
              <w:spacing w:lineRule="exact" w:line="600"/>
              <w:jc w:val="center"/>
            </w:pPr>
            <w:r/>
            <w:r>
              <w:rPr>
                <w:rFonts w:ascii="仿宋_GB2312" w:hAnsi="仿宋_GB2312" w:eastAsia="仿宋_GB2312"/>
                <w:b w:val="0"/>
                <w:color w:val="000000"/>
                <w:sz w:val="32"/>
              </w:rPr>
              <w:t>战新+特色双省级</w:t>
            </w:r>
          </w:p>
        </w:tc>
        <w:tc>
          <w:tcPr>
            <w:tcW w:type="dxa" w:w="3118"/>
          </w:tcPr>
          <w:p>
            <w:pPr>
              <w:spacing w:lineRule="exact" w:line="600"/>
              <w:jc w:val="center"/>
            </w:pPr>
            <w:r/>
            <w:r>
              <w:rPr>
                <w:rFonts w:ascii="仿宋_GB2312" w:hAnsi="仿宋_GB2312" w:eastAsia="仿宋_GB2312"/>
                <w:b w:val="0"/>
                <w:color w:val="000000"/>
                <w:sz w:val="32"/>
              </w:rPr>
              <w:t>市中区报道</w:t>
            </w:r>
          </w:p>
        </w:tc>
      </w:tr>
      <w:tr>
        <w:tc>
          <w:tcPr>
            <w:tcW w:type="dxa" w:w="2835"/>
          </w:tcPr>
          <w:p>
            <w:pPr>
              <w:spacing w:lineRule="exact" w:line="600"/>
              <w:jc w:val="center"/>
            </w:pPr>
            <w:r/>
            <w:r>
              <w:rPr>
                <w:rFonts w:ascii="仿宋_GB2312" w:hAnsi="仿宋_GB2312" w:eastAsia="仿宋_GB2312"/>
                <w:b w:val="0"/>
                <w:color w:val="000000"/>
                <w:sz w:val="32"/>
              </w:rPr>
              <w:t>双核</w:t>
            </w:r>
          </w:p>
        </w:tc>
        <w:tc>
          <w:tcPr>
            <w:tcW w:type="dxa" w:w="3118"/>
          </w:tcPr>
          <w:p>
            <w:pPr>
              <w:spacing w:lineRule="exact" w:line="600"/>
              <w:jc w:val="center"/>
            </w:pPr>
            <w:r/>
            <w:r>
              <w:rPr>
                <w:rFonts w:ascii="仿宋_GB2312" w:hAnsi="仿宋_GB2312" w:eastAsia="仿宋_GB2312"/>
                <w:b w:val="0"/>
                <w:color w:val="000000"/>
                <w:sz w:val="32"/>
              </w:rPr>
              <w:t>电力设备+西门子</w:t>
            </w:r>
          </w:p>
        </w:tc>
        <w:tc>
          <w:tcPr>
            <w:tcW w:type="dxa" w:w="3118"/>
          </w:tcPr>
          <w:p>
            <w:pPr>
              <w:spacing w:lineRule="exact" w:line="600"/>
              <w:jc w:val="center"/>
            </w:pPr>
            <w:r/>
            <w:r>
              <w:rPr>
                <w:rFonts w:ascii="仿宋_GB2312" w:hAnsi="仿宋_GB2312" w:eastAsia="仿宋_GB2312"/>
                <w:b w:val="0"/>
                <w:color w:val="000000"/>
                <w:sz w:val="32"/>
              </w:rPr>
              <w:t>市中区工信局，2024</w:t>
            </w:r>
          </w:p>
        </w:tc>
      </w:tr>
      <w:tr>
        <w:tc>
          <w:tcPr>
            <w:tcW w:type="dxa" w:w="2835"/>
          </w:tcPr>
          <w:p>
            <w:pPr>
              <w:spacing w:lineRule="exact" w:line="600"/>
              <w:jc w:val="center"/>
            </w:pPr>
            <w:r/>
            <w:r>
              <w:rPr>
                <w:rFonts w:ascii="仿宋_GB2312" w:hAnsi="仿宋_GB2312" w:eastAsia="仿宋_GB2312"/>
                <w:b w:val="0"/>
                <w:color w:val="000000"/>
                <w:sz w:val="32"/>
              </w:rPr>
              <w:t>新晋专精特新</w:t>
            </w:r>
          </w:p>
        </w:tc>
        <w:tc>
          <w:tcPr>
            <w:tcW w:type="dxa" w:w="3118"/>
          </w:tcPr>
          <w:p>
            <w:pPr>
              <w:spacing w:lineRule="exact" w:line="600"/>
              <w:jc w:val="center"/>
            </w:pPr>
            <w:r/>
            <w:r>
              <w:rPr>
                <w:rFonts w:ascii="仿宋_GB2312" w:hAnsi="仿宋_GB2312" w:eastAsia="仿宋_GB2312"/>
                <w:b w:val="0"/>
                <w:color w:val="000000"/>
                <w:sz w:val="32"/>
              </w:rPr>
              <w:t>14家（2024）</w:t>
            </w:r>
          </w:p>
        </w:tc>
        <w:tc>
          <w:tcPr>
            <w:tcW w:type="dxa" w:w="3118"/>
          </w:tcPr>
          <w:p>
            <w:pPr>
              <w:spacing w:lineRule="exact" w:line="600"/>
              <w:jc w:val="center"/>
            </w:pPr>
            <w:r/>
            <w:r>
              <w:rPr>
                <w:rFonts w:ascii="仿宋_GB2312" w:hAnsi="仿宋_GB2312" w:eastAsia="仿宋_GB2312"/>
                <w:b w:val="0"/>
                <w:color w:val="000000"/>
                <w:sz w:val="32"/>
              </w:rPr>
              <w:t>市中区报道，2024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（一）上游材料与部件</w:t>
      </w:r>
    </w:p>
    <w:p>
      <w:pPr>
        <w:spacing w:lineRule="exact" w:line="600" w:before="0" w:after="0"/>
        <w:ind w:firstLine="420"/>
        <w:jc w:val="both"/>
      </w:pPr>
      <w:r>
        <w:rPr>
          <w:rFonts w:ascii="仿宋_GB2312" w:hAnsi="仿宋_GB2312" w:eastAsia="仿宋_GB2312"/>
          <w:b w:val="0"/>
          <w:color w:val="000000"/>
          <w:sz w:val="32"/>
        </w:rPr>
        <w:t>山东电力设备以本地企业为核心，辐射带动电力装备上下游，与宝武集团、中石油等上游大型企业构建完善供应链体系（来源：大众新闻，2025）。</w:t>
      </w:r>
    </w:p>
    <w:p>
      <w:pPr>
        <w:spacing w:lineRule="exact" w:line="600" w:before="120" w:after="120"/>
        <w:ind w:firstLine="420"/>
        <w:jc w:val="left"/>
      </w:pPr>
      <w:r>
        <w:rPr>
          <w:rFonts w:ascii="楷体_GB2312" w:hAnsi="楷体_GB2312" w:eastAsia="楷体_GB2312"/>
          <w:b w:val="0"/>
          <w:color w:val="000000"/>
          <w:sz w:val="32"/>
        </w:rPr>
        <w:t>（二）中游装备制造</w:t>
      </w:r>
    </w:p>
    <w:p>
      <w:pPr>
        <w:spacing w:lineRule="exact" w:line="600" w:before="0" w:after="0"/>
        <w:ind w:firstLine="420"/>
        <w:jc w:val="both"/>
      </w:pPr>
      <w:r>
        <w:rPr>
          <w:rFonts w:ascii="仿宋_GB2312" w:hAnsi="仿宋_GB2312" w:eastAsia="仿宋_GB2312"/>
          <w:b w:val="0"/>
          <w:color w:val="000000"/>
          <w:sz w:val="32"/>
        </w:rPr>
        <w:t>中游为特高压变压器、电抗器、换流变压器与智能变压器。山东电力设备拥有世界单厂产能最大、工装最先进、试验能力最强的变压器制造基地；济南西门子能源变压器处国内领先（来源：大众新闻，2025）。</w:t>
      </w:r>
    </w:p>
    <w:p>
      <w:pPr>
        <w:spacing w:lineRule="exact" w:line="600" w:before="120" w:after="120"/>
        <w:ind w:firstLine="420"/>
        <w:jc w:val="left"/>
      </w:pPr>
      <w:r>
        <w:rPr>
          <w:rFonts w:ascii="楷体_GB2312" w:hAnsi="楷体_GB2312" w:eastAsia="楷体_GB2312"/>
          <w:b w:val="0"/>
          <w:color w:val="000000"/>
          <w:sz w:val="32"/>
        </w:rPr>
        <w:t>（三）下游应用</w:t>
      </w:r>
    </w:p>
    <w:p>
      <w:pPr>
        <w:spacing w:lineRule="exact" w:line="600" w:before="0" w:after="0"/>
        <w:ind w:firstLine="420"/>
        <w:jc w:val="both"/>
      </w:pPr>
      <w:r>
        <w:rPr>
          <w:rFonts w:ascii="仿宋_GB2312" w:hAnsi="仿宋_GB2312" w:eastAsia="仿宋_GB2312"/>
          <w:b w:val="0"/>
          <w:color w:val="000000"/>
          <w:sz w:val="32"/>
        </w:rPr>
        <w:t>产品面向国家电网、南方电网、蒙西电网、电源央企，覆盖全国32省区、全球40多国，服务特高压与新型电力系统（来源：大众新闻，2025）。</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层级</w:t>
            </w:r>
          </w:p>
        </w:tc>
        <w:tc>
          <w:tcPr>
            <w:tcW w:type="dxa" w:w="3685"/>
          </w:tcPr>
          <w:p>
            <w:pPr>
              <w:spacing w:lineRule="exact" w:line="600"/>
              <w:jc w:val="center"/>
            </w:pPr>
            <w:r/>
            <w:r>
              <w:rPr>
                <w:rFonts w:ascii="黑体" w:hAnsi="黑体" w:eastAsia="黑体"/>
                <w:b/>
                <w:color w:val="000000"/>
                <w:sz w:val="32"/>
              </w:rPr>
              <w:t>内容/企业</w:t>
            </w:r>
          </w:p>
        </w:tc>
        <w:tc>
          <w:tcPr>
            <w:tcW w:type="dxa" w:w="3118"/>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上游</w:t>
            </w:r>
          </w:p>
        </w:tc>
        <w:tc>
          <w:tcPr>
            <w:tcW w:type="dxa" w:w="3685"/>
          </w:tcPr>
          <w:p>
            <w:pPr>
              <w:spacing w:lineRule="exact" w:line="600"/>
              <w:jc w:val="center"/>
            </w:pPr>
            <w:r/>
            <w:r>
              <w:rPr>
                <w:rFonts w:ascii="仿宋_GB2312" w:hAnsi="仿宋_GB2312" w:eastAsia="仿宋_GB2312"/>
                <w:b w:val="0"/>
                <w:color w:val="000000"/>
                <w:sz w:val="32"/>
              </w:rPr>
              <w:t>宝武/中石油等</w:t>
            </w:r>
          </w:p>
        </w:tc>
        <w:tc>
          <w:tcPr>
            <w:tcW w:type="dxa" w:w="3118"/>
          </w:tcPr>
          <w:p>
            <w:pPr>
              <w:spacing w:lineRule="exact" w:line="600"/>
              <w:jc w:val="center"/>
            </w:pPr>
            <w:r/>
            <w:r>
              <w:rPr>
                <w:rFonts w:ascii="仿宋_GB2312" w:hAnsi="仿宋_GB2312" w:eastAsia="仿宋_GB2312"/>
                <w:b w:val="0"/>
                <w:color w:val="000000"/>
                <w:sz w:val="32"/>
              </w:rPr>
              <w:t>本地供应链</w:t>
            </w:r>
          </w:p>
        </w:tc>
      </w:tr>
      <w:tr>
        <w:tc>
          <w:tcPr>
            <w:tcW w:type="dxa" w:w="2268"/>
          </w:tcPr>
          <w:p>
            <w:pPr>
              <w:spacing w:lineRule="exact" w:line="600"/>
              <w:jc w:val="center"/>
            </w:pPr>
            <w:r/>
            <w:r>
              <w:rPr>
                <w:rFonts w:ascii="仿宋_GB2312" w:hAnsi="仿宋_GB2312" w:eastAsia="仿宋_GB2312"/>
                <w:b w:val="0"/>
                <w:color w:val="000000"/>
                <w:sz w:val="32"/>
              </w:rPr>
              <w:t>中游</w:t>
            </w:r>
          </w:p>
        </w:tc>
        <w:tc>
          <w:tcPr>
            <w:tcW w:type="dxa" w:w="3685"/>
          </w:tcPr>
          <w:p>
            <w:pPr>
              <w:spacing w:lineRule="exact" w:line="600"/>
              <w:jc w:val="center"/>
            </w:pPr>
            <w:r/>
            <w:r>
              <w:rPr>
                <w:rFonts w:ascii="仿宋_GB2312" w:hAnsi="仿宋_GB2312" w:eastAsia="仿宋_GB2312"/>
                <w:b w:val="0"/>
                <w:color w:val="000000"/>
                <w:sz w:val="32"/>
              </w:rPr>
              <w:t>特高压变压器/电抗器</w:t>
            </w:r>
          </w:p>
        </w:tc>
        <w:tc>
          <w:tcPr>
            <w:tcW w:type="dxa" w:w="3118"/>
          </w:tcPr>
          <w:p>
            <w:pPr>
              <w:spacing w:lineRule="exact" w:line="600"/>
              <w:jc w:val="center"/>
            </w:pPr>
            <w:r/>
            <w:r>
              <w:rPr>
                <w:rFonts w:ascii="仿宋_GB2312" w:hAnsi="仿宋_GB2312" w:eastAsia="仿宋_GB2312"/>
                <w:b w:val="0"/>
                <w:color w:val="000000"/>
                <w:sz w:val="32"/>
              </w:rPr>
              <w:t>世界最大单厂产能</w:t>
            </w:r>
          </w:p>
        </w:tc>
      </w:tr>
      <w:tr>
        <w:tc>
          <w:tcPr>
            <w:tcW w:type="dxa" w:w="2268"/>
          </w:tcPr>
          <w:p>
            <w:pPr>
              <w:spacing w:lineRule="exact" w:line="600"/>
              <w:jc w:val="center"/>
            </w:pPr>
            <w:r/>
            <w:r>
              <w:rPr>
                <w:rFonts w:ascii="仿宋_GB2312" w:hAnsi="仿宋_GB2312" w:eastAsia="仿宋_GB2312"/>
                <w:b w:val="0"/>
                <w:color w:val="000000"/>
                <w:sz w:val="32"/>
              </w:rPr>
              <w:t>中游</w:t>
            </w:r>
          </w:p>
        </w:tc>
        <w:tc>
          <w:tcPr>
            <w:tcW w:type="dxa" w:w="3685"/>
          </w:tcPr>
          <w:p>
            <w:pPr>
              <w:spacing w:lineRule="exact" w:line="600"/>
              <w:jc w:val="center"/>
            </w:pPr>
            <w:r/>
            <w:r>
              <w:rPr>
                <w:rFonts w:ascii="仿宋_GB2312" w:hAnsi="仿宋_GB2312" w:eastAsia="仿宋_GB2312"/>
                <w:b w:val="0"/>
                <w:color w:val="000000"/>
                <w:sz w:val="32"/>
              </w:rPr>
              <w:t>西门子变压器</w:t>
            </w:r>
          </w:p>
        </w:tc>
        <w:tc>
          <w:tcPr>
            <w:tcW w:type="dxa" w:w="3118"/>
          </w:tcPr>
          <w:p>
            <w:pPr>
              <w:spacing w:lineRule="exact" w:line="600"/>
              <w:jc w:val="center"/>
            </w:pPr>
            <w:r/>
            <w:r>
              <w:rPr>
                <w:rFonts w:ascii="仿宋_GB2312" w:hAnsi="仿宋_GB2312" w:eastAsia="仿宋_GB2312"/>
                <w:b w:val="0"/>
                <w:color w:val="000000"/>
                <w:sz w:val="32"/>
              </w:rPr>
              <w:t>国内领先</w:t>
            </w:r>
          </w:p>
        </w:tc>
      </w:tr>
      <w:tr>
        <w:tc>
          <w:tcPr>
            <w:tcW w:type="dxa" w:w="2268"/>
          </w:tcPr>
          <w:p>
            <w:pPr>
              <w:spacing w:lineRule="exact" w:line="600"/>
              <w:jc w:val="center"/>
            </w:pPr>
            <w:r/>
            <w:r>
              <w:rPr>
                <w:rFonts w:ascii="仿宋_GB2312" w:hAnsi="仿宋_GB2312" w:eastAsia="仿宋_GB2312"/>
                <w:b w:val="0"/>
                <w:color w:val="000000"/>
                <w:sz w:val="32"/>
              </w:rPr>
              <w:t>下游</w:t>
            </w:r>
          </w:p>
        </w:tc>
        <w:tc>
          <w:tcPr>
            <w:tcW w:type="dxa" w:w="3685"/>
          </w:tcPr>
          <w:p>
            <w:pPr>
              <w:spacing w:lineRule="exact" w:line="600"/>
              <w:jc w:val="center"/>
            </w:pPr>
            <w:r/>
            <w:r>
              <w:rPr>
                <w:rFonts w:ascii="仿宋_GB2312" w:hAnsi="仿宋_GB2312" w:eastAsia="仿宋_GB2312"/>
                <w:b w:val="0"/>
                <w:color w:val="000000"/>
                <w:sz w:val="32"/>
              </w:rPr>
              <w:t>两网+电源央企</w:t>
            </w:r>
          </w:p>
        </w:tc>
        <w:tc>
          <w:tcPr>
            <w:tcW w:type="dxa" w:w="3118"/>
          </w:tcPr>
          <w:p>
            <w:pPr>
              <w:spacing w:lineRule="exact" w:line="600"/>
              <w:jc w:val="center"/>
            </w:pPr>
            <w:r/>
            <w:r>
              <w:rPr>
                <w:rFonts w:ascii="仿宋_GB2312" w:hAnsi="仿宋_GB2312" w:eastAsia="仿宋_GB2312"/>
                <w:b w:val="0"/>
                <w:color w:val="000000"/>
                <w:sz w:val="32"/>
              </w:rPr>
              <w:t>全国32省/40国</w:t>
            </w:r>
          </w:p>
        </w:tc>
      </w:tr>
      <w:tr>
        <w:tc>
          <w:tcPr>
            <w:tcW w:type="dxa" w:w="2268"/>
          </w:tcPr>
          <w:p>
            <w:pPr>
              <w:spacing w:lineRule="exact" w:line="600"/>
              <w:jc w:val="center"/>
            </w:pPr>
            <w:r/>
            <w:r>
              <w:rPr>
                <w:rFonts w:ascii="仿宋_GB2312" w:hAnsi="仿宋_GB2312" w:eastAsia="仿宋_GB2312"/>
                <w:b w:val="0"/>
                <w:color w:val="000000"/>
                <w:sz w:val="32"/>
              </w:rPr>
              <w:t>储备</w:t>
            </w:r>
          </w:p>
        </w:tc>
        <w:tc>
          <w:tcPr>
            <w:tcW w:type="dxa" w:w="3685"/>
          </w:tcPr>
          <w:p>
            <w:pPr>
              <w:spacing w:lineRule="exact" w:line="600"/>
              <w:jc w:val="center"/>
            </w:pPr>
            <w:r/>
            <w:r>
              <w:rPr>
                <w:rFonts w:ascii="仿宋_GB2312" w:hAnsi="仿宋_GB2312" w:eastAsia="仿宋_GB2312"/>
                <w:b w:val="0"/>
                <w:color w:val="000000"/>
                <w:sz w:val="32"/>
              </w:rPr>
              <w:t>智能变压器</w:t>
            </w:r>
          </w:p>
        </w:tc>
        <w:tc>
          <w:tcPr>
            <w:tcW w:type="dxa" w:w="3118"/>
          </w:tcPr>
          <w:p>
            <w:pPr>
              <w:spacing w:lineRule="exact" w:line="600"/>
              <w:jc w:val="center"/>
            </w:pPr>
            <w:r/>
            <w:r>
              <w:rPr>
                <w:rFonts w:ascii="仿宋_GB2312" w:hAnsi="仿宋_GB2312" w:eastAsia="仿宋_GB2312"/>
                <w:b w:val="0"/>
                <w:color w:val="000000"/>
                <w:sz w:val="32"/>
              </w:rPr>
              <w:t>高端装备</w:t>
            </w:r>
          </w:p>
        </w:tc>
      </w:tr>
    </w:tbl>
    <w:p>
      <w:pPr>
        <w:spacing w:lineRule="exact" w:line="600" w:before="120" w:after="120"/>
        <w:ind w:firstLine="420"/>
        <w:jc w:val="left"/>
      </w:pPr>
      <w:r>
        <w:rPr>
          <w:rFonts w:ascii="楷体_GB2312" w:hAnsi="楷体_GB2312" w:eastAsia="楷体_GB2312"/>
          <w:b w:val="0"/>
          <w:color w:val="000000"/>
          <w:sz w:val="32"/>
        </w:rPr>
        <w:t>能源互联网与智能电网产业链（本批真实数据补充·来源见正文）</w:t>
      </w:r>
    </w:p>
    <w:p>
      <w:pPr>
        <w:spacing w:lineRule="exact" w:line="600" w:before="0" w:after="0"/>
        <w:ind w:firstLine="420"/>
        <w:jc w:val="both"/>
      </w:pPr>
      <w:r>
        <w:rPr>
          <w:rFonts w:ascii="仿宋_GB2312" w:hAnsi="仿宋_GB2312" w:eastAsia="仿宋_GB2312"/>
          <w:b w:val="0"/>
          <w:color w:val="000000"/>
          <w:sz w:val="32"/>
        </w:rPr>
        <w:t>市中区能源互联网产业以山东能源互联网产业集聚区为双省级战略平台，新能源装备产业汇聚产业链上企业50家，2024年实现产值70.4亿元，带动集聚区同期产值超340亿元；辖区集聚“国电系”能源企业机构100余家，国家电网、中国石油、壳牌等世界500强能源区域总部根植市中，辐射带动上下游企业近千家。聚焦先进电网、能源储运销、电力设备及电力电子三大产业链群，共集聚链上企业245家、产业创新平台26个，智能电网产业大脑入选山东省“产业大脑”建设试点。（来源：市中区发布会2025-07、山东省发改委2026-01）</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新能源装备企业</w:t>
            </w:r>
          </w:p>
        </w:tc>
        <w:tc>
          <w:tcPr>
            <w:tcW w:type="dxa" w:w="2835"/>
          </w:tcPr>
          <w:p>
            <w:pPr>
              <w:spacing w:lineRule="exact" w:line="600"/>
              <w:jc w:val="center"/>
            </w:pPr>
            <w:r/>
            <w:r>
              <w:rPr>
                <w:rFonts w:ascii="仿宋_GB2312" w:hAnsi="仿宋_GB2312" w:eastAsia="仿宋_GB2312"/>
                <w:b w:val="0"/>
                <w:color w:val="000000"/>
                <w:sz w:val="32"/>
              </w:rPr>
              <w:t>50家（2024产值70.4亿）</w:t>
            </w:r>
          </w:p>
        </w:tc>
        <w:tc>
          <w:tcPr>
            <w:tcW w:type="dxa" w:w="2551"/>
          </w:tcPr>
          <w:p>
            <w:pPr>
              <w:spacing w:lineRule="exact" w:line="600"/>
              <w:jc w:val="center"/>
            </w:pPr>
            <w:r/>
            <w:r>
              <w:rPr>
                <w:rFonts w:ascii="仿宋_GB2312" w:hAnsi="仿宋_GB2312" w:eastAsia="仿宋_GB2312"/>
                <w:b w:val="0"/>
                <w:color w:val="000000"/>
                <w:sz w:val="32"/>
              </w:rPr>
              <w:t>能源互联网集聚区</w:t>
            </w:r>
          </w:p>
        </w:tc>
      </w:tr>
      <w:tr>
        <w:tc>
          <w:tcPr>
            <w:tcW w:type="dxa" w:w="3118"/>
          </w:tcPr>
          <w:p>
            <w:pPr>
              <w:spacing w:lineRule="exact" w:line="600"/>
              <w:jc w:val="center"/>
            </w:pPr>
            <w:r/>
            <w:r>
              <w:rPr>
                <w:rFonts w:ascii="仿宋_GB2312" w:hAnsi="仿宋_GB2312" w:eastAsia="仿宋_GB2312"/>
                <w:b w:val="0"/>
                <w:color w:val="000000"/>
                <w:sz w:val="32"/>
              </w:rPr>
              <w:t>集聚区产值</w:t>
            </w:r>
          </w:p>
        </w:tc>
        <w:tc>
          <w:tcPr>
            <w:tcW w:type="dxa" w:w="2835"/>
          </w:tcPr>
          <w:p>
            <w:pPr>
              <w:spacing w:lineRule="exact" w:line="600"/>
              <w:jc w:val="center"/>
            </w:pPr>
            <w:r/>
            <w:r>
              <w:rPr>
                <w:rFonts w:ascii="仿宋_GB2312" w:hAnsi="仿宋_GB2312" w:eastAsia="仿宋_GB2312"/>
                <w:b w:val="0"/>
                <w:color w:val="000000"/>
                <w:sz w:val="32"/>
              </w:rPr>
              <w:t>超340亿元</w:t>
            </w:r>
          </w:p>
        </w:tc>
        <w:tc>
          <w:tcPr>
            <w:tcW w:type="dxa" w:w="2551"/>
          </w:tcPr>
          <w:p>
            <w:pPr>
              <w:spacing w:lineRule="exact" w:line="600"/>
              <w:jc w:val="center"/>
            </w:pPr>
            <w:r/>
            <w:r>
              <w:rPr>
                <w:rFonts w:ascii="仿宋_GB2312" w:hAnsi="仿宋_GB2312" w:eastAsia="仿宋_GB2312"/>
                <w:b w:val="0"/>
                <w:color w:val="000000"/>
                <w:sz w:val="32"/>
              </w:rPr>
              <w:t>双省级战略</w:t>
            </w:r>
          </w:p>
        </w:tc>
      </w:tr>
      <w:tr>
        <w:tc>
          <w:tcPr>
            <w:tcW w:type="dxa" w:w="3118"/>
          </w:tcPr>
          <w:p>
            <w:pPr>
              <w:spacing w:lineRule="exact" w:line="600"/>
              <w:jc w:val="center"/>
            </w:pPr>
            <w:r/>
            <w:r>
              <w:rPr>
                <w:rFonts w:ascii="仿宋_GB2312" w:hAnsi="仿宋_GB2312" w:eastAsia="仿宋_GB2312"/>
                <w:b w:val="0"/>
                <w:color w:val="000000"/>
                <w:sz w:val="32"/>
              </w:rPr>
              <w:t>国电系能源机构</w:t>
            </w:r>
          </w:p>
        </w:tc>
        <w:tc>
          <w:tcPr>
            <w:tcW w:type="dxa" w:w="2835"/>
          </w:tcPr>
          <w:p>
            <w:pPr>
              <w:spacing w:lineRule="exact" w:line="600"/>
              <w:jc w:val="center"/>
            </w:pPr>
            <w:r/>
            <w:r>
              <w:rPr>
                <w:rFonts w:ascii="仿宋_GB2312" w:hAnsi="仿宋_GB2312" w:eastAsia="仿宋_GB2312"/>
                <w:b w:val="0"/>
                <w:color w:val="000000"/>
                <w:sz w:val="32"/>
              </w:rPr>
              <w:t>100余家（带动上下游近千家）</w:t>
            </w:r>
          </w:p>
        </w:tc>
        <w:tc>
          <w:tcPr>
            <w:tcW w:type="dxa" w:w="2551"/>
          </w:tcPr>
          <w:p>
            <w:pPr>
              <w:spacing w:lineRule="exact" w:line="600"/>
              <w:jc w:val="center"/>
            </w:pPr>
            <w:r/>
            <w:r>
              <w:rPr>
                <w:rFonts w:ascii="仿宋_GB2312" w:hAnsi="仿宋_GB2312" w:eastAsia="仿宋_GB2312"/>
                <w:b w:val="0"/>
                <w:color w:val="000000"/>
                <w:sz w:val="32"/>
              </w:rPr>
              <w:t>总部经济</w:t>
            </w:r>
          </w:p>
        </w:tc>
      </w:tr>
      <w:tr>
        <w:tc>
          <w:tcPr>
            <w:tcW w:type="dxa" w:w="3118"/>
          </w:tcPr>
          <w:p>
            <w:pPr>
              <w:spacing w:lineRule="exact" w:line="600"/>
              <w:jc w:val="center"/>
            </w:pPr>
            <w:r/>
            <w:r>
              <w:rPr>
                <w:rFonts w:ascii="仿宋_GB2312" w:hAnsi="仿宋_GB2312" w:eastAsia="仿宋_GB2312"/>
                <w:b w:val="0"/>
                <w:color w:val="000000"/>
                <w:sz w:val="32"/>
              </w:rPr>
              <w:t>链上企业</w:t>
            </w:r>
          </w:p>
        </w:tc>
        <w:tc>
          <w:tcPr>
            <w:tcW w:type="dxa" w:w="2835"/>
          </w:tcPr>
          <w:p>
            <w:pPr>
              <w:spacing w:lineRule="exact" w:line="600"/>
              <w:jc w:val="center"/>
            </w:pPr>
            <w:r/>
            <w:r>
              <w:rPr>
                <w:rFonts w:ascii="仿宋_GB2312" w:hAnsi="仿宋_GB2312" w:eastAsia="仿宋_GB2312"/>
                <w:b w:val="0"/>
                <w:color w:val="000000"/>
                <w:sz w:val="32"/>
              </w:rPr>
              <w:t>245家 / 创新平台26个</w:t>
            </w:r>
          </w:p>
        </w:tc>
        <w:tc>
          <w:tcPr>
            <w:tcW w:type="dxa" w:w="2551"/>
          </w:tcPr>
          <w:p>
            <w:pPr>
              <w:spacing w:lineRule="exact" w:line="600"/>
              <w:jc w:val="center"/>
            </w:pPr>
            <w:r/>
            <w:r>
              <w:rPr>
                <w:rFonts w:ascii="仿宋_GB2312" w:hAnsi="仿宋_GB2312" w:eastAsia="仿宋_GB2312"/>
                <w:b w:val="0"/>
                <w:color w:val="000000"/>
                <w:sz w:val="32"/>
              </w:rPr>
              <w:t>三大产业链群</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（一）需求端</w:t>
      </w:r>
    </w:p>
    <w:p>
      <w:pPr>
        <w:spacing w:lineRule="exact" w:line="600" w:before="0" w:after="0"/>
        <w:ind w:firstLine="420"/>
        <w:jc w:val="both"/>
      </w:pPr>
      <w:r>
        <w:rPr>
          <w:rFonts w:ascii="仿宋_GB2312" w:hAnsi="仿宋_GB2312" w:eastAsia="仿宋_GB2312"/>
          <w:b w:val="0"/>
          <w:color w:val="000000"/>
          <w:sz w:val="32"/>
        </w:rPr>
        <w:t>「西电东送」与特高压直流工程拉动高端换流变压器、电抗器需求。陕北—安徽特高压直流工程合州站等国家级工程持续释放订单（来源：大众新闻，2025）。</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山东电力设备为行业龙头，66项新产品通过国家级鉴定、57项国际领先或先进；济南西门子能源变压器在国内外市场占有一席之地，形成双核竞争（来源：大众新闻，2025）。</w:t>
      </w:r>
    </w:p>
    <w:p>
      <w:pPr>
        <w:spacing w:lineRule="exact" w:line="600" w:before="120" w:after="120"/>
        <w:ind w:firstLine="420"/>
        <w:jc w:val="left"/>
      </w:pPr>
      <w:r>
        <w:rPr>
          <w:rFonts w:ascii="楷体_GB2312" w:hAnsi="楷体_GB2312" w:eastAsia="楷体_GB2312"/>
          <w:b w:val="0"/>
          <w:color w:val="000000"/>
          <w:sz w:val="32"/>
        </w:rPr>
        <w:t>（三）技术与地位</w:t>
      </w:r>
    </w:p>
    <w:p>
      <w:pPr>
        <w:spacing w:lineRule="exact" w:line="600" w:before="0" w:after="0"/>
        <w:ind w:firstLine="420"/>
        <w:jc w:val="both"/>
      </w:pPr>
      <w:r>
        <w:rPr>
          <w:rFonts w:ascii="仿宋_GB2312" w:hAnsi="仿宋_GB2312" w:eastAsia="仿宋_GB2312"/>
          <w:b w:val="0"/>
          <w:color w:val="000000"/>
          <w:sz w:val="32"/>
        </w:rPr>
        <w:t>公司先后承担智能电网2030国家重大科技专项、山东省重大科技项目；特高压线圈绕制可环地球12圈，制造能力全球领先（来源：大众新闻，2025）。</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新产品鉴定</w:t>
            </w:r>
          </w:p>
        </w:tc>
        <w:tc>
          <w:tcPr>
            <w:tcW w:type="dxa" w:w="3118"/>
          </w:tcPr>
          <w:p>
            <w:pPr>
              <w:spacing w:lineRule="exact" w:line="600"/>
              <w:jc w:val="center"/>
            </w:pPr>
            <w:r/>
            <w:r>
              <w:rPr>
                <w:rFonts w:ascii="仿宋_GB2312" w:hAnsi="仿宋_GB2312" w:eastAsia="仿宋_GB2312"/>
                <w:b w:val="0"/>
                <w:color w:val="000000"/>
                <w:sz w:val="32"/>
              </w:rPr>
              <w:t>66项（57项国际先进）</w:t>
            </w:r>
          </w:p>
        </w:tc>
        <w:tc>
          <w:tcPr>
            <w:tcW w:type="dxa" w:w="3118"/>
          </w:tcPr>
          <w:p>
            <w:pPr>
              <w:spacing w:lineRule="exact" w:line="600"/>
              <w:jc w:val="center"/>
            </w:pPr>
            <w:r/>
            <w:r>
              <w:rPr>
                <w:rFonts w:ascii="仿宋_GB2312" w:hAnsi="仿宋_GB2312" w:eastAsia="仿宋_GB2312"/>
                <w:b w:val="0"/>
                <w:color w:val="000000"/>
                <w:sz w:val="32"/>
              </w:rPr>
              <w:t>大众新闻，2025</w:t>
            </w:r>
          </w:p>
        </w:tc>
      </w:tr>
      <w:tr>
        <w:tc>
          <w:tcPr>
            <w:tcW w:type="dxa" w:w="2835"/>
          </w:tcPr>
          <w:p>
            <w:pPr>
              <w:spacing w:lineRule="exact" w:line="600"/>
              <w:jc w:val="center"/>
            </w:pPr>
            <w:r/>
            <w:r>
              <w:rPr>
                <w:rFonts w:ascii="仿宋_GB2312" w:hAnsi="仿宋_GB2312" w:eastAsia="仿宋_GB2312"/>
                <w:b w:val="0"/>
                <w:color w:val="000000"/>
                <w:sz w:val="32"/>
              </w:rPr>
              <w:t>线圈绕制</w:t>
            </w:r>
          </w:p>
        </w:tc>
        <w:tc>
          <w:tcPr>
            <w:tcW w:type="dxa" w:w="3118"/>
          </w:tcPr>
          <w:p>
            <w:pPr>
              <w:spacing w:lineRule="exact" w:line="600"/>
              <w:jc w:val="center"/>
            </w:pPr>
            <w:r/>
            <w:r>
              <w:rPr>
                <w:rFonts w:ascii="仿宋_GB2312" w:hAnsi="仿宋_GB2312" w:eastAsia="仿宋_GB2312"/>
                <w:b w:val="0"/>
                <w:color w:val="000000"/>
                <w:sz w:val="32"/>
              </w:rPr>
              <w:t>可环地球12圈</w:t>
            </w:r>
          </w:p>
        </w:tc>
        <w:tc>
          <w:tcPr>
            <w:tcW w:type="dxa" w:w="3118"/>
          </w:tcPr>
          <w:p>
            <w:pPr>
              <w:spacing w:lineRule="exact" w:line="600"/>
              <w:jc w:val="center"/>
            </w:pPr>
            <w:r/>
            <w:r>
              <w:rPr>
                <w:rFonts w:ascii="仿宋_GB2312" w:hAnsi="仿宋_GB2312" w:eastAsia="仿宋_GB2312"/>
                <w:b w:val="0"/>
                <w:color w:val="000000"/>
                <w:sz w:val="32"/>
              </w:rPr>
              <w:t>大众新闻，2025</w:t>
            </w:r>
          </w:p>
        </w:tc>
      </w:tr>
      <w:tr>
        <w:tc>
          <w:tcPr>
            <w:tcW w:type="dxa" w:w="2835"/>
          </w:tcPr>
          <w:p>
            <w:pPr>
              <w:spacing w:lineRule="exact" w:line="600"/>
              <w:jc w:val="center"/>
            </w:pPr>
            <w:r/>
            <w:r>
              <w:rPr>
                <w:rFonts w:ascii="仿宋_GB2312" w:hAnsi="仿宋_GB2312" w:eastAsia="仿宋_GB2312"/>
                <w:b w:val="0"/>
                <w:color w:val="000000"/>
                <w:sz w:val="32"/>
              </w:rPr>
              <w:t>电抗器</w:t>
            </w:r>
          </w:p>
        </w:tc>
        <w:tc>
          <w:tcPr>
            <w:tcW w:type="dxa" w:w="3118"/>
          </w:tcPr>
          <w:p>
            <w:pPr>
              <w:spacing w:lineRule="exact" w:line="600"/>
              <w:jc w:val="center"/>
            </w:pPr>
            <w:r/>
            <w:r>
              <w:rPr>
                <w:rFonts w:ascii="仿宋_GB2312" w:hAnsi="仿宋_GB2312" w:eastAsia="仿宋_GB2312"/>
                <w:b w:val="0"/>
                <w:color w:val="000000"/>
                <w:sz w:val="32"/>
              </w:rPr>
              <w:t>320兆乏/1100kV</w:t>
            </w:r>
          </w:p>
        </w:tc>
        <w:tc>
          <w:tcPr>
            <w:tcW w:type="dxa" w:w="3118"/>
          </w:tcPr>
          <w:p>
            <w:pPr>
              <w:spacing w:lineRule="exact" w:line="600"/>
              <w:jc w:val="center"/>
            </w:pPr>
            <w:r/>
            <w:r>
              <w:rPr>
                <w:rFonts w:ascii="仿宋_GB2312" w:hAnsi="仿宋_GB2312" w:eastAsia="仿宋_GB2312"/>
                <w:b w:val="0"/>
                <w:color w:val="000000"/>
                <w:sz w:val="32"/>
              </w:rPr>
              <w:t>世界首台</w:t>
            </w:r>
          </w:p>
        </w:tc>
      </w:tr>
      <w:tr>
        <w:tc>
          <w:tcPr>
            <w:tcW w:type="dxa" w:w="2835"/>
          </w:tcPr>
          <w:p>
            <w:pPr>
              <w:spacing w:lineRule="exact" w:line="600"/>
              <w:jc w:val="center"/>
            </w:pPr>
            <w:r/>
            <w:r>
              <w:rPr>
                <w:rFonts w:ascii="仿宋_GB2312" w:hAnsi="仿宋_GB2312" w:eastAsia="仿宋_GB2312"/>
                <w:b w:val="0"/>
                <w:color w:val="000000"/>
                <w:sz w:val="32"/>
              </w:rPr>
              <w:t>噪声</w:t>
            </w:r>
          </w:p>
        </w:tc>
        <w:tc>
          <w:tcPr>
            <w:tcW w:type="dxa" w:w="3118"/>
          </w:tcPr>
          <w:p>
            <w:pPr>
              <w:spacing w:lineRule="exact" w:line="600"/>
              <w:jc w:val="center"/>
            </w:pPr>
            <w:r/>
            <w:r>
              <w:rPr>
                <w:rFonts w:ascii="仿宋_GB2312" w:hAnsi="仿宋_GB2312" w:eastAsia="仿宋_GB2312"/>
                <w:b w:val="0"/>
                <w:color w:val="000000"/>
                <w:sz w:val="32"/>
              </w:rPr>
              <w:t>62.6分贝</w:t>
            </w:r>
          </w:p>
        </w:tc>
        <w:tc>
          <w:tcPr>
            <w:tcW w:type="dxa" w:w="3118"/>
          </w:tcPr>
          <w:p>
            <w:pPr>
              <w:spacing w:lineRule="exact" w:line="600"/>
              <w:jc w:val="center"/>
            </w:pPr>
            <w:r/>
            <w:r>
              <w:rPr>
                <w:rFonts w:ascii="仿宋_GB2312" w:hAnsi="仿宋_GB2312" w:eastAsia="仿宋_GB2312"/>
                <w:b w:val="0"/>
                <w:color w:val="000000"/>
                <w:sz w:val="32"/>
              </w:rPr>
              <w:t>低噪声标杆</w:t>
            </w:r>
          </w:p>
        </w:tc>
      </w:tr>
      <w:tr>
        <w:tc>
          <w:tcPr>
            <w:tcW w:type="dxa" w:w="2835"/>
          </w:tcPr>
          <w:p>
            <w:pPr>
              <w:spacing w:lineRule="exact" w:line="600"/>
              <w:jc w:val="center"/>
            </w:pPr>
            <w:r/>
            <w:r>
              <w:rPr>
                <w:rFonts w:ascii="仿宋_GB2312" w:hAnsi="仿宋_GB2312" w:eastAsia="仿宋_GB2312"/>
                <w:b w:val="0"/>
                <w:color w:val="000000"/>
                <w:sz w:val="32"/>
              </w:rPr>
              <w:t>市场</w:t>
            </w:r>
          </w:p>
        </w:tc>
        <w:tc>
          <w:tcPr>
            <w:tcW w:type="dxa" w:w="3118"/>
          </w:tcPr>
          <w:p>
            <w:pPr>
              <w:spacing w:lineRule="exact" w:line="600"/>
              <w:jc w:val="center"/>
            </w:pPr>
            <w:r/>
            <w:r>
              <w:rPr>
                <w:rFonts w:ascii="仿宋_GB2312" w:hAnsi="仿宋_GB2312" w:eastAsia="仿宋_GB2312"/>
                <w:b w:val="0"/>
                <w:color w:val="000000"/>
                <w:sz w:val="32"/>
              </w:rPr>
              <w:t>全国32省/40国</w:t>
            </w:r>
          </w:p>
        </w:tc>
        <w:tc>
          <w:tcPr>
            <w:tcW w:type="dxa" w:w="3118"/>
          </w:tcPr>
          <w:p>
            <w:pPr>
              <w:spacing w:lineRule="exact" w:line="600"/>
              <w:jc w:val="center"/>
            </w:pPr>
            <w:r/>
            <w:r>
              <w:rPr>
                <w:rFonts w:ascii="仿宋_GB2312" w:hAnsi="仿宋_GB2312" w:eastAsia="仿宋_GB2312"/>
                <w:b w:val="0"/>
                <w:color w:val="000000"/>
                <w:sz w:val="32"/>
              </w:rPr>
              <w:t>大众新闻，2025</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（一）龙头企业</w:t>
      </w:r>
    </w:p>
    <w:p>
      <w:pPr>
        <w:spacing w:lineRule="exact" w:line="600" w:before="0" w:after="0"/>
        <w:ind w:firstLine="420"/>
        <w:jc w:val="both"/>
      </w:pPr>
      <w:r>
        <w:rPr>
          <w:rFonts w:ascii="仿宋_GB2312" w:hAnsi="仿宋_GB2312" w:eastAsia="仿宋_GB2312"/>
          <w:b w:val="0"/>
          <w:color w:val="000000"/>
          <w:sz w:val="32"/>
        </w:rPr>
        <w:t>山东电力设备有限公司为电力装备制造行业龙头，驻市中区；济南西门子能源变压器有限公司为双核之一，国内外市场占有一席（来源：大众新闻、市中区工信局，2025）。</w:t>
      </w:r>
    </w:p>
    <w:p>
      <w:pPr>
        <w:spacing w:lineRule="exact" w:line="600" w:before="120" w:after="120"/>
        <w:ind w:firstLine="420"/>
        <w:jc w:val="left"/>
      </w:pPr>
      <w:r>
        <w:rPr>
          <w:rFonts w:ascii="楷体_GB2312" w:hAnsi="楷体_GB2312" w:eastAsia="楷体_GB2312"/>
          <w:b w:val="0"/>
          <w:color w:val="000000"/>
          <w:sz w:val="32"/>
        </w:rPr>
        <w:t>（二）专精特新梯队</w:t>
      </w:r>
    </w:p>
    <w:p>
      <w:pPr>
        <w:spacing w:lineRule="exact" w:line="600" w:before="0" w:after="0"/>
        <w:ind w:firstLine="420"/>
        <w:jc w:val="both"/>
      </w:pPr>
      <w:r>
        <w:rPr>
          <w:rFonts w:ascii="仿宋_GB2312" w:hAnsi="仿宋_GB2312" w:eastAsia="仿宋_GB2312"/>
          <w:b w:val="0"/>
          <w:color w:val="000000"/>
          <w:sz w:val="32"/>
        </w:rPr>
        <w:t>2024年山东中实易通、山东思极等14家能源类企业获省级专精特新，累计22家；山东电力设备、济南西斯普获省级数字经济「晨星工厂」（来源：市中区能源互联网报道，2024）。</w:t>
      </w:r>
    </w:p>
    <w:p>
      <w:pPr>
        <w:spacing w:lineRule="exact" w:line="600" w:before="120" w:after="120"/>
        <w:ind w:firstLine="420"/>
        <w:jc w:val="left"/>
      </w:pPr>
      <w:r>
        <w:rPr>
          <w:rFonts w:ascii="楷体_GB2312" w:hAnsi="楷体_GB2312" w:eastAsia="楷体_GB2312"/>
          <w:b w:val="0"/>
          <w:color w:val="000000"/>
          <w:sz w:val="32"/>
        </w:rPr>
        <w:t>（三）链主带动</w:t>
      </w:r>
    </w:p>
    <w:p>
      <w:pPr>
        <w:spacing w:lineRule="exact" w:line="600" w:before="0" w:after="0"/>
        <w:ind w:firstLine="420"/>
        <w:jc w:val="both"/>
      </w:pPr>
      <w:r>
        <w:rPr>
          <w:rFonts w:ascii="仿宋_GB2312" w:hAnsi="仿宋_GB2312" w:eastAsia="仿宋_GB2312"/>
          <w:b w:val="0"/>
          <w:color w:val="000000"/>
          <w:sz w:val="32"/>
        </w:rPr>
        <w:t>以国网山东省电力公司为链主，电力设备及电力电子产业链群实施链上企业倍增工程，培育专精特新与制造业单项冠军，形成大中小企业融通生态（来源：市中区工信局、大众新闻，2024—2025）。</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主体</w:t>
            </w:r>
          </w:p>
        </w:tc>
        <w:tc>
          <w:tcPr>
            <w:tcW w:type="dxa" w:w="2835"/>
          </w:tcPr>
          <w:p>
            <w:pPr>
              <w:spacing w:lineRule="exact" w:line="600"/>
              <w:jc w:val="center"/>
            </w:pPr>
            <w:r/>
            <w:r>
              <w:rPr>
                <w:rFonts w:ascii="黑体" w:hAnsi="黑体" w:eastAsia="黑体"/>
                <w:b/>
                <w:color w:val="000000"/>
                <w:sz w:val="32"/>
              </w:rPr>
              <w:t>角色</w:t>
            </w:r>
          </w:p>
        </w:tc>
        <w:tc>
          <w:tcPr>
            <w:tcW w:type="dxa" w:w="3685"/>
          </w:tcPr>
          <w:p>
            <w:pPr>
              <w:spacing w:lineRule="exact" w:line="600"/>
              <w:jc w:val="center"/>
            </w:pPr>
            <w:r/>
            <w:r>
              <w:rPr>
                <w:rFonts w:ascii="黑体" w:hAnsi="黑体" w:eastAsia="黑体"/>
                <w:b/>
                <w:color w:val="000000"/>
                <w:sz w:val="32"/>
              </w:rPr>
              <w:t>数据</w:t>
            </w:r>
          </w:p>
        </w:tc>
      </w:tr>
      <w:tr>
        <w:tc>
          <w:tcPr>
            <w:tcW w:type="dxa" w:w="2551"/>
          </w:tcPr>
          <w:p>
            <w:pPr>
              <w:spacing w:lineRule="exact" w:line="600"/>
              <w:jc w:val="center"/>
            </w:pPr>
            <w:r/>
            <w:r>
              <w:rPr>
                <w:rFonts w:ascii="仿宋_GB2312" w:hAnsi="仿宋_GB2312" w:eastAsia="仿宋_GB2312"/>
                <w:b w:val="0"/>
                <w:color w:val="000000"/>
                <w:sz w:val="32"/>
              </w:rPr>
              <w:t>山东电力设备</w:t>
            </w:r>
          </w:p>
        </w:tc>
        <w:tc>
          <w:tcPr>
            <w:tcW w:type="dxa" w:w="2835"/>
          </w:tcPr>
          <w:p>
            <w:pPr>
              <w:spacing w:lineRule="exact" w:line="600"/>
              <w:jc w:val="center"/>
            </w:pPr>
            <w:r/>
            <w:r>
              <w:rPr>
                <w:rFonts w:ascii="仿宋_GB2312" w:hAnsi="仿宋_GB2312" w:eastAsia="仿宋_GB2312"/>
                <w:b w:val="0"/>
                <w:color w:val="000000"/>
                <w:sz w:val="32"/>
              </w:rPr>
              <w:t>装备龙头</w:t>
            </w:r>
          </w:p>
        </w:tc>
        <w:tc>
          <w:tcPr>
            <w:tcW w:type="dxa" w:w="3685"/>
          </w:tcPr>
          <w:p>
            <w:pPr>
              <w:spacing w:lineRule="exact" w:line="600"/>
              <w:jc w:val="center"/>
            </w:pPr>
            <w:r/>
            <w:r>
              <w:rPr>
                <w:rFonts w:ascii="仿宋_GB2312" w:hAnsi="仿宋_GB2312" w:eastAsia="仿宋_GB2312"/>
                <w:b w:val="0"/>
                <w:color w:val="000000"/>
                <w:sz w:val="32"/>
              </w:rPr>
              <w:t>世界最大单厂</w:t>
            </w:r>
          </w:p>
        </w:tc>
      </w:tr>
      <w:tr>
        <w:tc>
          <w:tcPr>
            <w:tcW w:type="dxa" w:w="2551"/>
          </w:tcPr>
          <w:p>
            <w:pPr>
              <w:spacing w:lineRule="exact" w:line="600"/>
              <w:jc w:val="center"/>
            </w:pPr>
            <w:r/>
            <w:r>
              <w:rPr>
                <w:rFonts w:ascii="仿宋_GB2312" w:hAnsi="仿宋_GB2312" w:eastAsia="仿宋_GB2312"/>
                <w:b w:val="0"/>
                <w:color w:val="000000"/>
                <w:sz w:val="32"/>
              </w:rPr>
              <w:t>西门子能源</w:t>
            </w:r>
          </w:p>
        </w:tc>
        <w:tc>
          <w:tcPr>
            <w:tcW w:type="dxa" w:w="2835"/>
          </w:tcPr>
          <w:p>
            <w:pPr>
              <w:spacing w:lineRule="exact" w:line="600"/>
              <w:jc w:val="center"/>
            </w:pPr>
            <w:r/>
            <w:r>
              <w:rPr>
                <w:rFonts w:ascii="仿宋_GB2312" w:hAnsi="仿宋_GB2312" w:eastAsia="仿宋_GB2312"/>
                <w:b w:val="0"/>
                <w:color w:val="000000"/>
                <w:sz w:val="32"/>
              </w:rPr>
              <w:t>双核之一</w:t>
            </w:r>
          </w:p>
        </w:tc>
        <w:tc>
          <w:tcPr>
            <w:tcW w:type="dxa" w:w="3685"/>
          </w:tcPr>
          <w:p>
            <w:pPr>
              <w:spacing w:lineRule="exact" w:line="600"/>
              <w:jc w:val="center"/>
            </w:pPr>
            <w:r/>
            <w:r>
              <w:rPr>
                <w:rFonts w:ascii="仿宋_GB2312" w:hAnsi="仿宋_GB2312" w:eastAsia="仿宋_GB2312"/>
                <w:b w:val="0"/>
                <w:color w:val="000000"/>
                <w:sz w:val="32"/>
              </w:rPr>
              <w:t>国内领先</w:t>
            </w:r>
          </w:p>
        </w:tc>
      </w:tr>
      <w:tr>
        <w:tc>
          <w:tcPr>
            <w:tcW w:type="dxa" w:w="2551"/>
          </w:tcPr>
          <w:p>
            <w:pPr>
              <w:spacing w:lineRule="exact" w:line="600"/>
              <w:jc w:val="center"/>
            </w:pPr>
            <w:r/>
            <w:r>
              <w:rPr>
                <w:rFonts w:ascii="仿宋_GB2312" w:hAnsi="仿宋_GB2312" w:eastAsia="仿宋_GB2312"/>
                <w:b w:val="0"/>
                <w:color w:val="000000"/>
                <w:sz w:val="32"/>
              </w:rPr>
              <w:t>中实易通/思极</w:t>
            </w:r>
          </w:p>
        </w:tc>
        <w:tc>
          <w:tcPr>
            <w:tcW w:type="dxa" w:w="2835"/>
          </w:tcPr>
          <w:p>
            <w:pPr>
              <w:spacing w:lineRule="exact" w:line="600"/>
              <w:jc w:val="center"/>
            </w:pPr>
            <w:r/>
            <w:r>
              <w:rPr>
                <w:rFonts w:ascii="仿宋_GB2312" w:hAnsi="仿宋_GB2312" w:eastAsia="仿宋_GB2312"/>
                <w:b w:val="0"/>
                <w:color w:val="000000"/>
                <w:sz w:val="32"/>
              </w:rPr>
              <w:t>专精特新</w:t>
            </w:r>
          </w:p>
        </w:tc>
        <w:tc>
          <w:tcPr>
            <w:tcW w:type="dxa" w:w="3685"/>
          </w:tcPr>
          <w:p>
            <w:pPr>
              <w:spacing w:lineRule="exact" w:line="600"/>
              <w:jc w:val="center"/>
            </w:pPr>
            <w:r/>
            <w:r>
              <w:rPr>
                <w:rFonts w:ascii="仿宋_GB2312" w:hAnsi="仿宋_GB2312" w:eastAsia="仿宋_GB2312"/>
                <w:b w:val="0"/>
                <w:color w:val="000000"/>
                <w:sz w:val="32"/>
              </w:rPr>
              <w:t>累计22家</w:t>
            </w:r>
          </w:p>
        </w:tc>
      </w:tr>
      <w:tr>
        <w:tc>
          <w:tcPr>
            <w:tcW w:type="dxa" w:w="2551"/>
          </w:tcPr>
          <w:p>
            <w:pPr>
              <w:spacing w:lineRule="exact" w:line="600"/>
              <w:jc w:val="center"/>
            </w:pPr>
            <w:r/>
            <w:r>
              <w:rPr>
                <w:rFonts w:ascii="仿宋_GB2312" w:hAnsi="仿宋_GB2312" w:eastAsia="仿宋_GB2312"/>
                <w:b w:val="0"/>
                <w:color w:val="000000"/>
                <w:sz w:val="32"/>
              </w:rPr>
              <w:t>晨星工厂</w:t>
            </w:r>
          </w:p>
        </w:tc>
        <w:tc>
          <w:tcPr>
            <w:tcW w:type="dxa" w:w="2835"/>
          </w:tcPr>
          <w:p>
            <w:pPr>
              <w:spacing w:lineRule="exact" w:line="600"/>
              <w:jc w:val="center"/>
            </w:pPr>
            <w:r/>
            <w:r>
              <w:rPr>
                <w:rFonts w:ascii="仿宋_GB2312" w:hAnsi="仿宋_GB2312" w:eastAsia="仿宋_GB2312"/>
                <w:b w:val="0"/>
                <w:color w:val="000000"/>
                <w:sz w:val="32"/>
              </w:rPr>
              <w:t>电力设备/西斯普</w:t>
            </w:r>
          </w:p>
        </w:tc>
        <w:tc>
          <w:tcPr>
            <w:tcW w:type="dxa" w:w="3685"/>
          </w:tcPr>
          <w:p>
            <w:pPr>
              <w:spacing w:lineRule="exact" w:line="600"/>
              <w:jc w:val="center"/>
            </w:pPr>
            <w:r/>
            <w:r>
              <w:rPr>
                <w:rFonts w:ascii="仿宋_GB2312" w:hAnsi="仿宋_GB2312" w:eastAsia="仿宋_GB2312"/>
                <w:b w:val="0"/>
                <w:color w:val="000000"/>
                <w:sz w:val="32"/>
              </w:rPr>
              <w:t>省级</w:t>
            </w:r>
          </w:p>
        </w:tc>
      </w:tr>
      <w:tr>
        <w:tc>
          <w:tcPr>
            <w:tcW w:type="dxa" w:w="2551"/>
          </w:tcPr>
          <w:p>
            <w:pPr>
              <w:spacing w:lineRule="exact" w:line="600"/>
              <w:jc w:val="center"/>
            </w:pPr>
            <w:r/>
            <w:r>
              <w:rPr>
                <w:rFonts w:ascii="仿宋_GB2312" w:hAnsi="仿宋_GB2312" w:eastAsia="仿宋_GB2312"/>
                <w:b w:val="0"/>
                <w:color w:val="000000"/>
                <w:sz w:val="32"/>
              </w:rPr>
              <w:t>链主</w:t>
            </w:r>
          </w:p>
        </w:tc>
        <w:tc>
          <w:tcPr>
            <w:tcW w:type="dxa" w:w="2835"/>
          </w:tcPr>
          <w:p>
            <w:pPr>
              <w:spacing w:lineRule="exact" w:line="600"/>
              <w:jc w:val="center"/>
            </w:pPr>
            <w:r/>
            <w:r>
              <w:rPr>
                <w:rFonts w:ascii="仿宋_GB2312" w:hAnsi="仿宋_GB2312" w:eastAsia="仿宋_GB2312"/>
                <w:b w:val="0"/>
                <w:color w:val="000000"/>
                <w:sz w:val="32"/>
              </w:rPr>
              <w:t>国网山东电力</w:t>
            </w:r>
          </w:p>
        </w:tc>
        <w:tc>
          <w:tcPr>
            <w:tcW w:type="dxa" w:w="3685"/>
          </w:tcPr>
          <w:p>
            <w:pPr>
              <w:spacing w:lineRule="exact" w:line="600"/>
              <w:jc w:val="center"/>
            </w:pPr>
            <w:r/>
            <w:r>
              <w:rPr>
                <w:rFonts w:ascii="仿宋_GB2312" w:hAnsi="仿宋_GB2312" w:eastAsia="仿宋_GB2312"/>
                <w:b w:val="0"/>
                <w:color w:val="000000"/>
                <w:sz w:val="32"/>
              </w:rPr>
              <w:t>六大一机制</w:t>
            </w:r>
          </w:p>
        </w:tc>
      </w:tr>
    </w:tbl>
    <w:p>
      <w:pPr>
        <w:spacing w:lineRule="exact" w:line="600" w:before="120" w:after="120"/>
        <w:ind w:firstLine="420"/>
        <w:jc w:val="left"/>
      </w:pPr>
      <w:r>
        <w:rPr>
          <w:rFonts w:ascii="楷体_GB2312" w:hAnsi="楷体_GB2312" w:eastAsia="楷体_GB2312"/>
          <w:b w:val="0"/>
          <w:color w:val="000000"/>
          <w:sz w:val="32"/>
        </w:rPr>
        <w:t>能源互联网链主与骨干企业（本批真实数据补充·来源见正文）</w:t>
      </w:r>
    </w:p>
    <w:p>
      <w:pPr>
        <w:spacing w:lineRule="exact" w:line="600" w:before="0" w:after="0"/>
        <w:ind w:firstLine="420"/>
        <w:jc w:val="both"/>
      </w:pPr>
      <w:r>
        <w:rPr>
          <w:rFonts w:ascii="仿宋_GB2312" w:hAnsi="仿宋_GB2312" w:eastAsia="仿宋_GB2312"/>
          <w:b w:val="0"/>
          <w:color w:val="000000"/>
          <w:sz w:val="32"/>
        </w:rPr>
        <w:t>市中区能源互联网集群以国网山东省电力公司战新产业园为链主，山东电力设备公司为全省唯一掌握特高压交流变压器、换流变压器核心技术的企业；西门子能源生产的海上风电变压器市场占有率位居行业前列；金钟科技集团获国际CMMI5级认证并获批行业首个高精度衡器重点实验室。国网电力“火石”工业互联网平台覆盖全省16地市133个行业，连接工业设备超170万台，获评国家级工业互联网“双跨平台”；思极科技为专精特新企业，鹰格信息、思极科技创新成果入选市级场景能力清单。（来源：市中区发布会2025-07、济南日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层级</w:t>
            </w:r>
          </w:p>
        </w:tc>
      </w:tr>
      <w:tr>
        <w:tc>
          <w:tcPr>
            <w:tcW w:type="dxa" w:w="3118"/>
          </w:tcPr>
          <w:p>
            <w:pPr>
              <w:spacing w:lineRule="exact" w:line="600"/>
              <w:jc w:val="center"/>
            </w:pPr>
            <w:r/>
            <w:r>
              <w:rPr>
                <w:rFonts w:ascii="仿宋_GB2312" w:hAnsi="仿宋_GB2312" w:eastAsia="仿宋_GB2312"/>
                <w:b w:val="0"/>
                <w:color w:val="000000"/>
                <w:sz w:val="32"/>
              </w:rPr>
              <w:t>链主</w:t>
            </w:r>
          </w:p>
        </w:tc>
        <w:tc>
          <w:tcPr>
            <w:tcW w:type="dxa" w:w="2835"/>
          </w:tcPr>
          <w:p>
            <w:pPr>
              <w:spacing w:lineRule="exact" w:line="600"/>
              <w:jc w:val="center"/>
            </w:pPr>
            <w:r/>
            <w:r>
              <w:rPr>
                <w:rFonts w:ascii="仿宋_GB2312" w:hAnsi="仿宋_GB2312" w:eastAsia="仿宋_GB2312"/>
                <w:b w:val="0"/>
                <w:color w:val="000000"/>
                <w:sz w:val="32"/>
              </w:rPr>
              <w:t>国网山东电力战新产业园</w:t>
            </w:r>
          </w:p>
        </w:tc>
        <w:tc>
          <w:tcPr>
            <w:tcW w:type="dxa" w:w="2551"/>
          </w:tcPr>
          <w:p>
            <w:pPr>
              <w:spacing w:lineRule="exact" w:line="600"/>
              <w:jc w:val="center"/>
            </w:pPr>
            <w:r/>
            <w:r>
              <w:rPr>
                <w:rFonts w:ascii="仿宋_GB2312" w:hAnsi="仿宋_GB2312" w:eastAsia="仿宋_GB2312"/>
                <w:b w:val="0"/>
                <w:color w:val="000000"/>
                <w:sz w:val="32"/>
              </w:rPr>
              <w:t>特高压核心</w:t>
            </w:r>
          </w:p>
        </w:tc>
      </w:tr>
      <w:tr>
        <w:tc>
          <w:tcPr>
            <w:tcW w:type="dxa" w:w="3118"/>
          </w:tcPr>
          <w:p>
            <w:pPr>
              <w:spacing w:lineRule="exact" w:line="600"/>
              <w:jc w:val="center"/>
            </w:pPr>
            <w:r/>
            <w:r>
              <w:rPr>
                <w:rFonts w:ascii="仿宋_GB2312" w:hAnsi="仿宋_GB2312" w:eastAsia="仿宋_GB2312"/>
                <w:b w:val="0"/>
                <w:color w:val="000000"/>
                <w:sz w:val="32"/>
              </w:rPr>
              <w:t>山东电力设备</w:t>
            </w:r>
          </w:p>
        </w:tc>
        <w:tc>
          <w:tcPr>
            <w:tcW w:type="dxa" w:w="2835"/>
          </w:tcPr>
          <w:p>
            <w:pPr>
              <w:spacing w:lineRule="exact" w:line="600"/>
              <w:jc w:val="center"/>
            </w:pPr>
            <w:r/>
            <w:r>
              <w:rPr>
                <w:rFonts w:ascii="仿宋_GB2312" w:hAnsi="仿宋_GB2312" w:eastAsia="仿宋_GB2312"/>
                <w:b w:val="0"/>
                <w:color w:val="000000"/>
                <w:sz w:val="32"/>
              </w:rPr>
              <w:t>全省唯一掌握特高压变/换流变技术</w:t>
            </w:r>
          </w:p>
        </w:tc>
        <w:tc>
          <w:tcPr>
            <w:tcW w:type="dxa" w:w="2551"/>
          </w:tcPr>
          <w:p>
            <w:pPr>
              <w:spacing w:lineRule="exact" w:line="600"/>
              <w:jc w:val="center"/>
            </w:pPr>
            <w:r/>
            <w:r>
              <w:rPr>
                <w:rFonts w:ascii="仿宋_GB2312" w:hAnsi="仿宋_GB2312" w:eastAsia="仿宋_GB2312"/>
                <w:b w:val="0"/>
                <w:color w:val="000000"/>
                <w:sz w:val="32"/>
              </w:rPr>
              <w:t>骨干企业</w:t>
            </w:r>
          </w:p>
        </w:tc>
      </w:tr>
      <w:tr>
        <w:tc>
          <w:tcPr>
            <w:tcW w:type="dxa" w:w="3118"/>
          </w:tcPr>
          <w:p>
            <w:pPr>
              <w:spacing w:lineRule="exact" w:line="600"/>
              <w:jc w:val="center"/>
            </w:pPr>
            <w:r/>
            <w:r>
              <w:rPr>
                <w:rFonts w:ascii="仿宋_GB2312" w:hAnsi="仿宋_GB2312" w:eastAsia="仿宋_GB2312"/>
                <w:b w:val="0"/>
                <w:color w:val="000000"/>
                <w:sz w:val="32"/>
              </w:rPr>
              <w:t>火石平台</w:t>
            </w:r>
          </w:p>
        </w:tc>
        <w:tc>
          <w:tcPr>
            <w:tcW w:type="dxa" w:w="2835"/>
          </w:tcPr>
          <w:p>
            <w:pPr>
              <w:spacing w:lineRule="exact" w:line="600"/>
              <w:jc w:val="center"/>
            </w:pPr>
            <w:r/>
            <w:r>
              <w:rPr>
                <w:rFonts w:ascii="仿宋_GB2312" w:hAnsi="仿宋_GB2312" w:eastAsia="仿宋_GB2312"/>
                <w:b w:val="0"/>
                <w:color w:val="000000"/>
                <w:sz w:val="32"/>
              </w:rPr>
              <w:t>覆盖16地市133行业 / 连接设备170万台</w:t>
            </w:r>
          </w:p>
        </w:tc>
        <w:tc>
          <w:tcPr>
            <w:tcW w:type="dxa" w:w="2551"/>
          </w:tcPr>
          <w:p>
            <w:pPr>
              <w:spacing w:lineRule="exact" w:line="600"/>
              <w:jc w:val="center"/>
            </w:pPr>
            <w:r/>
            <w:r>
              <w:rPr>
                <w:rFonts w:ascii="仿宋_GB2312" w:hAnsi="仿宋_GB2312" w:eastAsia="仿宋_GB2312"/>
                <w:b w:val="0"/>
                <w:color w:val="000000"/>
                <w:sz w:val="32"/>
              </w:rPr>
              <w:t>国家级双跨</w:t>
            </w:r>
          </w:p>
        </w:tc>
      </w:tr>
      <w:tr>
        <w:tc>
          <w:tcPr>
            <w:tcW w:type="dxa" w:w="3118"/>
          </w:tcPr>
          <w:p>
            <w:pPr>
              <w:spacing w:lineRule="exact" w:line="600"/>
              <w:jc w:val="center"/>
            </w:pPr>
            <w:r/>
            <w:r>
              <w:rPr>
                <w:rFonts w:ascii="仿宋_GB2312" w:hAnsi="仿宋_GB2312" w:eastAsia="仿宋_GB2312"/>
                <w:b w:val="0"/>
                <w:color w:val="000000"/>
                <w:sz w:val="32"/>
              </w:rPr>
              <w:t>西门子能源</w:t>
            </w:r>
          </w:p>
        </w:tc>
        <w:tc>
          <w:tcPr>
            <w:tcW w:type="dxa" w:w="2835"/>
          </w:tcPr>
          <w:p>
            <w:pPr>
              <w:spacing w:lineRule="exact" w:line="600"/>
              <w:jc w:val="center"/>
            </w:pPr>
            <w:r/>
            <w:r>
              <w:rPr>
                <w:rFonts w:ascii="仿宋_GB2312" w:hAnsi="仿宋_GB2312" w:eastAsia="仿宋_GB2312"/>
                <w:b w:val="0"/>
                <w:color w:val="000000"/>
                <w:sz w:val="32"/>
              </w:rPr>
              <w:t>海上风电变压器市占率前列</w:t>
            </w:r>
          </w:p>
        </w:tc>
        <w:tc>
          <w:tcPr>
            <w:tcW w:type="dxa" w:w="2551"/>
          </w:tcPr>
          <w:p>
            <w:pPr>
              <w:spacing w:lineRule="exact" w:line="600"/>
              <w:jc w:val="center"/>
            </w:pPr>
            <w:r/>
            <w:r>
              <w:rPr>
                <w:rFonts w:ascii="仿宋_GB2312" w:hAnsi="仿宋_GB2312" w:eastAsia="仿宋_GB2312"/>
                <w:b w:val="0"/>
                <w:color w:val="000000"/>
                <w:sz w:val="32"/>
              </w:rPr>
              <w:t>世界500强</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（一）特高压电抗器</w:t>
      </w:r>
    </w:p>
    <w:p>
      <w:pPr>
        <w:spacing w:lineRule="exact" w:line="600" w:before="0" w:after="0"/>
        <w:ind w:firstLine="420"/>
        <w:jc w:val="both"/>
      </w:pPr>
      <w:r>
        <w:rPr>
          <w:rFonts w:ascii="仿宋_GB2312" w:hAnsi="仿宋_GB2312" w:eastAsia="仿宋_GB2312"/>
          <w:b w:val="0"/>
          <w:color w:val="000000"/>
          <w:sz w:val="32"/>
        </w:rPr>
        <w:t>山东电力设备成功自主研发世界首台320兆乏/1100千伏单柱式低噪声并联电抗器，噪声低至62.6分贝，解决特高压输电声振污染「卡脖子」难题（来源：大众新闻，2025）。</w:t>
      </w:r>
    </w:p>
    <w:p>
      <w:pPr>
        <w:spacing w:lineRule="exact" w:line="600" w:before="120" w:after="120"/>
        <w:ind w:firstLine="420"/>
        <w:jc w:val="left"/>
      </w:pPr>
      <w:r>
        <w:rPr>
          <w:rFonts w:ascii="楷体_GB2312" w:hAnsi="楷体_GB2312" w:eastAsia="楷体_GB2312"/>
          <w:b w:val="0"/>
          <w:color w:val="000000"/>
          <w:sz w:val="32"/>
        </w:rPr>
        <w:t>（二）高端换流变压器</w:t>
      </w:r>
    </w:p>
    <w:p>
      <w:pPr>
        <w:spacing w:lineRule="exact" w:line="600" w:before="0" w:after="0"/>
        <w:ind w:firstLine="420"/>
        <w:jc w:val="both"/>
      </w:pPr>
      <w:r>
        <w:rPr>
          <w:rFonts w:ascii="仿宋_GB2312" w:hAnsi="仿宋_GB2312" w:eastAsia="仿宋_GB2312"/>
          <w:b w:val="0"/>
          <w:color w:val="000000"/>
          <w:sz w:val="32"/>
        </w:rPr>
        <w:t>公司研制±800千伏高可靠性高端换流变压器，服务陕北—安徽特高压直流工程合州站；车间赶工7台±800千伏、7台±600千伏换流变压器发往陕皖工程（来源：大众新闻，2025）。</w:t>
      </w:r>
    </w:p>
    <w:p>
      <w:pPr>
        <w:spacing w:lineRule="exact" w:line="600" w:before="120" w:after="120"/>
        <w:ind w:firstLine="420"/>
        <w:jc w:val="left"/>
      </w:pPr>
      <w:r>
        <w:rPr>
          <w:rFonts w:ascii="楷体_GB2312" w:hAnsi="楷体_GB2312" w:eastAsia="楷体_GB2312"/>
          <w:b w:val="0"/>
          <w:color w:val="000000"/>
          <w:sz w:val="32"/>
        </w:rPr>
        <w:t>（三）研发平台与标准</w:t>
      </w:r>
    </w:p>
    <w:p>
      <w:pPr>
        <w:spacing w:lineRule="exact" w:line="600" w:before="0" w:after="0"/>
        <w:ind w:firstLine="420"/>
        <w:jc w:val="both"/>
      </w:pPr>
      <w:r>
        <w:rPr>
          <w:rFonts w:ascii="仿宋_GB2312" w:hAnsi="仿宋_GB2312" w:eastAsia="仿宋_GB2312"/>
          <w:b w:val="0"/>
          <w:color w:val="000000"/>
          <w:sz w:val="32"/>
        </w:rPr>
        <w:t>承担智能电网2030国家重大科技专项、山东省重大科技项目；66项新产品通过国家级技术鉴定、57项国际领先或先进；特高压线圈绕制可环地球12圈（来源：大众新闻，2025）。</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成果</w:t>
            </w:r>
          </w:p>
        </w:tc>
        <w:tc>
          <w:tcPr>
            <w:tcW w:type="dxa" w:w="3402"/>
          </w:tcPr>
          <w:p>
            <w:pPr>
              <w:spacing w:lineRule="exact" w:line="600"/>
              <w:jc w:val="center"/>
            </w:pPr>
            <w:r/>
            <w:r>
              <w:rPr>
                <w:rFonts w:ascii="黑体" w:hAnsi="黑体" w:eastAsia="黑体"/>
                <w:b/>
                <w:color w:val="000000"/>
                <w:sz w:val="32"/>
              </w:rPr>
              <w:t>水平</w:t>
            </w:r>
          </w:p>
        </w:tc>
      </w:tr>
      <w:tr>
        <w:tc>
          <w:tcPr>
            <w:tcW w:type="dxa" w:w="2551"/>
          </w:tcPr>
          <w:p>
            <w:pPr>
              <w:spacing w:lineRule="exact" w:line="600"/>
              <w:jc w:val="center"/>
            </w:pPr>
            <w:r/>
            <w:r>
              <w:rPr>
                <w:rFonts w:ascii="仿宋_GB2312" w:hAnsi="仿宋_GB2312" w:eastAsia="仿宋_GB2312"/>
                <w:b w:val="0"/>
                <w:color w:val="000000"/>
                <w:sz w:val="32"/>
              </w:rPr>
              <w:t>电抗器</w:t>
            </w:r>
          </w:p>
        </w:tc>
        <w:tc>
          <w:tcPr>
            <w:tcW w:type="dxa" w:w="3118"/>
          </w:tcPr>
          <w:p>
            <w:pPr>
              <w:spacing w:lineRule="exact" w:line="600"/>
              <w:jc w:val="center"/>
            </w:pPr>
            <w:r/>
            <w:r>
              <w:rPr>
                <w:rFonts w:ascii="仿宋_GB2312" w:hAnsi="仿宋_GB2312" w:eastAsia="仿宋_GB2312"/>
                <w:b w:val="0"/>
                <w:color w:val="000000"/>
                <w:sz w:val="32"/>
              </w:rPr>
              <w:t>320兆乏/1100kV</w:t>
            </w:r>
          </w:p>
        </w:tc>
        <w:tc>
          <w:tcPr>
            <w:tcW w:type="dxa" w:w="3402"/>
          </w:tcPr>
          <w:p>
            <w:pPr>
              <w:spacing w:lineRule="exact" w:line="600"/>
              <w:jc w:val="center"/>
            </w:pPr>
            <w:r/>
            <w:r>
              <w:rPr>
                <w:rFonts w:ascii="仿宋_GB2312" w:hAnsi="仿宋_GB2312" w:eastAsia="仿宋_GB2312"/>
                <w:b w:val="0"/>
                <w:color w:val="000000"/>
                <w:sz w:val="32"/>
              </w:rPr>
              <w:t>世界首台</w:t>
            </w:r>
          </w:p>
        </w:tc>
      </w:tr>
      <w:tr>
        <w:tc>
          <w:tcPr>
            <w:tcW w:type="dxa" w:w="2551"/>
          </w:tcPr>
          <w:p>
            <w:pPr>
              <w:spacing w:lineRule="exact" w:line="600"/>
              <w:jc w:val="center"/>
            </w:pPr>
            <w:r/>
            <w:r>
              <w:rPr>
                <w:rFonts w:ascii="仿宋_GB2312" w:hAnsi="仿宋_GB2312" w:eastAsia="仿宋_GB2312"/>
                <w:b w:val="0"/>
                <w:color w:val="000000"/>
                <w:sz w:val="32"/>
              </w:rPr>
              <w:t>换流变</w:t>
            </w:r>
          </w:p>
        </w:tc>
        <w:tc>
          <w:tcPr>
            <w:tcW w:type="dxa" w:w="3118"/>
          </w:tcPr>
          <w:p>
            <w:pPr>
              <w:spacing w:lineRule="exact" w:line="600"/>
              <w:jc w:val="center"/>
            </w:pPr>
            <w:r/>
            <w:r>
              <w:rPr>
                <w:rFonts w:ascii="仿宋_GB2312" w:hAnsi="仿宋_GB2312" w:eastAsia="仿宋_GB2312"/>
                <w:b w:val="0"/>
                <w:color w:val="000000"/>
                <w:sz w:val="32"/>
              </w:rPr>
              <w:t>±800千伏</w:t>
            </w:r>
          </w:p>
        </w:tc>
        <w:tc>
          <w:tcPr>
            <w:tcW w:type="dxa" w:w="3402"/>
          </w:tcPr>
          <w:p>
            <w:pPr>
              <w:spacing w:lineRule="exact" w:line="600"/>
              <w:jc w:val="center"/>
            </w:pPr>
            <w:r/>
            <w:r>
              <w:rPr>
                <w:rFonts w:ascii="仿宋_GB2312" w:hAnsi="仿宋_GB2312" w:eastAsia="仿宋_GB2312"/>
                <w:b w:val="0"/>
                <w:color w:val="000000"/>
                <w:sz w:val="32"/>
              </w:rPr>
              <w:t>陕皖特高压</w:t>
            </w:r>
          </w:p>
        </w:tc>
      </w:tr>
      <w:tr>
        <w:tc>
          <w:tcPr>
            <w:tcW w:type="dxa" w:w="2551"/>
          </w:tcPr>
          <w:p>
            <w:pPr>
              <w:spacing w:lineRule="exact" w:line="600"/>
              <w:jc w:val="center"/>
            </w:pPr>
            <w:r/>
            <w:r>
              <w:rPr>
                <w:rFonts w:ascii="仿宋_GB2312" w:hAnsi="仿宋_GB2312" w:eastAsia="仿宋_GB2312"/>
                <w:b w:val="0"/>
                <w:color w:val="000000"/>
                <w:sz w:val="32"/>
              </w:rPr>
              <w:t>鉴定</w:t>
            </w:r>
          </w:p>
        </w:tc>
        <w:tc>
          <w:tcPr>
            <w:tcW w:type="dxa" w:w="3118"/>
          </w:tcPr>
          <w:p>
            <w:pPr>
              <w:spacing w:lineRule="exact" w:line="600"/>
              <w:jc w:val="center"/>
            </w:pPr>
            <w:r/>
            <w:r>
              <w:rPr>
                <w:rFonts w:ascii="仿宋_GB2312" w:hAnsi="仿宋_GB2312" w:eastAsia="仿宋_GB2312"/>
                <w:b w:val="0"/>
                <w:color w:val="000000"/>
                <w:sz w:val="32"/>
              </w:rPr>
              <w:t>66项（57领先）</w:t>
            </w:r>
          </w:p>
        </w:tc>
        <w:tc>
          <w:tcPr>
            <w:tcW w:type="dxa" w:w="3402"/>
          </w:tcPr>
          <w:p>
            <w:pPr>
              <w:spacing w:lineRule="exact" w:line="600"/>
              <w:jc w:val="center"/>
            </w:pPr>
            <w:r/>
            <w:r>
              <w:rPr>
                <w:rFonts w:ascii="仿宋_GB2312" w:hAnsi="仿宋_GB2312" w:eastAsia="仿宋_GB2312"/>
                <w:b w:val="0"/>
                <w:color w:val="000000"/>
                <w:sz w:val="32"/>
              </w:rPr>
              <w:t>国家级</w:t>
            </w:r>
          </w:p>
        </w:tc>
      </w:tr>
      <w:tr>
        <w:tc>
          <w:tcPr>
            <w:tcW w:type="dxa" w:w="2551"/>
          </w:tcPr>
          <w:p>
            <w:pPr>
              <w:spacing w:lineRule="exact" w:line="600"/>
              <w:jc w:val="center"/>
            </w:pPr>
            <w:r/>
            <w:r>
              <w:rPr>
                <w:rFonts w:ascii="仿宋_GB2312" w:hAnsi="仿宋_GB2312" w:eastAsia="仿宋_GB2312"/>
                <w:b w:val="0"/>
                <w:color w:val="000000"/>
                <w:sz w:val="32"/>
              </w:rPr>
              <w:t>专项</w:t>
            </w:r>
          </w:p>
        </w:tc>
        <w:tc>
          <w:tcPr>
            <w:tcW w:type="dxa" w:w="3118"/>
          </w:tcPr>
          <w:p>
            <w:pPr>
              <w:spacing w:lineRule="exact" w:line="600"/>
              <w:jc w:val="center"/>
            </w:pPr>
            <w:r/>
            <w:r>
              <w:rPr>
                <w:rFonts w:ascii="仿宋_GB2312" w:hAnsi="仿宋_GB2312" w:eastAsia="仿宋_GB2312"/>
                <w:b w:val="0"/>
                <w:color w:val="000000"/>
                <w:sz w:val="32"/>
              </w:rPr>
              <w:t>智能电网2030</w:t>
            </w:r>
          </w:p>
        </w:tc>
        <w:tc>
          <w:tcPr>
            <w:tcW w:type="dxa" w:w="3402"/>
          </w:tcPr>
          <w:p>
            <w:pPr>
              <w:spacing w:lineRule="exact" w:line="600"/>
              <w:jc w:val="center"/>
            </w:pPr>
            <w:r/>
            <w:r>
              <w:rPr>
                <w:rFonts w:ascii="仿宋_GB2312" w:hAnsi="仿宋_GB2312" w:eastAsia="仿宋_GB2312"/>
                <w:b w:val="0"/>
                <w:color w:val="000000"/>
                <w:sz w:val="32"/>
              </w:rPr>
              <w:t>国家重大</w:t>
            </w:r>
          </w:p>
        </w:tc>
      </w:tr>
      <w:tr>
        <w:tc>
          <w:tcPr>
            <w:tcW w:type="dxa" w:w="2551"/>
          </w:tcPr>
          <w:p>
            <w:pPr>
              <w:spacing w:lineRule="exact" w:line="600"/>
              <w:jc w:val="center"/>
            </w:pPr>
            <w:r/>
            <w:r>
              <w:rPr>
                <w:rFonts w:ascii="仿宋_GB2312" w:hAnsi="仿宋_GB2312" w:eastAsia="仿宋_GB2312"/>
                <w:b w:val="0"/>
                <w:color w:val="000000"/>
                <w:sz w:val="32"/>
              </w:rPr>
              <w:t>制造</w:t>
            </w:r>
          </w:p>
        </w:tc>
        <w:tc>
          <w:tcPr>
            <w:tcW w:type="dxa" w:w="3118"/>
          </w:tcPr>
          <w:p>
            <w:pPr>
              <w:spacing w:lineRule="exact" w:line="600"/>
              <w:jc w:val="center"/>
            </w:pPr>
            <w:r/>
            <w:r>
              <w:rPr>
                <w:rFonts w:ascii="仿宋_GB2312" w:hAnsi="仿宋_GB2312" w:eastAsia="仿宋_GB2312"/>
                <w:b w:val="0"/>
                <w:color w:val="000000"/>
                <w:sz w:val="32"/>
              </w:rPr>
              <w:t>线圈环地球12圈</w:t>
            </w:r>
          </w:p>
        </w:tc>
        <w:tc>
          <w:tcPr>
            <w:tcW w:type="dxa" w:w="3402"/>
          </w:tcPr>
          <w:p>
            <w:pPr>
              <w:spacing w:lineRule="exact" w:line="600"/>
              <w:jc w:val="center"/>
            </w:pPr>
            <w:r/>
            <w:r>
              <w:rPr>
                <w:rFonts w:ascii="仿宋_GB2312" w:hAnsi="仿宋_GB2312" w:eastAsia="仿宋_GB2312"/>
                <w:b w:val="0"/>
                <w:color w:val="000000"/>
                <w:sz w:val="32"/>
              </w:rPr>
              <w:t>全球最强</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变压器成本以硅钢、铜与绝缘件为主，受大宗价格影响；公司与宝武、中石油等构建稳定供应链，本地配套降低波动（来源：大众新闻，2025）。</w:t>
      </w:r>
    </w:p>
    <w:p>
      <w:pPr>
        <w:spacing w:lineRule="exact" w:line="600" w:before="120" w:after="120"/>
        <w:ind w:firstLine="420"/>
        <w:jc w:val="left"/>
      </w:pPr>
      <w:r>
        <w:rPr>
          <w:rFonts w:ascii="楷体_GB2312" w:hAnsi="楷体_GB2312" w:eastAsia="楷体_GB2312"/>
          <w:b w:val="0"/>
          <w:color w:val="000000"/>
          <w:sz w:val="32"/>
        </w:rPr>
        <w:t>（二）盈利与产能</w:t>
      </w:r>
    </w:p>
    <w:p>
      <w:pPr>
        <w:spacing w:lineRule="exact" w:line="600" w:before="0" w:after="0"/>
        <w:ind w:firstLine="420"/>
        <w:jc w:val="both"/>
      </w:pPr>
      <w:r>
        <w:rPr>
          <w:rFonts w:ascii="仿宋_GB2312" w:hAnsi="仿宋_GB2312" w:eastAsia="仿宋_GB2312"/>
          <w:b w:val="0"/>
          <w:color w:val="000000"/>
          <w:sz w:val="32"/>
        </w:rPr>
        <w:t>山东电力设备拥有世界单厂产能最大、工装最先进、试验能力最强的变压器制造基地，高端产品占比提升改善盈利；2026年市中区支持其扩大产能（来源：大众新闻、2026政府工作报告，2025—2026）。</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市中区双省级战略、市级专班与链长制统筹土地人才资金；基金规模超1800亿元、国字号人才基地支撑研发（来源：市中区能源互联网报道、2026政府工作报告，2024—2026）。</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供给</w:t>
            </w:r>
          </w:p>
        </w:tc>
        <w:tc>
          <w:tcPr>
            <w:tcW w:type="dxa" w:w="3402"/>
          </w:tcPr>
          <w:p>
            <w:pPr>
              <w:spacing w:lineRule="exact" w:line="600"/>
              <w:jc w:val="center"/>
            </w:pPr>
            <w:r/>
            <w:r>
              <w:rPr>
                <w:rFonts w:ascii="黑体" w:hAnsi="黑体" w:eastAsia="黑体"/>
                <w:b/>
                <w:color w:val="000000"/>
                <w:sz w:val="32"/>
              </w:rPr>
              <w:t>效果</w:t>
            </w:r>
          </w:p>
        </w:tc>
      </w:tr>
      <w:tr>
        <w:tc>
          <w:tcPr>
            <w:tcW w:type="dxa" w:w="2268"/>
          </w:tcPr>
          <w:p>
            <w:pPr>
              <w:spacing w:lineRule="exact" w:line="600"/>
              <w:jc w:val="center"/>
            </w:pPr>
            <w:r/>
            <w:r>
              <w:rPr>
                <w:rFonts w:ascii="仿宋_GB2312" w:hAnsi="仿宋_GB2312" w:eastAsia="仿宋_GB2312"/>
                <w:b w:val="0"/>
                <w:color w:val="000000"/>
                <w:sz w:val="32"/>
              </w:rPr>
              <w:t>供应链</w:t>
            </w:r>
          </w:p>
        </w:tc>
        <w:tc>
          <w:tcPr>
            <w:tcW w:type="dxa" w:w="3402"/>
          </w:tcPr>
          <w:p>
            <w:pPr>
              <w:spacing w:lineRule="exact" w:line="600"/>
              <w:jc w:val="center"/>
            </w:pPr>
            <w:r/>
            <w:r>
              <w:rPr>
                <w:rFonts w:ascii="仿宋_GB2312" w:hAnsi="仿宋_GB2312" w:eastAsia="仿宋_GB2312"/>
                <w:b w:val="0"/>
                <w:color w:val="000000"/>
                <w:sz w:val="32"/>
              </w:rPr>
              <w:t>宝武/中石油</w:t>
            </w:r>
          </w:p>
        </w:tc>
        <w:tc>
          <w:tcPr>
            <w:tcW w:type="dxa" w:w="3402"/>
          </w:tcPr>
          <w:p>
            <w:pPr>
              <w:spacing w:lineRule="exact" w:line="600"/>
              <w:jc w:val="center"/>
            </w:pPr>
            <w:r/>
            <w:r>
              <w:rPr>
                <w:rFonts w:ascii="仿宋_GB2312" w:hAnsi="仿宋_GB2312" w:eastAsia="仿宋_GB2312"/>
                <w:b w:val="0"/>
                <w:color w:val="000000"/>
                <w:sz w:val="32"/>
              </w:rPr>
              <w:t>稳定降本</w:t>
            </w:r>
          </w:p>
        </w:tc>
      </w:tr>
      <w:tr>
        <w:tc>
          <w:tcPr>
            <w:tcW w:type="dxa" w:w="2268"/>
          </w:tcPr>
          <w:p>
            <w:pPr>
              <w:spacing w:lineRule="exact" w:line="600"/>
              <w:jc w:val="center"/>
            </w:pPr>
            <w:r/>
            <w:r>
              <w:rPr>
                <w:rFonts w:ascii="仿宋_GB2312" w:hAnsi="仿宋_GB2312" w:eastAsia="仿宋_GB2312"/>
                <w:b w:val="0"/>
                <w:color w:val="000000"/>
                <w:sz w:val="32"/>
              </w:rPr>
              <w:t>产能</w:t>
            </w:r>
          </w:p>
        </w:tc>
        <w:tc>
          <w:tcPr>
            <w:tcW w:type="dxa" w:w="3402"/>
          </w:tcPr>
          <w:p>
            <w:pPr>
              <w:spacing w:lineRule="exact" w:line="600"/>
              <w:jc w:val="center"/>
            </w:pPr>
            <w:r/>
            <w:r>
              <w:rPr>
                <w:rFonts w:ascii="仿宋_GB2312" w:hAnsi="仿宋_GB2312" w:eastAsia="仿宋_GB2312"/>
                <w:b w:val="0"/>
                <w:color w:val="000000"/>
                <w:sz w:val="32"/>
              </w:rPr>
              <w:t>世界最大单厂</w:t>
            </w:r>
          </w:p>
        </w:tc>
        <w:tc>
          <w:tcPr>
            <w:tcW w:type="dxa" w:w="3402"/>
          </w:tcPr>
          <w:p>
            <w:pPr>
              <w:spacing w:lineRule="exact" w:line="600"/>
              <w:jc w:val="center"/>
            </w:pPr>
            <w:r/>
            <w:r>
              <w:rPr>
                <w:rFonts w:ascii="仿宋_GB2312" w:hAnsi="仿宋_GB2312" w:eastAsia="仿宋_GB2312"/>
                <w:b w:val="0"/>
                <w:color w:val="000000"/>
                <w:sz w:val="32"/>
              </w:rPr>
              <w:t>高端交付</w:t>
            </w:r>
          </w:p>
        </w:tc>
      </w:tr>
      <w:tr>
        <w:tc>
          <w:tcPr>
            <w:tcW w:type="dxa" w:w="2268"/>
          </w:tcPr>
          <w:p>
            <w:pPr>
              <w:spacing w:lineRule="exact" w:line="600"/>
              <w:jc w:val="center"/>
            </w:pPr>
            <w:r/>
            <w:r>
              <w:rPr>
                <w:rFonts w:ascii="仿宋_GB2312" w:hAnsi="仿宋_GB2312" w:eastAsia="仿宋_GB2312"/>
                <w:b w:val="0"/>
                <w:color w:val="000000"/>
                <w:sz w:val="32"/>
              </w:rPr>
              <w:t>金融</w:t>
            </w:r>
          </w:p>
        </w:tc>
        <w:tc>
          <w:tcPr>
            <w:tcW w:type="dxa" w:w="3402"/>
          </w:tcPr>
          <w:p>
            <w:pPr>
              <w:spacing w:lineRule="exact" w:line="600"/>
              <w:jc w:val="center"/>
            </w:pPr>
            <w:r/>
            <w:r>
              <w:rPr>
                <w:rFonts w:ascii="仿宋_GB2312" w:hAnsi="仿宋_GB2312" w:eastAsia="仿宋_GB2312"/>
                <w:b w:val="0"/>
                <w:color w:val="000000"/>
                <w:sz w:val="32"/>
              </w:rPr>
              <w:t>基金1800亿+</w:t>
            </w:r>
          </w:p>
        </w:tc>
        <w:tc>
          <w:tcPr>
            <w:tcW w:type="dxa" w:w="3402"/>
          </w:tcPr>
          <w:p>
            <w:pPr>
              <w:spacing w:lineRule="exact" w:line="600"/>
              <w:jc w:val="center"/>
            </w:pPr>
            <w:r/>
            <w:r>
              <w:rPr>
                <w:rFonts w:ascii="仿宋_GB2312" w:hAnsi="仿宋_GB2312" w:eastAsia="仿宋_GB2312"/>
                <w:b w:val="0"/>
                <w:color w:val="000000"/>
                <w:sz w:val="32"/>
              </w:rPr>
              <w:t>研发扩产</w:t>
            </w:r>
          </w:p>
        </w:tc>
      </w:tr>
      <w:tr>
        <w:tc>
          <w:tcPr>
            <w:tcW w:type="dxa" w:w="2268"/>
          </w:tcPr>
          <w:p>
            <w:pPr>
              <w:spacing w:lineRule="exact" w:line="600"/>
              <w:jc w:val="center"/>
            </w:pPr>
            <w:r/>
            <w:r>
              <w:rPr>
                <w:rFonts w:ascii="仿宋_GB2312" w:hAnsi="仿宋_GB2312" w:eastAsia="仿宋_GB2312"/>
                <w:b w:val="0"/>
                <w:color w:val="000000"/>
                <w:sz w:val="32"/>
              </w:rPr>
              <w:t>人才</w:t>
            </w:r>
          </w:p>
        </w:tc>
        <w:tc>
          <w:tcPr>
            <w:tcW w:type="dxa" w:w="3402"/>
          </w:tcPr>
          <w:p>
            <w:pPr>
              <w:spacing w:lineRule="exact" w:line="600"/>
              <w:jc w:val="center"/>
            </w:pPr>
            <w:r/>
            <w:r>
              <w:rPr>
                <w:rFonts w:ascii="仿宋_GB2312" w:hAnsi="仿宋_GB2312" w:eastAsia="仿宋_GB2312"/>
                <w:b w:val="0"/>
                <w:color w:val="000000"/>
                <w:sz w:val="32"/>
              </w:rPr>
              <w:t>国字号基地</w:t>
            </w:r>
          </w:p>
        </w:tc>
        <w:tc>
          <w:tcPr>
            <w:tcW w:type="dxa" w:w="3402"/>
          </w:tcPr>
          <w:p>
            <w:pPr>
              <w:spacing w:lineRule="exact" w:line="600"/>
              <w:jc w:val="center"/>
            </w:pPr>
            <w:r/>
            <w:r>
              <w:rPr>
                <w:rFonts w:ascii="仿宋_GB2312" w:hAnsi="仿宋_GB2312" w:eastAsia="仿宋_GB2312"/>
                <w:b w:val="0"/>
                <w:color w:val="000000"/>
                <w:sz w:val="32"/>
              </w:rPr>
              <w:t>技术支撑</w:t>
            </w:r>
          </w:p>
        </w:tc>
      </w:tr>
      <w:tr>
        <w:tc>
          <w:tcPr>
            <w:tcW w:type="dxa" w:w="2268"/>
          </w:tcPr>
          <w:p>
            <w:pPr>
              <w:spacing w:lineRule="exact" w:line="600"/>
              <w:jc w:val="center"/>
            </w:pPr>
            <w:r/>
            <w:r>
              <w:rPr>
                <w:rFonts w:ascii="仿宋_GB2312" w:hAnsi="仿宋_GB2312" w:eastAsia="仿宋_GB2312"/>
                <w:b w:val="0"/>
                <w:color w:val="000000"/>
                <w:sz w:val="32"/>
              </w:rPr>
              <w:t>政策</w:t>
            </w:r>
          </w:p>
        </w:tc>
        <w:tc>
          <w:tcPr>
            <w:tcW w:type="dxa" w:w="3402"/>
          </w:tcPr>
          <w:p>
            <w:pPr>
              <w:spacing w:lineRule="exact" w:line="600"/>
              <w:jc w:val="center"/>
            </w:pPr>
            <w:r/>
            <w:r>
              <w:rPr>
                <w:rFonts w:ascii="仿宋_GB2312" w:hAnsi="仿宋_GB2312" w:eastAsia="仿宋_GB2312"/>
                <w:b w:val="0"/>
                <w:color w:val="000000"/>
                <w:sz w:val="32"/>
              </w:rPr>
              <w:t>双省级+专班</w:t>
            </w:r>
          </w:p>
        </w:tc>
        <w:tc>
          <w:tcPr>
            <w:tcW w:type="dxa" w:w="3402"/>
          </w:tcPr>
          <w:p>
            <w:pPr>
              <w:spacing w:lineRule="exact" w:line="600"/>
              <w:jc w:val="center"/>
            </w:pPr>
            <w:r/>
            <w:r>
              <w:rPr>
                <w:rFonts w:ascii="仿宋_GB2312" w:hAnsi="仿宋_GB2312" w:eastAsia="仿宋_GB2312"/>
                <w:b w:val="0"/>
                <w:color w:val="000000"/>
                <w:sz w:val="32"/>
              </w:rPr>
              <w:t>市级统筹</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特高压「西电东送」、新型电力系统与海外电网建设，为高端装备带来增量；380亿目标与产能扩大政策利好（来源：行业共性研判、2026政府工作报告，2026）。</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高端研发周期长、人才稀缺、与央企装备集团竞争；硅钢等进口依赖（来源：行业共性研判）。</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原材料价格大幅波动、电网投资节奏变化、国际贸易与技术壁垒，为主要风险（来源：行业共性研判）。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68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685"/>
          </w:tcPr>
          <w:p>
            <w:pPr>
              <w:spacing w:lineRule="exact" w:line="600"/>
              <w:jc w:val="center"/>
            </w:pPr>
            <w:r/>
            <w:r>
              <w:rPr>
                <w:rFonts w:ascii="仿宋_GB2312" w:hAnsi="仿宋_GB2312" w:eastAsia="仿宋_GB2312"/>
                <w:b w:val="0"/>
                <w:color w:val="000000"/>
                <w:sz w:val="32"/>
              </w:rPr>
              <w:t>特高压/新型电力/出海</w:t>
            </w:r>
          </w:p>
        </w:tc>
        <w:tc>
          <w:tcPr>
            <w:tcW w:type="dxa" w:w="3118"/>
          </w:tcPr>
          <w:p>
            <w:pPr>
              <w:spacing w:lineRule="exact" w:line="600"/>
              <w:jc w:val="center"/>
            </w:pPr>
            <w:r/>
            <w:r>
              <w:rPr>
                <w:rFonts w:ascii="仿宋_GB2312" w:hAnsi="仿宋_GB2312" w:eastAsia="仿宋_GB2312"/>
                <w:b w:val="0"/>
                <w:color w:val="000000"/>
                <w:sz w:val="32"/>
              </w:rPr>
              <w:t>需求扩张</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685"/>
          </w:tcPr>
          <w:p>
            <w:pPr>
              <w:spacing w:lineRule="exact" w:line="600"/>
              <w:jc w:val="center"/>
            </w:pPr>
            <w:r/>
            <w:r>
              <w:rPr>
                <w:rFonts w:ascii="仿宋_GB2312" w:hAnsi="仿宋_GB2312" w:eastAsia="仿宋_GB2312"/>
                <w:b w:val="0"/>
                <w:color w:val="000000"/>
                <w:sz w:val="32"/>
              </w:rPr>
              <w:t>研发/人才/竞争</w:t>
            </w:r>
          </w:p>
        </w:tc>
        <w:tc>
          <w:tcPr>
            <w:tcW w:type="dxa" w:w="3118"/>
          </w:tcPr>
          <w:p>
            <w:pPr>
              <w:spacing w:lineRule="exact" w:line="600"/>
              <w:jc w:val="center"/>
            </w:pPr>
            <w:r/>
            <w:r>
              <w:rPr>
                <w:rFonts w:ascii="仿宋_GB2312" w:hAnsi="仿宋_GB2312" w:eastAsia="仿宋_GB2312"/>
                <w:b w:val="0"/>
                <w:color w:val="000000"/>
                <w:sz w:val="32"/>
              </w:rPr>
              <w:t>能力短板</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685"/>
          </w:tcPr>
          <w:p>
            <w:pPr>
              <w:spacing w:lineRule="exact" w:line="600"/>
              <w:jc w:val="center"/>
            </w:pPr>
            <w:r/>
            <w:r>
              <w:rPr>
                <w:rFonts w:ascii="仿宋_GB2312" w:hAnsi="仿宋_GB2312" w:eastAsia="仿宋_GB2312"/>
                <w:b w:val="0"/>
                <w:color w:val="000000"/>
                <w:sz w:val="32"/>
              </w:rPr>
              <w:t>价格/投资/壁垒</w:t>
            </w:r>
          </w:p>
        </w:tc>
        <w:tc>
          <w:tcPr>
            <w:tcW w:type="dxa" w:w="3118"/>
          </w:tcPr>
          <w:p>
            <w:pPr>
              <w:spacing w:lineRule="exact" w:line="600"/>
              <w:jc w:val="center"/>
            </w:pPr>
            <w:r/>
            <w:r>
              <w:rPr>
                <w:rFonts w:ascii="仿宋_GB2312" w:hAnsi="仿宋_GB2312" w:eastAsia="仿宋_GB2312"/>
                <w:b w:val="0"/>
                <w:color w:val="000000"/>
                <w:sz w:val="32"/>
              </w:rPr>
              <w:t>经营波动</w:t>
            </w:r>
          </w:p>
        </w:tc>
      </w:tr>
      <w:tr>
        <w:tc>
          <w:tcPr>
            <w:tcW w:type="dxa" w:w="2268"/>
          </w:tcPr>
          <w:p>
            <w:pPr>
              <w:spacing w:lineRule="exact" w:line="600"/>
              <w:jc w:val="center"/>
            </w:pPr>
            <w:r/>
            <w:r>
              <w:rPr>
                <w:rFonts w:ascii="仿宋_GB2312" w:hAnsi="仿宋_GB2312" w:eastAsia="仿宋_GB2312"/>
                <w:b w:val="0"/>
                <w:color w:val="000000"/>
                <w:sz w:val="32"/>
              </w:rPr>
              <w:t>对策</w:t>
            </w:r>
          </w:p>
        </w:tc>
        <w:tc>
          <w:tcPr>
            <w:tcW w:type="dxa" w:w="3685"/>
          </w:tcPr>
          <w:p>
            <w:pPr>
              <w:spacing w:lineRule="exact" w:line="600"/>
              <w:jc w:val="center"/>
            </w:pPr>
            <w:r/>
            <w:r>
              <w:rPr>
                <w:rFonts w:ascii="仿宋_GB2312" w:hAnsi="仿宋_GB2312" w:eastAsia="仿宋_GB2312"/>
                <w:b w:val="0"/>
                <w:color w:val="000000"/>
                <w:sz w:val="32"/>
              </w:rPr>
              <w:t>高端+智能+绿色</w:t>
            </w:r>
          </w:p>
        </w:tc>
        <w:tc>
          <w:tcPr>
            <w:tcW w:type="dxa" w:w="3118"/>
          </w:tcPr>
          <w:p>
            <w:pPr>
              <w:spacing w:lineRule="exact" w:line="600"/>
              <w:jc w:val="center"/>
            </w:pPr>
            <w:r/>
            <w:r>
              <w:rPr>
                <w:rFonts w:ascii="仿宋_GB2312" w:hAnsi="仿宋_GB2312" w:eastAsia="仿宋_GB2312"/>
                <w:b w:val="0"/>
                <w:color w:val="000000"/>
                <w:sz w:val="32"/>
              </w:rPr>
              <w:t>增强韧性</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w:t>
      </w:r>
    </w:p>
    <w:p>
      <w:pPr>
        <w:spacing w:lineRule="exact" w:line="600" w:before="0" w:after="0"/>
        <w:ind w:firstLine="420"/>
        <w:jc w:val="both"/>
      </w:pPr>
      <w:r>
        <w:rPr>
          <w:rFonts w:ascii="仿宋_GB2312" w:hAnsi="仿宋_GB2312" w:eastAsia="仿宋_GB2312"/>
          <w:b w:val="0"/>
          <w:color w:val="000000"/>
          <w:sz w:val="32"/>
        </w:rPr>
        <w:t>以320兆乏/1100千伏电抗器、±800千伏换流变压器站上特高压制高点，向更高电压等级与可靠性升级（来源：大众新闻，2025）。</w:t>
      </w:r>
    </w:p>
    <w:p>
      <w:pPr>
        <w:spacing w:lineRule="exact" w:line="600" w:before="120" w:after="120"/>
        <w:ind w:firstLine="420"/>
        <w:jc w:val="left"/>
      </w:pPr>
      <w:r>
        <w:rPr>
          <w:rFonts w:ascii="楷体_GB2312" w:hAnsi="楷体_GB2312" w:eastAsia="楷体_GB2312"/>
          <w:b w:val="0"/>
          <w:color w:val="000000"/>
          <w:sz w:val="32"/>
        </w:rPr>
        <w:t>（二）智能化与绿色化</w:t>
      </w:r>
    </w:p>
    <w:p>
      <w:pPr>
        <w:spacing w:lineRule="exact" w:line="600" w:before="0" w:after="0"/>
        <w:ind w:firstLine="420"/>
        <w:jc w:val="both"/>
      </w:pPr>
      <w:r>
        <w:rPr>
          <w:rFonts w:ascii="仿宋_GB2312" w:hAnsi="仿宋_GB2312" w:eastAsia="仿宋_GB2312"/>
          <w:b w:val="0"/>
          <w:color w:val="000000"/>
          <w:sz w:val="32"/>
        </w:rPr>
        <w:t>加快布局智能变压器与特高压输变电高端装备，低噪声、低损耗契合「双碳」（来源：2026政府工作报告，2026）。</w:t>
      </w:r>
    </w:p>
    <w:p>
      <w:pPr>
        <w:spacing w:lineRule="exact" w:line="600" w:before="120" w:after="120"/>
        <w:ind w:firstLine="420"/>
        <w:jc w:val="left"/>
      </w:pPr>
      <w:r>
        <w:rPr>
          <w:rFonts w:ascii="楷体_GB2312" w:hAnsi="楷体_GB2312" w:eastAsia="楷体_GB2312"/>
          <w:b w:val="0"/>
          <w:color w:val="000000"/>
          <w:sz w:val="32"/>
        </w:rPr>
        <w:t>（三）集群化</w:t>
      </w:r>
    </w:p>
    <w:p>
      <w:pPr>
        <w:spacing w:lineRule="exact" w:line="600" w:before="0" w:after="0"/>
        <w:ind w:firstLine="420"/>
        <w:jc w:val="both"/>
      </w:pPr>
      <w:r>
        <w:rPr>
          <w:rFonts w:ascii="仿宋_GB2312" w:hAnsi="仿宋_GB2312" w:eastAsia="仿宋_GB2312"/>
          <w:b w:val="0"/>
          <w:color w:val="000000"/>
          <w:sz w:val="32"/>
        </w:rPr>
        <w:t>以链主带动专精特新增量，构建完备产业链群生态，聚力打造国家级能源互联产业集群（来源：市中区工信局、大众新闻，2024—2025）。</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118"/>
          </w:tcPr>
          <w:p>
            <w:pPr>
              <w:spacing w:lineRule="exact" w:line="600"/>
              <w:jc w:val="center"/>
            </w:pPr>
            <w:r/>
            <w:r>
              <w:rPr>
                <w:rFonts w:ascii="黑体" w:hAnsi="黑体" w:eastAsia="黑体"/>
                <w:b/>
                <w:color w:val="000000"/>
                <w:sz w:val="32"/>
              </w:rPr>
              <w:t>成效</w:t>
            </w:r>
          </w:p>
        </w:tc>
      </w:tr>
      <w:tr>
        <w:tc>
          <w:tcPr>
            <w:tcW w:type="dxa" w:w="2268"/>
          </w:tcPr>
          <w:p>
            <w:pPr>
              <w:spacing w:lineRule="exact" w:line="600"/>
              <w:jc w:val="center"/>
            </w:pPr>
            <w:r/>
            <w:r>
              <w:rPr>
                <w:rFonts w:ascii="仿宋_GB2312" w:hAnsi="仿宋_GB2312" w:eastAsia="仿宋_GB2312"/>
                <w:b w:val="0"/>
                <w:color w:val="000000"/>
                <w:sz w:val="32"/>
              </w:rPr>
              <w:t>高端化</w:t>
            </w:r>
          </w:p>
        </w:tc>
        <w:tc>
          <w:tcPr>
            <w:tcW w:type="dxa" w:w="3685"/>
          </w:tcPr>
          <w:p>
            <w:pPr>
              <w:spacing w:lineRule="exact" w:line="600"/>
              <w:jc w:val="center"/>
            </w:pPr>
            <w:r/>
            <w:r>
              <w:rPr>
                <w:rFonts w:ascii="仿宋_GB2312" w:hAnsi="仿宋_GB2312" w:eastAsia="仿宋_GB2312"/>
                <w:b w:val="0"/>
                <w:color w:val="000000"/>
                <w:sz w:val="32"/>
              </w:rPr>
              <w:t>电抗器/换流变</w:t>
            </w:r>
          </w:p>
        </w:tc>
        <w:tc>
          <w:tcPr>
            <w:tcW w:type="dxa" w:w="3118"/>
          </w:tcPr>
          <w:p>
            <w:pPr>
              <w:spacing w:lineRule="exact" w:line="600"/>
              <w:jc w:val="center"/>
            </w:pPr>
            <w:r/>
            <w:r>
              <w:rPr>
                <w:rFonts w:ascii="仿宋_GB2312" w:hAnsi="仿宋_GB2312" w:eastAsia="仿宋_GB2312"/>
                <w:b w:val="0"/>
                <w:color w:val="000000"/>
                <w:sz w:val="32"/>
              </w:rPr>
              <w:t>世界首台</w:t>
            </w:r>
          </w:p>
        </w:tc>
      </w:tr>
      <w:tr>
        <w:tc>
          <w:tcPr>
            <w:tcW w:type="dxa" w:w="2268"/>
          </w:tcPr>
          <w:p>
            <w:pPr>
              <w:spacing w:lineRule="exact" w:line="600"/>
              <w:jc w:val="center"/>
            </w:pPr>
            <w:r/>
            <w:r>
              <w:rPr>
                <w:rFonts w:ascii="仿宋_GB2312" w:hAnsi="仿宋_GB2312" w:eastAsia="仿宋_GB2312"/>
                <w:b w:val="0"/>
                <w:color w:val="000000"/>
                <w:sz w:val="32"/>
              </w:rPr>
              <w:t>智能绿色</w:t>
            </w:r>
          </w:p>
        </w:tc>
        <w:tc>
          <w:tcPr>
            <w:tcW w:type="dxa" w:w="3685"/>
          </w:tcPr>
          <w:p>
            <w:pPr>
              <w:spacing w:lineRule="exact" w:line="600"/>
              <w:jc w:val="center"/>
            </w:pPr>
            <w:r/>
            <w:r>
              <w:rPr>
                <w:rFonts w:ascii="仿宋_GB2312" w:hAnsi="仿宋_GB2312" w:eastAsia="仿宋_GB2312"/>
                <w:b w:val="0"/>
                <w:color w:val="000000"/>
                <w:sz w:val="32"/>
              </w:rPr>
              <w:t>智能变压器</w:t>
            </w:r>
          </w:p>
        </w:tc>
        <w:tc>
          <w:tcPr>
            <w:tcW w:type="dxa" w:w="3118"/>
          </w:tcPr>
          <w:p>
            <w:pPr>
              <w:spacing w:lineRule="exact" w:line="600"/>
              <w:jc w:val="center"/>
            </w:pPr>
            <w:r/>
            <w:r>
              <w:rPr>
                <w:rFonts w:ascii="仿宋_GB2312" w:hAnsi="仿宋_GB2312" w:eastAsia="仿宋_GB2312"/>
                <w:b w:val="0"/>
                <w:color w:val="000000"/>
                <w:sz w:val="32"/>
              </w:rPr>
              <w:t>低噪低损</w:t>
            </w:r>
          </w:p>
        </w:tc>
      </w:tr>
      <w:tr>
        <w:tc>
          <w:tcPr>
            <w:tcW w:type="dxa" w:w="2268"/>
          </w:tcPr>
          <w:p>
            <w:pPr>
              <w:spacing w:lineRule="exact" w:line="600"/>
              <w:jc w:val="center"/>
            </w:pPr>
            <w:r/>
            <w:r>
              <w:rPr>
                <w:rFonts w:ascii="仿宋_GB2312" w:hAnsi="仿宋_GB2312" w:eastAsia="仿宋_GB2312"/>
                <w:b w:val="0"/>
                <w:color w:val="000000"/>
                <w:sz w:val="32"/>
              </w:rPr>
              <w:t>集群化</w:t>
            </w:r>
          </w:p>
        </w:tc>
        <w:tc>
          <w:tcPr>
            <w:tcW w:type="dxa" w:w="3685"/>
          </w:tcPr>
          <w:p>
            <w:pPr>
              <w:spacing w:lineRule="exact" w:line="600"/>
              <w:jc w:val="center"/>
            </w:pPr>
            <w:r/>
            <w:r>
              <w:rPr>
                <w:rFonts w:ascii="仿宋_GB2312" w:hAnsi="仿宋_GB2312" w:eastAsia="仿宋_GB2312"/>
                <w:b w:val="0"/>
                <w:color w:val="000000"/>
                <w:sz w:val="32"/>
              </w:rPr>
              <w:t>链主+专精特新</w:t>
            </w:r>
          </w:p>
        </w:tc>
        <w:tc>
          <w:tcPr>
            <w:tcW w:type="dxa" w:w="3118"/>
          </w:tcPr>
          <w:p>
            <w:pPr>
              <w:spacing w:lineRule="exact" w:line="600"/>
              <w:jc w:val="center"/>
            </w:pPr>
            <w:r/>
            <w:r>
              <w:rPr>
                <w:rFonts w:ascii="仿宋_GB2312" w:hAnsi="仿宋_GB2312" w:eastAsia="仿宋_GB2312"/>
                <w:b w:val="0"/>
                <w:color w:val="000000"/>
                <w:sz w:val="32"/>
              </w:rPr>
              <w:t>380亿目标</w:t>
            </w:r>
          </w:p>
        </w:tc>
      </w:tr>
      <w:tr>
        <w:tc>
          <w:tcPr>
            <w:tcW w:type="dxa" w:w="2268"/>
          </w:tcPr>
          <w:p>
            <w:pPr>
              <w:spacing w:lineRule="exact" w:line="600"/>
              <w:jc w:val="center"/>
            </w:pPr>
            <w:r/>
            <w:r>
              <w:rPr>
                <w:rFonts w:ascii="仿宋_GB2312" w:hAnsi="仿宋_GB2312" w:eastAsia="仿宋_GB2312"/>
                <w:b w:val="0"/>
                <w:color w:val="000000"/>
                <w:sz w:val="32"/>
              </w:rPr>
              <w:t>产能</w:t>
            </w:r>
          </w:p>
        </w:tc>
        <w:tc>
          <w:tcPr>
            <w:tcW w:type="dxa" w:w="3685"/>
          </w:tcPr>
          <w:p>
            <w:pPr>
              <w:spacing w:lineRule="exact" w:line="600"/>
              <w:jc w:val="center"/>
            </w:pPr>
            <w:r/>
            <w:r>
              <w:rPr>
                <w:rFonts w:ascii="仿宋_GB2312" w:hAnsi="仿宋_GB2312" w:eastAsia="仿宋_GB2312"/>
                <w:b w:val="0"/>
                <w:color w:val="000000"/>
                <w:sz w:val="32"/>
              </w:rPr>
              <w:t>扩大产能</w:t>
            </w:r>
          </w:p>
        </w:tc>
        <w:tc>
          <w:tcPr>
            <w:tcW w:type="dxa" w:w="3118"/>
          </w:tcPr>
          <w:p>
            <w:pPr>
              <w:spacing w:lineRule="exact" w:line="600"/>
              <w:jc w:val="center"/>
            </w:pPr>
            <w:r/>
            <w:r>
              <w:rPr>
                <w:rFonts w:ascii="仿宋_GB2312" w:hAnsi="仿宋_GB2312" w:eastAsia="仿宋_GB2312"/>
                <w:b w:val="0"/>
                <w:color w:val="000000"/>
                <w:sz w:val="32"/>
              </w:rPr>
              <w:t>2026支持</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（一）产能扩建</w:t>
      </w:r>
    </w:p>
    <w:p>
      <w:pPr>
        <w:spacing w:lineRule="exact" w:line="600" w:before="0" w:after="0"/>
        <w:ind w:firstLine="420"/>
        <w:jc w:val="both"/>
      </w:pPr>
      <w:r>
        <w:rPr>
          <w:rFonts w:ascii="仿宋_GB2312" w:hAnsi="仿宋_GB2312" w:eastAsia="仿宋_GB2312"/>
          <w:b w:val="0"/>
          <w:color w:val="000000"/>
          <w:sz w:val="32"/>
        </w:rPr>
        <w:t>山东电力设备扩大产能、西门子升级产线，对中长期信贷与设备贷款需求明确（来源：2026政府工作报告，2026）。</w:t>
      </w:r>
    </w:p>
    <w:p>
      <w:pPr>
        <w:spacing w:lineRule="exact" w:line="600" w:before="120" w:after="120"/>
        <w:ind w:firstLine="420"/>
        <w:jc w:val="left"/>
      </w:pPr>
      <w:r>
        <w:rPr>
          <w:rFonts w:ascii="楷体_GB2312" w:hAnsi="楷体_GB2312" w:eastAsia="楷体_GB2312"/>
          <w:b w:val="0"/>
          <w:color w:val="000000"/>
          <w:sz w:val="32"/>
        </w:rPr>
        <w:t>（二）研发与专项</w:t>
      </w:r>
    </w:p>
    <w:p>
      <w:pPr>
        <w:spacing w:lineRule="exact" w:line="600" w:before="0" w:after="0"/>
        <w:ind w:firstLine="420"/>
        <w:jc w:val="both"/>
      </w:pPr>
      <w:r>
        <w:rPr>
          <w:rFonts w:ascii="仿宋_GB2312" w:hAnsi="仿宋_GB2312" w:eastAsia="仿宋_GB2312"/>
          <w:b w:val="0"/>
          <w:color w:val="000000"/>
          <w:sz w:val="32"/>
        </w:rPr>
        <w:t>智能电网2030国家专项、特高压与低噪声电抗器研发需研发贷款、政府专项与产业基金（来源：大众新闻、山东省科技厅关联，2025）。</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上下游中小微配套受铜硅钢价格与回款影响，需供应链金融与政策性担保，撬动1800亿基金（来源：行业共性研判、市中区能源互联网报道，2024）。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规模/需求</w:t>
            </w:r>
          </w:p>
        </w:tc>
        <w:tc>
          <w:tcPr>
            <w:tcW w:type="dxa" w:w="3402"/>
          </w:tcPr>
          <w:p>
            <w:pPr>
              <w:spacing w:lineRule="exact" w:line="600"/>
              <w:jc w:val="center"/>
            </w:pPr>
            <w:r/>
            <w:r>
              <w:rPr>
                <w:rFonts w:ascii="黑体" w:hAnsi="黑体" w:eastAsia="黑体"/>
                <w:b/>
                <w:color w:val="000000"/>
                <w:sz w:val="32"/>
              </w:rPr>
              <w:t>方式</w:t>
            </w:r>
          </w:p>
        </w:tc>
      </w:tr>
      <w:tr>
        <w:tc>
          <w:tcPr>
            <w:tcW w:type="dxa" w:w="2551"/>
          </w:tcPr>
          <w:p>
            <w:pPr>
              <w:spacing w:lineRule="exact" w:line="600"/>
              <w:jc w:val="center"/>
            </w:pPr>
            <w:r/>
            <w:r>
              <w:rPr>
                <w:rFonts w:ascii="仿宋_GB2312" w:hAnsi="仿宋_GB2312" w:eastAsia="仿宋_GB2312"/>
                <w:b w:val="0"/>
                <w:color w:val="000000"/>
                <w:sz w:val="32"/>
              </w:rPr>
              <w:t>产能</w:t>
            </w:r>
          </w:p>
        </w:tc>
        <w:tc>
          <w:tcPr>
            <w:tcW w:type="dxa" w:w="3118"/>
          </w:tcPr>
          <w:p>
            <w:pPr>
              <w:spacing w:lineRule="exact" w:line="600"/>
              <w:jc w:val="center"/>
            </w:pPr>
            <w:r/>
            <w:r>
              <w:rPr>
                <w:rFonts w:ascii="仿宋_GB2312" w:hAnsi="仿宋_GB2312" w:eastAsia="仿宋_GB2312"/>
                <w:b w:val="0"/>
                <w:color w:val="000000"/>
                <w:sz w:val="32"/>
              </w:rPr>
              <w:t>扩产/升级</w:t>
            </w:r>
          </w:p>
        </w:tc>
        <w:tc>
          <w:tcPr>
            <w:tcW w:type="dxa" w:w="3402"/>
          </w:tcPr>
          <w:p>
            <w:pPr>
              <w:spacing w:lineRule="exact" w:line="600"/>
              <w:jc w:val="center"/>
            </w:pPr>
            <w:r/>
            <w:r>
              <w:rPr>
                <w:rFonts w:ascii="仿宋_GB2312" w:hAnsi="仿宋_GB2312" w:eastAsia="仿宋_GB2312"/>
                <w:b w:val="0"/>
                <w:color w:val="000000"/>
                <w:sz w:val="32"/>
              </w:rPr>
              <w:t>中长期信贷</w:t>
            </w:r>
          </w:p>
        </w:tc>
      </w:tr>
      <w:tr>
        <w:tc>
          <w:tcPr>
            <w:tcW w:type="dxa" w:w="2551"/>
          </w:tcPr>
          <w:p>
            <w:pPr>
              <w:spacing w:lineRule="exact" w:line="600"/>
              <w:jc w:val="center"/>
            </w:pPr>
            <w:r/>
            <w:r>
              <w:rPr>
                <w:rFonts w:ascii="仿宋_GB2312" w:hAnsi="仿宋_GB2312" w:eastAsia="仿宋_GB2312"/>
                <w:b w:val="0"/>
                <w:color w:val="000000"/>
                <w:sz w:val="32"/>
              </w:rPr>
              <w:t>研发</w:t>
            </w:r>
          </w:p>
        </w:tc>
        <w:tc>
          <w:tcPr>
            <w:tcW w:type="dxa" w:w="3118"/>
          </w:tcPr>
          <w:p>
            <w:pPr>
              <w:spacing w:lineRule="exact" w:line="600"/>
              <w:jc w:val="center"/>
            </w:pPr>
            <w:r/>
            <w:r>
              <w:rPr>
                <w:rFonts w:ascii="仿宋_GB2312" w:hAnsi="仿宋_GB2312" w:eastAsia="仿宋_GB2312"/>
                <w:b w:val="0"/>
                <w:color w:val="000000"/>
                <w:sz w:val="32"/>
              </w:rPr>
              <w:t>国家专项/特高压</w:t>
            </w:r>
          </w:p>
        </w:tc>
        <w:tc>
          <w:tcPr>
            <w:tcW w:type="dxa" w:w="3402"/>
          </w:tcPr>
          <w:p>
            <w:pPr>
              <w:spacing w:lineRule="exact" w:line="600"/>
              <w:jc w:val="center"/>
            </w:pPr>
            <w:r/>
            <w:r>
              <w:rPr>
                <w:rFonts w:ascii="仿宋_GB2312" w:hAnsi="仿宋_GB2312" w:eastAsia="仿宋_GB2312"/>
                <w:b w:val="0"/>
                <w:color w:val="000000"/>
                <w:sz w:val="32"/>
              </w:rPr>
              <w:t>研发贷/基金</w:t>
            </w:r>
          </w:p>
        </w:tc>
      </w:tr>
      <w:tr>
        <w:tc>
          <w:tcPr>
            <w:tcW w:type="dxa" w:w="2551"/>
          </w:tcPr>
          <w:p>
            <w:pPr>
              <w:spacing w:lineRule="exact" w:line="600"/>
              <w:jc w:val="center"/>
            </w:pPr>
            <w:r/>
            <w:r>
              <w:rPr>
                <w:rFonts w:ascii="仿宋_GB2312" w:hAnsi="仿宋_GB2312" w:eastAsia="仿宋_GB2312"/>
                <w:b w:val="0"/>
                <w:color w:val="000000"/>
                <w:sz w:val="32"/>
              </w:rPr>
              <w:t>供应链</w:t>
            </w:r>
          </w:p>
        </w:tc>
        <w:tc>
          <w:tcPr>
            <w:tcW w:type="dxa" w:w="3118"/>
          </w:tcPr>
          <w:p>
            <w:pPr>
              <w:spacing w:lineRule="exact" w:line="600"/>
              <w:jc w:val="center"/>
            </w:pPr>
            <w:r/>
            <w:r>
              <w:rPr>
                <w:rFonts w:ascii="仿宋_GB2312" w:hAnsi="仿宋_GB2312" w:eastAsia="仿宋_GB2312"/>
                <w:b w:val="0"/>
                <w:color w:val="000000"/>
                <w:sz w:val="32"/>
              </w:rPr>
              <w:t>中小微配套</w:t>
            </w:r>
          </w:p>
        </w:tc>
        <w:tc>
          <w:tcPr>
            <w:tcW w:type="dxa" w:w="3402"/>
          </w:tcPr>
          <w:p>
            <w:pPr>
              <w:spacing w:lineRule="exact" w:line="600"/>
              <w:jc w:val="center"/>
            </w:pPr>
            <w:r/>
            <w:r>
              <w:rPr>
                <w:rFonts w:ascii="仿宋_GB2312" w:hAnsi="仿宋_GB2312" w:eastAsia="仿宋_GB2312"/>
                <w:b w:val="0"/>
                <w:color w:val="000000"/>
                <w:sz w:val="32"/>
              </w:rPr>
              <w:t>供应链金融</w:t>
            </w:r>
          </w:p>
        </w:tc>
      </w:tr>
      <w:tr>
        <w:tc>
          <w:tcPr>
            <w:tcW w:type="dxa" w:w="2551"/>
          </w:tcPr>
          <w:p>
            <w:pPr>
              <w:spacing w:lineRule="exact" w:line="600"/>
              <w:jc w:val="center"/>
            </w:pPr>
            <w:r/>
            <w:r>
              <w:rPr>
                <w:rFonts w:ascii="仿宋_GB2312" w:hAnsi="仿宋_GB2312" w:eastAsia="仿宋_GB2312"/>
                <w:b w:val="0"/>
                <w:color w:val="000000"/>
                <w:sz w:val="32"/>
              </w:rPr>
              <w:t>招商</w:t>
            </w:r>
          </w:p>
        </w:tc>
        <w:tc>
          <w:tcPr>
            <w:tcW w:type="dxa" w:w="3118"/>
          </w:tcPr>
          <w:p>
            <w:pPr>
              <w:spacing w:lineRule="exact" w:line="600"/>
              <w:jc w:val="center"/>
            </w:pPr>
            <w:r/>
            <w:r>
              <w:rPr>
                <w:rFonts w:ascii="仿宋_GB2312" w:hAnsi="仿宋_GB2312" w:eastAsia="仿宋_GB2312"/>
                <w:b w:val="0"/>
                <w:color w:val="000000"/>
                <w:sz w:val="32"/>
              </w:rPr>
              <w:t>生态企业</w:t>
            </w:r>
          </w:p>
        </w:tc>
        <w:tc>
          <w:tcPr>
            <w:tcW w:type="dxa" w:w="3402"/>
          </w:tcPr>
          <w:p>
            <w:pPr>
              <w:spacing w:lineRule="exact" w:line="600"/>
              <w:jc w:val="center"/>
            </w:pPr>
            <w:r/>
            <w:r>
              <w:rPr>
                <w:rFonts w:ascii="仿宋_GB2312" w:hAnsi="仿宋_GB2312" w:eastAsia="仿宋_GB2312"/>
                <w:b w:val="0"/>
                <w:color w:val="000000"/>
                <w:sz w:val="32"/>
              </w:rPr>
              <w:t>创投/担保</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国网山东省电力公司电力科学研究院：市中区能源互联网与智能电网技术核心研发机构，驻市中区；作为技术研发平台与山东大学能源互联网产业技术研究院协同，聚焦电力电子、特高压输变电、能源链网等关键技术攻关，支撑智能电网装备升级。来源：市中区工信局政协提案答复，2024。</w:t>
      </w:r>
    </w:p>
    <w:p>
      <w:pPr>
        <w:spacing w:lineRule="exact" w:line="600" w:before="0" w:after="0"/>
        <w:ind w:firstLine="420"/>
        <w:jc w:val="both"/>
      </w:pPr>
      <w:r>
        <w:rPr>
          <w:rFonts w:ascii="仿宋_GB2312" w:hAnsi="仿宋_GB2312" w:eastAsia="仿宋_GB2312"/>
          <w:b w:val="0"/>
          <w:color w:val="000000"/>
          <w:sz w:val="32"/>
        </w:rPr>
        <w:t>山东思极科技有限公司：国网系能源物联网与电力通信服务企业，能源互联网关键支撑；建成国内最大5G行业专网与全国最大电力物联运营监测中心，纳管物联网卡超1100万张、市占全国领先，「5G多合一融合终端」入选「山东制造」品牌，为智能电网提供连接与数据底座。来源：大众新闻，2025。</w:t>
      </w:r>
    </w:p>
    <w:p>
      <w:pPr>
        <w:spacing w:lineRule="exact" w:line="600" w:before="0" w:after="0"/>
        <w:ind w:firstLine="420"/>
        <w:jc w:val="both"/>
      </w:pPr>
      <w:r>
        <w:rPr>
          <w:rFonts w:ascii="仿宋_GB2312" w:hAnsi="仿宋_GB2312" w:eastAsia="仿宋_GB2312"/>
          <w:b w:val="0"/>
          <w:color w:val="000000"/>
          <w:sz w:val="32"/>
        </w:rPr>
        <w:t>山东电力设备有限公司：智能电网装备制造龙头，驻市中区；研发世界首台320兆乏/1100千伏单柱式低噪声并联电抗器（噪声62.6分贝），承担±800千伏高端换流变压器服务陕北—安徽特高压直流工程；66项新产品通过国家级鉴定（57项国际领先/先进），拥有世界单厂产能最大、工装最先进、试验能力最强的变压器制造基地，产品覆盖全国32省区、全球40多国。来源：大众新闻，2025。</w:t>
      </w:r>
    </w:p>
    <w:p>
      <w:pPr>
        <w:spacing w:lineRule="exact" w:line="600" w:before="0" w:after="0"/>
        <w:jc w:val="left"/>
      </w:pPr>
      <w:r>
        <w:rPr>
          <w:rFonts w:ascii="仿宋_GB2312" w:hAnsi="仿宋_GB2312" w:eastAsia="仿宋_GB2312"/>
          <w:b w:val="0"/>
          <w:color w:val="000000"/>
          <w:sz w:val="28"/>
        </w:rPr>
        <w:t>主要数据来源：大众新闻《「链」动市中③ 标杆引领「电」亮澎湃动能》（电力设备、思极科技详情），2025；市中区工业和信息化局政协提案答复（能源互联网产业、电力装备产业链群），2024；2026年济南市中区政府工作报告（能源互联网380亿、特高压/智能变压器布局），2026；市中区能源互联网产业报道《崛起的能源创新高地》（双省级战略、专精特新），2024；中国网《透过「两会」看发展 2026年市中加快打造现代化产业体系》，2026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