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山东济南市中区(能源互联网)特色产业集群</w:t>
      </w:r>
    </w:p>
    <w:p>
      <w:pPr>
        <w:spacing w:lineRule="exact" w:line="600" w:before="240" w:after="240"/>
        <w:ind w:firstLine="0"/>
        <w:jc w:val="center"/>
      </w:pPr>
      <w:r>
        <w:rPr>
          <w:rFonts w:ascii="方正小标宋简体" w:hAnsi="方正小标宋简体" w:eastAsia="方正小标宋简体"/>
          <w:b w:val="0"/>
          <w:color w:val="000000"/>
          <w:sz w:val="44"/>
        </w:rPr>
        <w:t>综合能源服务行业深度分析报告</w:t>
      </w:r>
    </w:p>
    <w:p>
      <w:pPr>
        <w:spacing w:lineRule="exact" w:line="600" w:before="0" w:after="0"/>
        <w:jc w:val="left"/>
      </w:pPr>
      <w:r>
        <w:rPr>
          <w:rFonts w:ascii="仿宋_GB2312" w:hAnsi="仿宋_GB2312" w:eastAsia="仿宋_GB2312"/>
          <w:b w:val="0"/>
          <w:color w:val="000000"/>
          <w:sz w:val="28"/>
        </w:rPr>
        <w:t>本报告聚焦综合能源服务（源网荷储、虚拟电厂、分布式能源、节能降碳），数据来源于市中区工信局、2026年政府工作报告及能源互联网产业报道。数据截至2024—2026年，部分细分领域公开统计有限，已标注共性研判。</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综合能源服务是市中能源互联网产业集群的价值变现环节。市中区围绕先进电网、能源储运销、电力设备及电力电子三大产业链群，以国网山东省电力公司为链主，聚焦新型储能、综合能源服务、电力软件与大数据、电力人工智能等细分领域。2024年以来全区打造能源互联网应用场景50余项，推进山东未来云谷光储直柔综合能源应用、大学科技园及科创大厦低碳园区（光伏屋顶、光伏路面、光伏凉亭、光伏车棚）。山东未来集团构建虚拟电厂与源网荷储体系、聚合光伏与风电资源；市中区提出积极开展储能示范城市建设、加快虚拟电厂与分布式储能示范推广，2026年能源互联网产业规模力争突破380亿元，综合能源服务成为绿色低碳转型核心抓手。</w:t>
      </w:r>
    </w:p>
    <w:p>
      <w:pPr>
        <w:spacing w:lineRule="exact" w:line="600" w:before="120" w:after="120"/>
        <w:ind w:firstLine="420"/>
        <w:jc w:val="left"/>
      </w:pPr>
      <w:r>
        <w:rPr>
          <w:rFonts w:ascii="楷体_GB2312" w:hAnsi="楷体_GB2312" w:eastAsia="楷体_GB2312"/>
          <w:b w:val="0"/>
          <w:color w:val="000000"/>
          <w:sz w:val="32"/>
        </w:rPr>
        <w:t>（行业主要指标）</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2835"/>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应用场景</w:t>
            </w:r>
          </w:p>
        </w:tc>
        <w:tc>
          <w:tcPr>
            <w:tcW w:type="dxa" w:w="2835"/>
          </w:tcPr>
          <w:p>
            <w:pPr>
              <w:spacing w:lineRule="exact" w:line="600"/>
              <w:jc w:val="center"/>
            </w:pPr>
            <w:r/>
            <w:r>
              <w:rPr>
                <w:rFonts w:ascii="仿宋_GB2312" w:hAnsi="仿宋_GB2312" w:eastAsia="仿宋_GB2312"/>
                <w:b w:val="0"/>
                <w:color w:val="000000"/>
                <w:sz w:val="32"/>
              </w:rPr>
              <w:t>50余项</w:t>
            </w:r>
          </w:p>
        </w:tc>
        <w:tc>
          <w:tcPr>
            <w:tcW w:type="dxa" w:w="3118"/>
          </w:tcPr>
          <w:p>
            <w:pPr>
              <w:spacing w:lineRule="exact" w:line="600"/>
              <w:jc w:val="center"/>
            </w:pPr>
            <w:r/>
            <w:r>
              <w:rPr>
                <w:rFonts w:ascii="仿宋_GB2312" w:hAnsi="仿宋_GB2312" w:eastAsia="仿宋_GB2312"/>
                <w:b w:val="0"/>
                <w:color w:val="000000"/>
                <w:sz w:val="32"/>
              </w:rPr>
              <w:t>市中区工信局，2024</w:t>
            </w:r>
          </w:p>
        </w:tc>
      </w:tr>
      <w:tr>
        <w:tc>
          <w:tcPr>
            <w:tcW w:type="dxa" w:w="2835"/>
          </w:tcPr>
          <w:p>
            <w:pPr>
              <w:spacing w:lineRule="exact" w:line="600"/>
              <w:jc w:val="center"/>
            </w:pPr>
            <w:r/>
            <w:r>
              <w:rPr>
                <w:rFonts w:ascii="仿宋_GB2312" w:hAnsi="仿宋_GB2312" w:eastAsia="仿宋_GB2312"/>
                <w:b w:val="0"/>
                <w:color w:val="000000"/>
                <w:sz w:val="32"/>
              </w:rPr>
              <w:t>产业目标</w:t>
            </w:r>
          </w:p>
        </w:tc>
        <w:tc>
          <w:tcPr>
            <w:tcW w:type="dxa" w:w="2835"/>
          </w:tcPr>
          <w:p>
            <w:pPr>
              <w:spacing w:lineRule="exact" w:line="600"/>
              <w:jc w:val="center"/>
            </w:pPr>
            <w:r/>
            <w:r>
              <w:rPr>
                <w:rFonts w:ascii="仿宋_GB2312" w:hAnsi="仿宋_GB2312" w:eastAsia="仿宋_GB2312"/>
                <w:b w:val="0"/>
                <w:color w:val="000000"/>
                <w:sz w:val="32"/>
              </w:rPr>
              <w:t>突破380亿元</w:t>
            </w:r>
          </w:p>
        </w:tc>
        <w:tc>
          <w:tcPr>
            <w:tcW w:type="dxa" w:w="3118"/>
          </w:tcPr>
          <w:p>
            <w:pPr>
              <w:spacing w:lineRule="exact" w:line="600"/>
              <w:jc w:val="center"/>
            </w:pPr>
            <w:r/>
            <w:r>
              <w:rPr>
                <w:rFonts w:ascii="仿宋_GB2312" w:hAnsi="仿宋_GB2312" w:eastAsia="仿宋_GB2312"/>
                <w:b w:val="0"/>
                <w:color w:val="000000"/>
                <w:sz w:val="32"/>
              </w:rPr>
              <w:t>2026政府工作报告</w:t>
            </w:r>
          </w:p>
        </w:tc>
      </w:tr>
      <w:tr>
        <w:tc>
          <w:tcPr>
            <w:tcW w:type="dxa" w:w="2835"/>
          </w:tcPr>
          <w:p>
            <w:pPr>
              <w:spacing w:lineRule="exact" w:line="600"/>
              <w:jc w:val="center"/>
            </w:pPr>
            <w:r/>
            <w:r>
              <w:rPr>
                <w:rFonts w:ascii="仿宋_GB2312" w:hAnsi="仿宋_GB2312" w:eastAsia="仿宋_GB2312"/>
                <w:b w:val="0"/>
                <w:color w:val="000000"/>
                <w:sz w:val="32"/>
              </w:rPr>
              <w:t>云谷绿电</w:t>
            </w:r>
          </w:p>
        </w:tc>
        <w:tc>
          <w:tcPr>
            <w:tcW w:type="dxa" w:w="2835"/>
          </w:tcPr>
          <w:p>
            <w:pPr>
              <w:spacing w:lineRule="exact" w:line="600"/>
              <w:jc w:val="center"/>
            </w:pPr>
            <w:r/>
            <w:r>
              <w:rPr>
                <w:rFonts w:ascii="仿宋_GB2312" w:hAnsi="仿宋_GB2312" w:eastAsia="仿宋_GB2312"/>
                <w:b w:val="0"/>
                <w:color w:val="000000"/>
                <w:sz w:val="32"/>
              </w:rPr>
              <w:t>550万kWh/年</w:t>
            </w:r>
          </w:p>
        </w:tc>
        <w:tc>
          <w:tcPr>
            <w:tcW w:type="dxa" w:w="3118"/>
          </w:tcPr>
          <w:p>
            <w:pPr>
              <w:spacing w:lineRule="exact" w:line="600"/>
              <w:jc w:val="center"/>
            </w:pPr>
            <w:r/>
            <w:r>
              <w:rPr>
                <w:rFonts w:ascii="仿宋_GB2312" w:hAnsi="仿宋_GB2312" w:eastAsia="仿宋_GB2312"/>
                <w:b w:val="0"/>
                <w:color w:val="000000"/>
                <w:sz w:val="32"/>
              </w:rPr>
              <w:t>济南市工信局，2024</w:t>
            </w:r>
          </w:p>
        </w:tc>
      </w:tr>
      <w:tr>
        <w:tc>
          <w:tcPr>
            <w:tcW w:type="dxa" w:w="2835"/>
          </w:tcPr>
          <w:p>
            <w:pPr>
              <w:spacing w:lineRule="exact" w:line="600"/>
              <w:jc w:val="center"/>
            </w:pPr>
            <w:r/>
            <w:r>
              <w:rPr>
                <w:rFonts w:ascii="仿宋_GB2312" w:hAnsi="仿宋_GB2312" w:eastAsia="仿宋_GB2312"/>
                <w:b w:val="0"/>
                <w:color w:val="000000"/>
                <w:sz w:val="32"/>
              </w:rPr>
              <w:t>基金规模</w:t>
            </w:r>
          </w:p>
        </w:tc>
        <w:tc>
          <w:tcPr>
            <w:tcW w:type="dxa" w:w="2835"/>
          </w:tcPr>
          <w:p>
            <w:pPr>
              <w:spacing w:lineRule="exact" w:line="600"/>
              <w:jc w:val="center"/>
            </w:pPr>
            <w:r/>
            <w:r>
              <w:rPr>
                <w:rFonts w:ascii="仿宋_GB2312" w:hAnsi="仿宋_GB2312" w:eastAsia="仿宋_GB2312"/>
                <w:b w:val="0"/>
                <w:color w:val="000000"/>
                <w:sz w:val="32"/>
              </w:rPr>
              <w:t>超1800亿元</w:t>
            </w:r>
          </w:p>
        </w:tc>
        <w:tc>
          <w:tcPr>
            <w:tcW w:type="dxa" w:w="3118"/>
          </w:tcPr>
          <w:p>
            <w:pPr>
              <w:spacing w:lineRule="exact" w:line="600"/>
              <w:jc w:val="center"/>
            </w:pPr>
            <w:r/>
            <w:r>
              <w:rPr>
                <w:rFonts w:ascii="仿宋_GB2312" w:hAnsi="仿宋_GB2312" w:eastAsia="仿宋_GB2312"/>
                <w:b w:val="0"/>
                <w:color w:val="000000"/>
                <w:sz w:val="32"/>
              </w:rPr>
              <w:t>市中区能源互联网报道</w:t>
            </w:r>
          </w:p>
        </w:tc>
      </w:tr>
      <w:tr>
        <w:tc>
          <w:tcPr>
            <w:tcW w:type="dxa" w:w="2835"/>
          </w:tcPr>
          <w:p>
            <w:pPr>
              <w:spacing w:lineRule="exact" w:line="600"/>
              <w:jc w:val="center"/>
            </w:pPr>
            <w:r/>
            <w:r>
              <w:rPr>
                <w:rFonts w:ascii="仿宋_GB2312" w:hAnsi="仿宋_GB2312" w:eastAsia="仿宋_GB2312"/>
                <w:b w:val="0"/>
                <w:color w:val="000000"/>
                <w:sz w:val="32"/>
              </w:rPr>
              <w:t>源网荷储</w:t>
            </w:r>
          </w:p>
        </w:tc>
        <w:tc>
          <w:tcPr>
            <w:tcW w:type="dxa" w:w="2835"/>
          </w:tcPr>
          <w:p>
            <w:pPr>
              <w:spacing w:lineRule="exact" w:line="600"/>
              <w:jc w:val="center"/>
            </w:pPr>
            <w:r/>
            <w:r>
              <w:rPr>
                <w:rFonts w:ascii="仿宋_GB2312" w:hAnsi="仿宋_GB2312" w:eastAsia="仿宋_GB2312"/>
                <w:b w:val="0"/>
                <w:color w:val="000000"/>
                <w:sz w:val="32"/>
              </w:rPr>
              <w:t>光伏+风电聚合</w:t>
            </w:r>
          </w:p>
        </w:tc>
        <w:tc>
          <w:tcPr>
            <w:tcW w:type="dxa" w:w="3118"/>
          </w:tcPr>
          <w:p>
            <w:pPr>
              <w:spacing w:lineRule="exact" w:line="600"/>
              <w:jc w:val="center"/>
            </w:pPr>
            <w:r/>
            <w:r>
              <w:rPr>
                <w:rFonts w:ascii="仿宋_GB2312" w:hAnsi="仿宋_GB2312" w:eastAsia="仿宋_GB2312"/>
                <w:b w:val="0"/>
                <w:color w:val="000000"/>
                <w:sz w:val="32"/>
              </w:rPr>
              <w:t>未来集团，2025</w:t>
            </w:r>
          </w:p>
        </w:tc>
      </w:tr>
      <w:tr>
        <w:tc>
          <w:tcPr>
            <w:tcW w:type="dxa" w:w="2835"/>
          </w:tcPr>
          <w:p>
            <w:pPr>
              <w:spacing w:lineRule="exact" w:line="600"/>
              <w:jc w:val="center"/>
            </w:pPr>
            <w:r/>
            <w:r>
              <w:rPr>
                <w:rFonts w:ascii="仿宋_GB2312" w:hAnsi="仿宋_GB2312" w:eastAsia="仿宋_GB2312"/>
                <w:b w:val="0"/>
                <w:color w:val="000000"/>
                <w:sz w:val="32"/>
              </w:rPr>
              <w:t>双省级战略</w:t>
            </w:r>
          </w:p>
        </w:tc>
        <w:tc>
          <w:tcPr>
            <w:tcW w:type="dxa" w:w="2835"/>
          </w:tcPr>
          <w:p>
            <w:pPr>
              <w:spacing w:lineRule="exact" w:line="600"/>
              <w:jc w:val="center"/>
            </w:pPr>
            <w:r/>
            <w:r>
              <w:rPr>
                <w:rFonts w:ascii="仿宋_GB2312" w:hAnsi="仿宋_GB2312" w:eastAsia="仿宋_GB2312"/>
                <w:b w:val="0"/>
                <w:color w:val="000000"/>
                <w:sz w:val="32"/>
              </w:rPr>
              <w:t>战新+特色</w:t>
            </w:r>
          </w:p>
        </w:tc>
        <w:tc>
          <w:tcPr>
            <w:tcW w:type="dxa" w:w="3118"/>
          </w:tcPr>
          <w:p>
            <w:pPr>
              <w:spacing w:lineRule="exact" w:line="600"/>
              <w:jc w:val="center"/>
            </w:pPr>
            <w:r/>
            <w:r>
              <w:rPr>
                <w:rFonts w:ascii="仿宋_GB2312" w:hAnsi="仿宋_GB2312" w:eastAsia="仿宋_GB2312"/>
                <w:b w:val="0"/>
                <w:color w:val="000000"/>
                <w:sz w:val="32"/>
              </w:rPr>
              <w:t>市中区报道</w:t>
            </w:r>
          </w:p>
        </w:tc>
      </w:tr>
      <w:tr>
        <w:tc>
          <w:tcPr>
            <w:tcW w:type="dxa" w:w="2835"/>
          </w:tcPr>
          <w:p>
            <w:pPr>
              <w:spacing w:lineRule="exact" w:line="600"/>
              <w:jc w:val="center"/>
            </w:pPr>
            <w:r/>
            <w:r>
              <w:rPr>
                <w:rFonts w:ascii="仿宋_GB2312" w:hAnsi="仿宋_GB2312" w:eastAsia="仿宋_GB2312"/>
                <w:b w:val="0"/>
                <w:color w:val="000000"/>
                <w:sz w:val="32"/>
              </w:rPr>
              <w:t>低碳园区</w:t>
            </w:r>
          </w:p>
        </w:tc>
        <w:tc>
          <w:tcPr>
            <w:tcW w:type="dxa" w:w="2835"/>
          </w:tcPr>
          <w:p>
            <w:pPr>
              <w:spacing w:lineRule="exact" w:line="600"/>
              <w:jc w:val="center"/>
            </w:pPr>
            <w:r/>
            <w:r>
              <w:rPr>
                <w:rFonts w:ascii="仿宋_GB2312" w:hAnsi="仿宋_GB2312" w:eastAsia="仿宋_GB2312"/>
                <w:b w:val="0"/>
                <w:color w:val="000000"/>
                <w:sz w:val="32"/>
              </w:rPr>
              <w:t>大学科技园/科创大厦</w:t>
            </w:r>
          </w:p>
        </w:tc>
        <w:tc>
          <w:tcPr>
            <w:tcW w:type="dxa" w:w="3118"/>
          </w:tcPr>
          <w:p>
            <w:pPr>
              <w:spacing w:lineRule="exact" w:line="600"/>
              <w:jc w:val="center"/>
            </w:pPr>
            <w:r/>
            <w:r>
              <w:rPr>
                <w:rFonts w:ascii="仿宋_GB2312" w:hAnsi="仿宋_GB2312" w:eastAsia="仿宋_GB2312"/>
                <w:b w:val="0"/>
                <w:color w:val="000000"/>
                <w:sz w:val="32"/>
              </w:rPr>
              <w:t>市中区工信局，2024</w:t>
            </w:r>
          </w:p>
        </w:tc>
      </w:tr>
    </w:tbl>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120" w:after="120"/>
        <w:ind w:firstLine="420"/>
        <w:jc w:val="left"/>
      </w:pPr>
      <w:r>
        <w:rPr>
          <w:rFonts w:ascii="楷体_GB2312" w:hAnsi="楷体_GB2312" w:eastAsia="楷体_GB2312"/>
          <w:b w:val="0"/>
          <w:color w:val="000000"/>
          <w:sz w:val="32"/>
        </w:rPr>
        <w:t>（一）政策导向</w:t>
      </w:r>
    </w:p>
    <w:p>
      <w:pPr>
        <w:spacing w:lineRule="exact" w:line="600" w:before="0" w:after="0"/>
        <w:ind w:firstLine="420"/>
        <w:jc w:val="both"/>
      </w:pPr>
      <w:r>
        <w:rPr>
          <w:rFonts w:ascii="仿宋_GB2312" w:hAnsi="仿宋_GB2312" w:eastAsia="仿宋_GB2312"/>
          <w:b w:val="0"/>
          <w:color w:val="000000"/>
          <w:sz w:val="32"/>
        </w:rPr>
        <w:t>国家「双碳」与新型电力系统推动综合能源服务发展。市中区将综合能源服务列为先进电网产业链群重点细分，以国网山东电力为链主，延链补链（来源：市中区工信局，2024）。</w:t>
      </w:r>
    </w:p>
    <w:p>
      <w:pPr>
        <w:spacing w:lineRule="exact" w:line="600" w:before="120" w:after="120"/>
        <w:ind w:firstLine="420"/>
        <w:jc w:val="left"/>
      </w:pPr>
      <w:r>
        <w:rPr>
          <w:rFonts w:ascii="楷体_GB2312" w:hAnsi="楷体_GB2312" w:eastAsia="楷体_GB2312"/>
          <w:b w:val="0"/>
          <w:color w:val="000000"/>
          <w:sz w:val="32"/>
        </w:rPr>
        <w:t>（二）区域定位</w:t>
      </w:r>
    </w:p>
    <w:p>
      <w:pPr>
        <w:spacing w:lineRule="exact" w:line="600" w:before="0" w:after="0"/>
        <w:ind w:firstLine="420"/>
        <w:jc w:val="both"/>
      </w:pPr>
      <w:r>
        <w:rPr>
          <w:rFonts w:ascii="仿宋_GB2312" w:hAnsi="仿宋_GB2312" w:eastAsia="仿宋_GB2312"/>
          <w:b w:val="0"/>
          <w:color w:val="000000"/>
          <w:sz w:val="32"/>
        </w:rPr>
        <w:t>集聚区打造能源互联网总部经济中心、新技术研发中心、交易中心、装备智造中心「四个中心」，聚焦电油气网协同互济，形成能源互联网产业集群新高地（来源：市中区工信局，2024）。</w:t>
      </w:r>
    </w:p>
    <w:p>
      <w:pPr>
        <w:spacing w:lineRule="exact" w:line="600" w:before="120" w:after="120"/>
        <w:ind w:firstLine="420"/>
        <w:jc w:val="left"/>
      </w:pPr>
      <w:r>
        <w:rPr>
          <w:rFonts w:ascii="楷体_GB2312" w:hAnsi="楷体_GB2312" w:eastAsia="楷体_GB2312"/>
          <w:b w:val="0"/>
          <w:color w:val="000000"/>
          <w:sz w:val="32"/>
        </w:rPr>
        <w:t>（三）基础与规模</w:t>
      </w:r>
    </w:p>
    <w:p>
      <w:pPr>
        <w:spacing w:lineRule="exact" w:line="600" w:before="0" w:after="0"/>
        <w:ind w:firstLine="420"/>
        <w:jc w:val="both"/>
      </w:pPr>
      <w:r>
        <w:rPr>
          <w:rFonts w:ascii="仿宋_GB2312" w:hAnsi="仿宋_GB2312" w:eastAsia="仿宋_GB2312"/>
          <w:b w:val="0"/>
          <w:color w:val="000000"/>
          <w:sz w:val="32"/>
        </w:rPr>
        <w:t>2024年以来市中区共打造能源互联网应用场景50余项；2026年提出能源互联网产业规模突破380亿元，并积极开展储能示范城市建设（来源：市中区工信局、2026政府工作报告，2024—2026）。</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3118"/>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应用场景</w:t>
            </w:r>
          </w:p>
        </w:tc>
        <w:tc>
          <w:tcPr>
            <w:tcW w:type="dxa" w:w="3118"/>
          </w:tcPr>
          <w:p>
            <w:pPr>
              <w:spacing w:lineRule="exact" w:line="600"/>
              <w:jc w:val="center"/>
            </w:pPr>
            <w:r/>
            <w:r>
              <w:rPr>
                <w:rFonts w:ascii="仿宋_GB2312" w:hAnsi="仿宋_GB2312" w:eastAsia="仿宋_GB2312"/>
                <w:b w:val="0"/>
                <w:color w:val="000000"/>
                <w:sz w:val="32"/>
              </w:rPr>
              <w:t>50余项</w:t>
            </w:r>
          </w:p>
        </w:tc>
        <w:tc>
          <w:tcPr>
            <w:tcW w:type="dxa" w:w="3118"/>
          </w:tcPr>
          <w:p>
            <w:pPr>
              <w:spacing w:lineRule="exact" w:line="600"/>
              <w:jc w:val="center"/>
            </w:pPr>
            <w:r/>
            <w:r>
              <w:rPr>
                <w:rFonts w:ascii="仿宋_GB2312" w:hAnsi="仿宋_GB2312" w:eastAsia="仿宋_GB2312"/>
                <w:b w:val="0"/>
                <w:color w:val="000000"/>
                <w:sz w:val="32"/>
              </w:rPr>
              <w:t>市中区工信局，2024</w:t>
            </w:r>
          </w:p>
        </w:tc>
      </w:tr>
      <w:tr>
        <w:tc>
          <w:tcPr>
            <w:tcW w:type="dxa" w:w="2835"/>
          </w:tcPr>
          <w:p>
            <w:pPr>
              <w:spacing w:lineRule="exact" w:line="600"/>
              <w:jc w:val="center"/>
            </w:pPr>
            <w:r/>
            <w:r>
              <w:rPr>
                <w:rFonts w:ascii="仿宋_GB2312" w:hAnsi="仿宋_GB2312" w:eastAsia="仿宋_GB2312"/>
                <w:b w:val="0"/>
                <w:color w:val="000000"/>
                <w:sz w:val="32"/>
              </w:rPr>
              <w:t>产业目标</w:t>
            </w:r>
          </w:p>
        </w:tc>
        <w:tc>
          <w:tcPr>
            <w:tcW w:type="dxa" w:w="3118"/>
          </w:tcPr>
          <w:p>
            <w:pPr>
              <w:spacing w:lineRule="exact" w:line="600"/>
              <w:jc w:val="center"/>
            </w:pPr>
            <w:r/>
            <w:r>
              <w:rPr>
                <w:rFonts w:ascii="仿宋_GB2312" w:hAnsi="仿宋_GB2312" w:eastAsia="仿宋_GB2312"/>
                <w:b w:val="0"/>
                <w:color w:val="000000"/>
                <w:sz w:val="32"/>
              </w:rPr>
              <w:t>突破380亿元</w:t>
            </w:r>
          </w:p>
        </w:tc>
        <w:tc>
          <w:tcPr>
            <w:tcW w:type="dxa" w:w="3118"/>
          </w:tcPr>
          <w:p>
            <w:pPr>
              <w:spacing w:lineRule="exact" w:line="600"/>
              <w:jc w:val="center"/>
            </w:pPr>
            <w:r/>
            <w:r>
              <w:rPr>
                <w:rFonts w:ascii="仿宋_GB2312" w:hAnsi="仿宋_GB2312" w:eastAsia="仿宋_GB2312"/>
                <w:b w:val="0"/>
                <w:color w:val="000000"/>
                <w:sz w:val="32"/>
              </w:rPr>
              <w:t>2026政府工作报告</w:t>
            </w:r>
          </w:p>
        </w:tc>
      </w:tr>
      <w:tr>
        <w:tc>
          <w:tcPr>
            <w:tcW w:type="dxa" w:w="2835"/>
          </w:tcPr>
          <w:p>
            <w:pPr>
              <w:spacing w:lineRule="exact" w:line="600"/>
              <w:jc w:val="center"/>
            </w:pPr>
            <w:r/>
            <w:r>
              <w:rPr>
                <w:rFonts w:ascii="仿宋_GB2312" w:hAnsi="仿宋_GB2312" w:eastAsia="仿宋_GB2312"/>
                <w:b w:val="0"/>
                <w:color w:val="000000"/>
                <w:sz w:val="32"/>
              </w:rPr>
              <w:t>产业链群</w:t>
            </w:r>
          </w:p>
        </w:tc>
        <w:tc>
          <w:tcPr>
            <w:tcW w:type="dxa" w:w="3118"/>
          </w:tcPr>
          <w:p>
            <w:pPr>
              <w:spacing w:lineRule="exact" w:line="600"/>
              <w:jc w:val="center"/>
            </w:pPr>
            <w:r/>
            <w:r>
              <w:rPr>
                <w:rFonts w:ascii="仿宋_GB2312" w:hAnsi="仿宋_GB2312" w:eastAsia="仿宋_GB2312"/>
                <w:b w:val="0"/>
                <w:color w:val="000000"/>
                <w:sz w:val="32"/>
              </w:rPr>
              <w:t>先进电网/储运销/电力电子</w:t>
            </w:r>
          </w:p>
        </w:tc>
        <w:tc>
          <w:tcPr>
            <w:tcW w:type="dxa" w:w="3118"/>
          </w:tcPr>
          <w:p>
            <w:pPr>
              <w:spacing w:lineRule="exact" w:line="600"/>
              <w:jc w:val="center"/>
            </w:pPr>
            <w:r/>
            <w:r>
              <w:rPr>
                <w:rFonts w:ascii="仿宋_GB2312" w:hAnsi="仿宋_GB2312" w:eastAsia="仿宋_GB2312"/>
                <w:b w:val="0"/>
                <w:color w:val="000000"/>
                <w:sz w:val="32"/>
              </w:rPr>
              <w:t>市中区工信局，2024</w:t>
            </w:r>
          </w:p>
        </w:tc>
      </w:tr>
      <w:tr>
        <w:tc>
          <w:tcPr>
            <w:tcW w:type="dxa" w:w="2835"/>
          </w:tcPr>
          <w:p>
            <w:pPr>
              <w:spacing w:lineRule="exact" w:line="600"/>
              <w:jc w:val="center"/>
            </w:pPr>
            <w:r/>
            <w:r>
              <w:rPr>
                <w:rFonts w:ascii="仿宋_GB2312" w:hAnsi="仿宋_GB2312" w:eastAsia="仿宋_GB2312"/>
                <w:b w:val="0"/>
                <w:color w:val="000000"/>
                <w:sz w:val="32"/>
              </w:rPr>
              <w:t>省级战略</w:t>
            </w:r>
          </w:p>
        </w:tc>
        <w:tc>
          <w:tcPr>
            <w:tcW w:type="dxa" w:w="3118"/>
          </w:tcPr>
          <w:p>
            <w:pPr>
              <w:spacing w:lineRule="exact" w:line="600"/>
              <w:jc w:val="center"/>
            </w:pPr>
            <w:r/>
            <w:r>
              <w:rPr>
                <w:rFonts w:ascii="仿宋_GB2312" w:hAnsi="仿宋_GB2312" w:eastAsia="仿宋_GB2312"/>
                <w:b w:val="0"/>
                <w:color w:val="000000"/>
                <w:sz w:val="32"/>
              </w:rPr>
              <w:t>战新+特色双省级</w:t>
            </w:r>
          </w:p>
        </w:tc>
        <w:tc>
          <w:tcPr>
            <w:tcW w:type="dxa" w:w="3118"/>
          </w:tcPr>
          <w:p>
            <w:pPr>
              <w:spacing w:lineRule="exact" w:line="600"/>
              <w:jc w:val="center"/>
            </w:pPr>
            <w:r/>
            <w:r>
              <w:rPr>
                <w:rFonts w:ascii="仿宋_GB2312" w:hAnsi="仿宋_GB2312" w:eastAsia="仿宋_GB2312"/>
                <w:b w:val="0"/>
                <w:color w:val="000000"/>
                <w:sz w:val="32"/>
              </w:rPr>
              <w:t>市中区报道</w:t>
            </w:r>
          </w:p>
        </w:tc>
      </w:tr>
      <w:tr>
        <w:tc>
          <w:tcPr>
            <w:tcW w:type="dxa" w:w="2835"/>
          </w:tcPr>
          <w:p>
            <w:pPr>
              <w:spacing w:lineRule="exact" w:line="600"/>
              <w:jc w:val="center"/>
            </w:pPr>
            <w:r/>
            <w:r>
              <w:rPr>
                <w:rFonts w:ascii="仿宋_GB2312" w:hAnsi="仿宋_GB2312" w:eastAsia="仿宋_GB2312"/>
                <w:b w:val="0"/>
                <w:color w:val="000000"/>
                <w:sz w:val="32"/>
              </w:rPr>
              <w:t>储能</w:t>
            </w:r>
          </w:p>
        </w:tc>
        <w:tc>
          <w:tcPr>
            <w:tcW w:type="dxa" w:w="3118"/>
          </w:tcPr>
          <w:p>
            <w:pPr>
              <w:spacing w:lineRule="exact" w:line="600"/>
              <w:jc w:val="center"/>
            </w:pPr>
            <w:r/>
            <w:r>
              <w:rPr>
                <w:rFonts w:ascii="仿宋_GB2312" w:hAnsi="仿宋_GB2312" w:eastAsia="仿宋_GB2312"/>
                <w:b w:val="0"/>
                <w:color w:val="000000"/>
                <w:sz w:val="32"/>
              </w:rPr>
              <w:t>示范城市建设</w:t>
            </w:r>
          </w:p>
        </w:tc>
        <w:tc>
          <w:tcPr>
            <w:tcW w:type="dxa" w:w="3118"/>
          </w:tcPr>
          <w:p>
            <w:pPr>
              <w:spacing w:lineRule="exact" w:line="600"/>
              <w:jc w:val="center"/>
            </w:pPr>
            <w:r/>
            <w:r>
              <w:rPr>
                <w:rFonts w:ascii="仿宋_GB2312" w:hAnsi="仿宋_GB2312" w:eastAsia="仿宋_GB2312"/>
                <w:b w:val="0"/>
                <w:color w:val="000000"/>
                <w:sz w:val="32"/>
              </w:rPr>
              <w:t>2026政府工作报告</w:t>
            </w:r>
          </w:p>
        </w:tc>
      </w:tr>
    </w:tbl>
    <w:p>
      <w:pPr>
        <w:spacing w:lineRule="exact" w:line="600" w:before="120" w:after="120"/>
        <w:ind w:firstLine="420"/>
        <w:jc w:val="left"/>
      </w:pPr>
      <w:r>
        <w:rPr>
          <w:rFonts w:ascii="黑体" w:hAnsi="黑体" w:eastAsia="黑体"/>
          <w:b w:val="0"/>
          <w:color w:val="000000"/>
          <w:sz w:val="32"/>
        </w:rPr>
        <w:t>二、产业链结构</w:t>
      </w:r>
    </w:p>
    <w:p>
      <w:pPr>
        <w:spacing w:lineRule="exact" w:line="600" w:before="120" w:after="120"/>
        <w:ind w:firstLine="420"/>
        <w:jc w:val="left"/>
      </w:pPr>
      <w:r>
        <w:rPr>
          <w:rFonts w:ascii="楷体_GB2312" w:hAnsi="楷体_GB2312" w:eastAsia="楷体_GB2312"/>
          <w:b w:val="0"/>
          <w:color w:val="000000"/>
          <w:sz w:val="32"/>
        </w:rPr>
        <w:t>（一）能源供给层</w:t>
      </w:r>
    </w:p>
    <w:p>
      <w:pPr>
        <w:spacing w:lineRule="exact" w:line="600" w:before="0" w:after="0"/>
        <w:ind w:firstLine="420"/>
        <w:jc w:val="both"/>
      </w:pPr>
      <w:r>
        <w:rPr>
          <w:rFonts w:ascii="仿宋_GB2312" w:hAnsi="仿宋_GB2312" w:eastAsia="仿宋_GB2312"/>
          <w:b w:val="0"/>
          <w:color w:val="000000"/>
          <w:sz w:val="32"/>
        </w:rPr>
        <w:t>以国网山东电力、国家管网山东总部、中石油山东销售等能源总部为供给核心，覆盖油气集输储运、能源销售与管网信息化（来源：市中区工信局，2024）。</w:t>
      </w:r>
    </w:p>
    <w:p>
      <w:pPr>
        <w:spacing w:lineRule="exact" w:line="600" w:before="120" w:after="120"/>
        <w:ind w:firstLine="420"/>
        <w:jc w:val="left"/>
      </w:pPr>
      <w:r>
        <w:rPr>
          <w:rFonts w:ascii="楷体_GB2312" w:hAnsi="楷体_GB2312" w:eastAsia="楷体_GB2312"/>
          <w:b w:val="0"/>
          <w:color w:val="000000"/>
          <w:sz w:val="32"/>
        </w:rPr>
        <w:t>（二）储能与调节层</w:t>
      </w:r>
    </w:p>
    <w:p>
      <w:pPr>
        <w:spacing w:lineRule="exact" w:line="600" w:before="0" w:after="0"/>
        <w:ind w:firstLine="420"/>
        <w:jc w:val="both"/>
      </w:pPr>
      <w:r>
        <w:rPr>
          <w:rFonts w:ascii="仿宋_GB2312" w:hAnsi="仿宋_GB2312" w:eastAsia="仿宋_GB2312"/>
          <w:b w:val="0"/>
          <w:color w:val="000000"/>
          <w:sz w:val="32"/>
        </w:rPr>
        <w:t>山东未来集团构建虚拟电厂与源网荷储体系，聚合光伏与风电资源；市中区推进分布式储能与虚拟电厂示范，开展储能示范城市建设（来源：济南市科技局、2026政府工作报告，2025—2026）。</w:t>
      </w:r>
    </w:p>
    <w:p>
      <w:pPr>
        <w:spacing w:lineRule="exact" w:line="600" w:before="120" w:after="120"/>
        <w:ind w:firstLine="420"/>
        <w:jc w:val="left"/>
      </w:pPr>
      <w:r>
        <w:rPr>
          <w:rFonts w:ascii="楷体_GB2312" w:hAnsi="楷体_GB2312" w:eastAsia="楷体_GB2312"/>
          <w:b w:val="0"/>
          <w:color w:val="000000"/>
          <w:sz w:val="32"/>
        </w:rPr>
        <w:t>（三）服务与应用层</w:t>
      </w:r>
    </w:p>
    <w:p>
      <w:pPr>
        <w:spacing w:lineRule="exact" w:line="600" w:before="0" w:after="0"/>
        <w:ind w:firstLine="420"/>
        <w:jc w:val="both"/>
      </w:pPr>
      <w:r>
        <w:rPr>
          <w:rFonts w:ascii="仿宋_GB2312" w:hAnsi="仿宋_GB2312" w:eastAsia="仿宋_GB2312"/>
          <w:b w:val="0"/>
          <w:color w:val="000000"/>
          <w:sz w:val="32"/>
        </w:rPr>
        <w:t>以综合能源开发、智慧城市建设（能建数科华东总部）、光储直柔园区、低碳校园为应用场景，火石平台提供用能分析与节能减排方案（来源：济南市工信局、市中区工信局，2024）。</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层级</w:t>
            </w:r>
          </w:p>
        </w:tc>
        <w:tc>
          <w:tcPr>
            <w:tcW w:type="dxa" w:w="3685"/>
          </w:tcPr>
          <w:p>
            <w:pPr>
              <w:spacing w:lineRule="exact" w:line="600"/>
              <w:jc w:val="center"/>
            </w:pPr>
            <w:r/>
            <w:r>
              <w:rPr>
                <w:rFonts w:ascii="黑体" w:hAnsi="黑体" w:eastAsia="黑体"/>
                <w:b/>
                <w:color w:val="000000"/>
                <w:sz w:val="32"/>
              </w:rPr>
              <w:t>内容/企业</w:t>
            </w:r>
          </w:p>
        </w:tc>
        <w:tc>
          <w:tcPr>
            <w:tcW w:type="dxa" w:w="3118"/>
          </w:tcPr>
          <w:p>
            <w:pPr>
              <w:spacing w:lineRule="exact" w:line="600"/>
              <w:jc w:val="center"/>
            </w:pPr>
            <w:r/>
            <w:r>
              <w:rPr>
                <w:rFonts w:ascii="黑体" w:hAnsi="黑体" w:eastAsia="黑体"/>
                <w:b/>
                <w:color w:val="000000"/>
                <w:sz w:val="32"/>
              </w:rPr>
              <w:t>关键数据</w:t>
            </w:r>
          </w:p>
        </w:tc>
      </w:tr>
      <w:tr>
        <w:tc>
          <w:tcPr>
            <w:tcW w:type="dxa" w:w="2268"/>
          </w:tcPr>
          <w:p>
            <w:pPr>
              <w:spacing w:lineRule="exact" w:line="600"/>
              <w:jc w:val="center"/>
            </w:pPr>
            <w:r/>
            <w:r>
              <w:rPr>
                <w:rFonts w:ascii="仿宋_GB2312" w:hAnsi="仿宋_GB2312" w:eastAsia="仿宋_GB2312"/>
                <w:b w:val="0"/>
                <w:color w:val="000000"/>
                <w:sz w:val="32"/>
              </w:rPr>
              <w:t>供给</w:t>
            </w:r>
          </w:p>
        </w:tc>
        <w:tc>
          <w:tcPr>
            <w:tcW w:type="dxa" w:w="3685"/>
          </w:tcPr>
          <w:p>
            <w:pPr>
              <w:spacing w:lineRule="exact" w:line="600"/>
              <w:jc w:val="center"/>
            </w:pPr>
            <w:r/>
            <w:r>
              <w:rPr>
                <w:rFonts w:ascii="仿宋_GB2312" w:hAnsi="仿宋_GB2312" w:eastAsia="仿宋_GB2312"/>
                <w:b w:val="0"/>
                <w:color w:val="000000"/>
                <w:sz w:val="32"/>
              </w:rPr>
              <w:t>国网/国家管网/中石油</w:t>
            </w:r>
          </w:p>
        </w:tc>
        <w:tc>
          <w:tcPr>
            <w:tcW w:type="dxa" w:w="3118"/>
          </w:tcPr>
          <w:p>
            <w:pPr>
              <w:spacing w:lineRule="exact" w:line="600"/>
              <w:jc w:val="center"/>
            </w:pPr>
            <w:r/>
            <w:r>
              <w:rPr>
                <w:rFonts w:ascii="仿宋_GB2312" w:hAnsi="仿宋_GB2312" w:eastAsia="仿宋_GB2312"/>
                <w:b w:val="0"/>
                <w:color w:val="000000"/>
                <w:sz w:val="32"/>
              </w:rPr>
              <w:t>能源总部集聚</w:t>
            </w:r>
          </w:p>
        </w:tc>
      </w:tr>
      <w:tr>
        <w:tc>
          <w:tcPr>
            <w:tcW w:type="dxa" w:w="2268"/>
          </w:tcPr>
          <w:p>
            <w:pPr>
              <w:spacing w:lineRule="exact" w:line="600"/>
              <w:jc w:val="center"/>
            </w:pPr>
            <w:r/>
            <w:r>
              <w:rPr>
                <w:rFonts w:ascii="仿宋_GB2312" w:hAnsi="仿宋_GB2312" w:eastAsia="仿宋_GB2312"/>
                <w:b w:val="0"/>
                <w:color w:val="000000"/>
                <w:sz w:val="32"/>
              </w:rPr>
              <w:t>调节</w:t>
            </w:r>
          </w:p>
        </w:tc>
        <w:tc>
          <w:tcPr>
            <w:tcW w:type="dxa" w:w="3685"/>
          </w:tcPr>
          <w:p>
            <w:pPr>
              <w:spacing w:lineRule="exact" w:line="600"/>
              <w:jc w:val="center"/>
            </w:pPr>
            <w:r/>
            <w:r>
              <w:rPr>
                <w:rFonts w:ascii="仿宋_GB2312" w:hAnsi="仿宋_GB2312" w:eastAsia="仿宋_GB2312"/>
                <w:b w:val="0"/>
                <w:color w:val="000000"/>
                <w:sz w:val="32"/>
              </w:rPr>
              <w:t>虚拟电厂/源网荷储</w:t>
            </w:r>
          </w:p>
        </w:tc>
        <w:tc>
          <w:tcPr>
            <w:tcW w:type="dxa" w:w="3118"/>
          </w:tcPr>
          <w:p>
            <w:pPr>
              <w:spacing w:lineRule="exact" w:line="600"/>
              <w:jc w:val="center"/>
            </w:pPr>
            <w:r/>
            <w:r>
              <w:rPr>
                <w:rFonts w:ascii="仿宋_GB2312" w:hAnsi="仿宋_GB2312" w:eastAsia="仿宋_GB2312"/>
                <w:b w:val="0"/>
                <w:color w:val="000000"/>
                <w:sz w:val="32"/>
              </w:rPr>
              <w:t>未来集团</w:t>
            </w:r>
          </w:p>
        </w:tc>
      </w:tr>
      <w:tr>
        <w:tc>
          <w:tcPr>
            <w:tcW w:type="dxa" w:w="2268"/>
          </w:tcPr>
          <w:p>
            <w:pPr>
              <w:spacing w:lineRule="exact" w:line="600"/>
              <w:jc w:val="center"/>
            </w:pPr>
            <w:r/>
            <w:r>
              <w:rPr>
                <w:rFonts w:ascii="仿宋_GB2312" w:hAnsi="仿宋_GB2312" w:eastAsia="仿宋_GB2312"/>
                <w:b w:val="0"/>
                <w:color w:val="000000"/>
                <w:sz w:val="32"/>
              </w:rPr>
              <w:t>应用</w:t>
            </w:r>
          </w:p>
        </w:tc>
        <w:tc>
          <w:tcPr>
            <w:tcW w:type="dxa" w:w="3685"/>
          </w:tcPr>
          <w:p>
            <w:pPr>
              <w:spacing w:lineRule="exact" w:line="600"/>
              <w:jc w:val="center"/>
            </w:pPr>
            <w:r/>
            <w:r>
              <w:rPr>
                <w:rFonts w:ascii="仿宋_GB2312" w:hAnsi="仿宋_GB2312" w:eastAsia="仿宋_GB2312"/>
                <w:b w:val="0"/>
                <w:color w:val="000000"/>
                <w:sz w:val="32"/>
              </w:rPr>
              <w:t>光储直柔/低碳园区</w:t>
            </w:r>
          </w:p>
        </w:tc>
        <w:tc>
          <w:tcPr>
            <w:tcW w:type="dxa" w:w="3118"/>
          </w:tcPr>
          <w:p>
            <w:pPr>
              <w:spacing w:lineRule="exact" w:line="600"/>
              <w:jc w:val="center"/>
            </w:pPr>
            <w:r/>
            <w:r>
              <w:rPr>
                <w:rFonts w:ascii="仿宋_GB2312" w:hAnsi="仿宋_GB2312" w:eastAsia="仿宋_GB2312"/>
                <w:b w:val="0"/>
                <w:color w:val="000000"/>
                <w:sz w:val="32"/>
              </w:rPr>
              <w:t>50余项场景</w:t>
            </w:r>
          </w:p>
        </w:tc>
      </w:tr>
      <w:tr>
        <w:tc>
          <w:tcPr>
            <w:tcW w:type="dxa" w:w="2268"/>
          </w:tcPr>
          <w:p>
            <w:pPr>
              <w:spacing w:lineRule="exact" w:line="600"/>
              <w:jc w:val="center"/>
            </w:pPr>
            <w:r/>
            <w:r>
              <w:rPr>
                <w:rFonts w:ascii="仿宋_GB2312" w:hAnsi="仿宋_GB2312" w:eastAsia="仿宋_GB2312"/>
                <w:b w:val="0"/>
                <w:color w:val="000000"/>
                <w:sz w:val="32"/>
              </w:rPr>
              <w:t>平台</w:t>
            </w:r>
          </w:p>
        </w:tc>
        <w:tc>
          <w:tcPr>
            <w:tcW w:type="dxa" w:w="3685"/>
          </w:tcPr>
          <w:p>
            <w:pPr>
              <w:spacing w:lineRule="exact" w:line="600"/>
              <w:jc w:val="center"/>
            </w:pPr>
            <w:r/>
            <w:r>
              <w:rPr>
                <w:rFonts w:ascii="仿宋_GB2312" w:hAnsi="仿宋_GB2312" w:eastAsia="仿宋_GB2312"/>
                <w:b w:val="0"/>
                <w:color w:val="000000"/>
                <w:sz w:val="32"/>
              </w:rPr>
              <w:t>火石双跨</w:t>
            </w:r>
          </w:p>
        </w:tc>
        <w:tc>
          <w:tcPr>
            <w:tcW w:type="dxa" w:w="3118"/>
          </w:tcPr>
          <w:p>
            <w:pPr>
              <w:spacing w:lineRule="exact" w:line="600"/>
              <w:jc w:val="center"/>
            </w:pPr>
            <w:r/>
            <w:r>
              <w:rPr>
                <w:rFonts w:ascii="仿宋_GB2312" w:hAnsi="仿宋_GB2312" w:eastAsia="仿宋_GB2312"/>
                <w:b w:val="0"/>
                <w:color w:val="000000"/>
                <w:sz w:val="32"/>
              </w:rPr>
              <w:t>节能方案</w:t>
            </w:r>
          </w:p>
        </w:tc>
      </w:tr>
      <w:tr>
        <w:tc>
          <w:tcPr>
            <w:tcW w:type="dxa" w:w="2268"/>
          </w:tcPr>
          <w:p>
            <w:pPr>
              <w:spacing w:lineRule="exact" w:line="600"/>
              <w:jc w:val="center"/>
            </w:pPr>
            <w:r/>
            <w:r>
              <w:rPr>
                <w:rFonts w:ascii="仿宋_GB2312" w:hAnsi="仿宋_GB2312" w:eastAsia="仿宋_GB2312"/>
                <w:b w:val="0"/>
                <w:color w:val="000000"/>
                <w:sz w:val="32"/>
              </w:rPr>
              <w:t>城市</w:t>
            </w:r>
          </w:p>
        </w:tc>
        <w:tc>
          <w:tcPr>
            <w:tcW w:type="dxa" w:w="3685"/>
          </w:tcPr>
          <w:p>
            <w:pPr>
              <w:spacing w:lineRule="exact" w:line="600"/>
              <w:jc w:val="center"/>
            </w:pPr>
            <w:r/>
            <w:r>
              <w:rPr>
                <w:rFonts w:ascii="仿宋_GB2312" w:hAnsi="仿宋_GB2312" w:eastAsia="仿宋_GB2312"/>
                <w:b w:val="0"/>
                <w:color w:val="000000"/>
                <w:sz w:val="32"/>
              </w:rPr>
              <w:t>储能示范城市</w:t>
            </w:r>
          </w:p>
        </w:tc>
        <w:tc>
          <w:tcPr>
            <w:tcW w:type="dxa" w:w="3118"/>
          </w:tcPr>
          <w:p>
            <w:pPr>
              <w:spacing w:lineRule="exact" w:line="600"/>
              <w:jc w:val="center"/>
            </w:pPr>
            <w:r/>
            <w:r>
              <w:rPr>
                <w:rFonts w:ascii="仿宋_GB2312" w:hAnsi="仿宋_GB2312" w:eastAsia="仿宋_GB2312"/>
                <w:b w:val="0"/>
                <w:color w:val="000000"/>
                <w:sz w:val="32"/>
              </w:rPr>
              <w:t>2026目标</w:t>
            </w:r>
          </w:p>
        </w:tc>
      </w:tr>
    </w:tbl>
    <w:p>
      <w:pPr>
        <w:spacing w:lineRule="exact" w:line="600" w:before="120" w:after="120"/>
        <w:ind w:firstLine="420"/>
        <w:jc w:val="left"/>
      </w:pPr>
      <w:r>
        <w:rPr>
          <w:rFonts w:ascii="楷体_GB2312" w:hAnsi="楷体_GB2312" w:eastAsia="楷体_GB2312"/>
          <w:b w:val="0"/>
          <w:color w:val="000000"/>
          <w:sz w:val="32"/>
        </w:rPr>
        <w:t>能源互联网与智能电网产业链（本批真实数据补充·来源见正文）</w:t>
      </w:r>
    </w:p>
    <w:p>
      <w:pPr>
        <w:spacing w:lineRule="exact" w:line="600" w:before="0" w:after="0"/>
        <w:ind w:firstLine="420"/>
        <w:jc w:val="both"/>
      </w:pPr>
      <w:r>
        <w:rPr>
          <w:rFonts w:ascii="仿宋_GB2312" w:hAnsi="仿宋_GB2312" w:eastAsia="仿宋_GB2312"/>
          <w:b w:val="0"/>
          <w:color w:val="000000"/>
          <w:sz w:val="32"/>
        </w:rPr>
        <w:t>市中区能源互联网产业以山东能源互联网产业集聚区为双省级战略平台，新能源装备产业汇聚产业链上企业50家，2024年实现产值70.4亿元，带动集聚区同期产值超340亿元；辖区集聚“国电系”能源企业机构100余家，国家电网、中国石油、壳牌等世界500强能源区域总部根植市中，辐射带动上下游企业近千家。聚焦先进电网、能源储运销、电力设备及电力电子三大产业链群，共集聚链上企业245家、产业创新平台26个，智能电网产业大脑入选山东省“产业大脑”建设试点。（来源：市中区发布会2025-07、山东省发改委2026-01）</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环节/指标</w:t>
            </w:r>
          </w:p>
        </w:tc>
        <w:tc>
          <w:tcPr>
            <w:tcW w:type="dxa" w:w="2835"/>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说明</w:t>
            </w:r>
          </w:p>
        </w:tc>
      </w:tr>
      <w:tr>
        <w:tc>
          <w:tcPr>
            <w:tcW w:type="dxa" w:w="3118"/>
          </w:tcPr>
          <w:p>
            <w:pPr>
              <w:spacing w:lineRule="exact" w:line="600"/>
              <w:jc w:val="center"/>
            </w:pPr>
            <w:r/>
            <w:r>
              <w:rPr>
                <w:rFonts w:ascii="仿宋_GB2312" w:hAnsi="仿宋_GB2312" w:eastAsia="仿宋_GB2312"/>
                <w:b w:val="0"/>
                <w:color w:val="000000"/>
                <w:sz w:val="32"/>
              </w:rPr>
              <w:t>新能源装备企业</w:t>
            </w:r>
          </w:p>
        </w:tc>
        <w:tc>
          <w:tcPr>
            <w:tcW w:type="dxa" w:w="2835"/>
          </w:tcPr>
          <w:p>
            <w:pPr>
              <w:spacing w:lineRule="exact" w:line="600"/>
              <w:jc w:val="center"/>
            </w:pPr>
            <w:r/>
            <w:r>
              <w:rPr>
                <w:rFonts w:ascii="仿宋_GB2312" w:hAnsi="仿宋_GB2312" w:eastAsia="仿宋_GB2312"/>
                <w:b w:val="0"/>
                <w:color w:val="000000"/>
                <w:sz w:val="32"/>
              </w:rPr>
              <w:t>50家（2024产值70.4亿）</w:t>
            </w:r>
          </w:p>
        </w:tc>
        <w:tc>
          <w:tcPr>
            <w:tcW w:type="dxa" w:w="2551"/>
          </w:tcPr>
          <w:p>
            <w:pPr>
              <w:spacing w:lineRule="exact" w:line="600"/>
              <w:jc w:val="center"/>
            </w:pPr>
            <w:r/>
            <w:r>
              <w:rPr>
                <w:rFonts w:ascii="仿宋_GB2312" w:hAnsi="仿宋_GB2312" w:eastAsia="仿宋_GB2312"/>
                <w:b w:val="0"/>
                <w:color w:val="000000"/>
                <w:sz w:val="32"/>
              </w:rPr>
              <w:t>能源互联网集聚区</w:t>
            </w:r>
          </w:p>
        </w:tc>
      </w:tr>
      <w:tr>
        <w:tc>
          <w:tcPr>
            <w:tcW w:type="dxa" w:w="3118"/>
          </w:tcPr>
          <w:p>
            <w:pPr>
              <w:spacing w:lineRule="exact" w:line="600"/>
              <w:jc w:val="center"/>
            </w:pPr>
            <w:r/>
            <w:r>
              <w:rPr>
                <w:rFonts w:ascii="仿宋_GB2312" w:hAnsi="仿宋_GB2312" w:eastAsia="仿宋_GB2312"/>
                <w:b w:val="0"/>
                <w:color w:val="000000"/>
                <w:sz w:val="32"/>
              </w:rPr>
              <w:t>集聚区产值</w:t>
            </w:r>
          </w:p>
        </w:tc>
        <w:tc>
          <w:tcPr>
            <w:tcW w:type="dxa" w:w="2835"/>
          </w:tcPr>
          <w:p>
            <w:pPr>
              <w:spacing w:lineRule="exact" w:line="600"/>
              <w:jc w:val="center"/>
            </w:pPr>
            <w:r/>
            <w:r>
              <w:rPr>
                <w:rFonts w:ascii="仿宋_GB2312" w:hAnsi="仿宋_GB2312" w:eastAsia="仿宋_GB2312"/>
                <w:b w:val="0"/>
                <w:color w:val="000000"/>
                <w:sz w:val="32"/>
              </w:rPr>
              <w:t>超340亿元</w:t>
            </w:r>
          </w:p>
        </w:tc>
        <w:tc>
          <w:tcPr>
            <w:tcW w:type="dxa" w:w="2551"/>
          </w:tcPr>
          <w:p>
            <w:pPr>
              <w:spacing w:lineRule="exact" w:line="600"/>
              <w:jc w:val="center"/>
            </w:pPr>
            <w:r/>
            <w:r>
              <w:rPr>
                <w:rFonts w:ascii="仿宋_GB2312" w:hAnsi="仿宋_GB2312" w:eastAsia="仿宋_GB2312"/>
                <w:b w:val="0"/>
                <w:color w:val="000000"/>
                <w:sz w:val="32"/>
              </w:rPr>
              <w:t>双省级战略</w:t>
            </w:r>
          </w:p>
        </w:tc>
      </w:tr>
      <w:tr>
        <w:tc>
          <w:tcPr>
            <w:tcW w:type="dxa" w:w="3118"/>
          </w:tcPr>
          <w:p>
            <w:pPr>
              <w:spacing w:lineRule="exact" w:line="600"/>
              <w:jc w:val="center"/>
            </w:pPr>
            <w:r/>
            <w:r>
              <w:rPr>
                <w:rFonts w:ascii="仿宋_GB2312" w:hAnsi="仿宋_GB2312" w:eastAsia="仿宋_GB2312"/>
                <w:b w:val="0"/>
                <w:color w:val="000000"/>
                <w:sz w:val="32"/>
              </w:rPr>
              <w:t>国电系能源机构</w:t>
            </w:r>
          </w:p>
        </w:tc>
        <w:tc>
          <w:tcPr>
            <w:tcW w:type="dxa" w:w="2835"/>
          </w:tcPr>
          <w:p>
            <w:pPr>
              <w:spacing w:lineRule="exact" w:line="600"/>
              <w:jc w:val="center"/>
            </w:pPr>
            <w:r/>
            <w:r>
              <w:rPr>
                <w:rFonts w:ascii="仿宋_GB2312" w:hAnsi="仿宋_GB2312" w:eastAsia="仿宋_GB2312"/>
                <w:b w:val="0"/>
                <w:color w:val="000000"/>
                <w:sz w:val="32"/>
              </w:rPr>
              <w:t>100余家（带动上下游近千家）</w:t>
            </w:r>
          </w:p>
        </w:tc>
        <w:tc>
          <w:tcPr>
            <w:tcW w:type="dxa" w:w="2551"/>
          </w:tcPr>
          <w:p>
            <w:pPr>
              <w:spacing w:lineRule="exact" w:line="600"/>
              <w:jc w:val="center"/>
            </w:pPr>
            <w:r/>
            <w:r>
              <w:rPr>
                <w:rFonts w:ascii="仿宋_GB2312" w:hAnsi="仿宋_GB2312" w:eastAsia="仿宋_GB2312"/>
                <w:b w:val="0"/>
                <w:color w:val="000000"/>
                <w:sz w:val="32"/>
              </w:rPr>
              <w:t>总部经济</w:t>
            </w:r>
          </w:p>
        </w:tc>
      </w:tr>
      <w:tr>
        <w:tc>
          <w:tcPr>
            <w:tcW w:type="dxa" w:w="3118"/>
          </w:tcPr>
          <w:p>
            <w:pPr>
              <w:spacing w:lineRule="exact" w:line="600"/>
              <w:jc w:val="center"/>
            </w:pPr>
            <w:r/>
            <w:r>
              <w:rPr>
                <w:rFonts w:ascii="仿宋_GB2312" w:hAnsi="仿宋_GB2312" w:eastAsia="仿宋_GB2312"/>
                <w:b w:val="0"/>
                <w:color w:val="000000"/>
                <w:sz w:val="32"/>
              </w:rPr>
              <w:t>链上企业</w:t>
            </w:r>
          </w:p>
        </w:tc>
        <w:tc>
          <w:tcPr>
            <w:tcW w:type="dxa" w:w="2835"/>
          </w:tcPr>
          <w:p>
            <w:pPr>
              <w:spacing w:lineRule="exact" w:line="600"/>
              <w:jc w:val="center"/>
            </w:pPr>
            <w:r/>
            <w:r>
              <w:rPr>
                <w:rFonts w:ascii="仿宋_GB2312" w:hAnsi="仿宋_GB2312" w:eastAsia="仿宋_GB2312"/>
                <w:b w:val="0"/>
                <w:color w:val="000000"/>
                <w:sz w:val="32"/>
              </w:rPr>
              <w:t>245家 / 创新平台26个</w:t>
            </w:r>
          </w:p>
        </w:tc>
        <w:tc>
          <w:tcPr>
            <w:tcW w:type="dxa" w:w="2551"/>
          </w:tcPr>
          <w:p>
            <w:pPr>
              <w:spacing w:lineRule="exact" w:line="600"/>
              <w:jc w:val="center"/>
            </w:pPr>
            <w:r/>
            <w:r>
              <w:rPr>
                <w:rFonts w:ascii="仿宋_GB2312" w:hAnsi="仿宋_GB2312" w:eastAsia="仿宋_GB2312"/>
                <w:b w:val="0"/>
                <w:color w:val="000000"/>
                <w:sz w:val="32"/>
              </w:rPr>
              <w:t>三大产业链群</w:t>
            </w:r>
          </w:p>
        </w:tc>
      </w:tr>
    </w:tbl>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120" w:after="120"/>
        <w:ind w:firstLine="420"/>
        <w:jc w:val="left"/>
      </w:pPr>
      <w:r>
        <w:rPr>
          <w:rFonts w:ascii="楷体_GB2312" w:hAnsi="楷体_GB2312" w:eastAsia="楷体_GB2312"/>
          <w:b w:val="0"/>
          <w:color w:val="000000"/>
          <w:sz w:val="32"/>
        </w:rPr>
        <w:t>（一）需求端</w:t>
      </w:r>
    </w:p>
    <w:p>
      <w:pPr>
        <w:spacing w:lineRule="exact" w:line="600" w:before="0" w:after="0"/>
        <w:ind w:firstLine="420"/>
        <w:jc w:val="both"/>
      </w:pPr>
      <w:r>
        <w:rPr>
          <w:rFonts w:ascii="仿宋_GB2312" w:hAnsi="仿宋_GB2312" w:eastAsia="仿宋_GB2312"/>
          <w:b w:val="0"/>
          <w:color w:val="000000"/>
          <w:sz w:val="32"/>
        </w:rPr>
        <w:t>工商业节能降碳、园区低碳与分布式能源需求增长；虚拟电厂与需求响应在迎峰度夏/度冬中价值凸显；光伏风电并网需储能调节（来源：行业共性研判、2026政府工作报告，2026）。</w:t>
      </w:r>
    </w:p>
    <w:p>
      <w:pPr>
        <w:spacing w:lineRule="exact" w:line="600" w:before="120" w:after="120"/>
        <w:ind w:firstLine="420"/>
        <w:jc w:val="left"/>
      </w:pPr>
      <w:r>
        <w:rPr>
          <w:rFonts w:ascii="楷体_GB2312" w:hAnsi="楷体_GB2312" w:eastAsia="楷体_GB2312"/>
          <w:b w:val="0"/>
          <w:color w:val="000000"/>
          <w:sz w:val="32"/>
        </w:rPr>
        <w:t>（二）竞争格局</w:t>
      </w:r>
    </w:p>
    <w:p>
      <w:pPr>
        <w:spacing w:lineRule="exact" w:line="600" w:before="0" w:after="0"/>
        <w:ind w:firstLine="420"/>
        <w:jc w:val="both"/>
      </w:pPr>
      <w:r>
        <w:rPr>
          <w:rFonts w:ascii="仿宋_GB2312" w:hAnsi="仿宋_GB2312" w:eastAsia="仿宋_GB2312"/>
          <w:b w:val="0"/>
          <w:color w:val="000000"/>
          <w:sz w:val="32"/>
        </w:rPr>
        <w:t>市中以国网系总部与未来集团源网荷储体系差异化，火石平台赋能；与青岛、烟台等新能源城市竞争综合能源服务市场（来源：行业共性研判、市中区，2024）。</w:t>
      </w:r>
    </w:p>
    <w:p>
      <w:pPr>
        <w:spacing w:lineRule="exact" w:line="600" w:before="120" w:after="120"/>
        <w:ind w:firstLine="420"/>
        <w:jc w:val="left"/>
      </w:pPr>
      <w:r>
        <w:rPr>
          <w:rFonts w:ascii="楷体_GB2312" w:hAnsi="楷体_GB2312" w:eastAsia="楷体_GB2312"/>
          <w:b w:val="0"/>
          <w:color w:val="000000"/>
          <w:sz w:val="32"/>
        </w:rPr>
        <w:t>（三）项目落地</w:t>
      </w:r>
    </w:p>
    <w:p>
      <w:pPr>
        <w:spacing w:lineRule="exact" w:line="600" w:before="0" w:after="0"/>
        <w:ind w:firstLine="420"/>
        <w:jc w:val="both"/>
      </w:pPr>
      <w:r>
        <w:rPr>
          <w:rFonts w:ascii="仿宋_GB2312" w:hAnsi="仿宋_GB2312" w:eastAsia="仿宋_GB2312"/>
          <w:b w:val="0"/>
          <w:color w:val="000000"/>
          <w:sz w:val="32"/>
        </w:rPr>
        <w:t>已建成大学科技园及科创大厦低碳园区，利用园区空间打造光伏屋顶、路面、凉亭、车棚；山东未来云谷光储直柔综合能源应用项目推进，每年提供约550万kWh绿色电能（来源：市中区工信局、济南市工信局，2024）。</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3118"/>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w:t>
            </w:r>
          </w:p>
        </w:tc>
      </w:tr>
      <w:tr>
        <w:tc>
          <w:tcPr>
            <w:tcW w:type="dxa" w:w="2835"/>
          </w:tcPr>
          <w:p>
            <w:pPr>
              <w:spacing w:lineRule="exact" w:line="600"/>
              <w:jc w:val="center"/>
            </w:pPr>
            <w:r/>
            <w:r>
              <w:rPr>
                <w:rFonts w:ascii="仿宋_GB2312" w:hAnsi="仿宋_GB2312" w:eastAsia="仿宋_GB2312"/>
                <w:b w:val="0"/>
                <w:color w:val="000000"/>
                <w:sz w:val="32"/>
              </w:rPr>
              <w:t>应用场景</w:t>
            </w:r>
          </w:p>
        </w:tc>
        <w:tc>
          <w:tcPr>
            <w:tcW w:type="dxa" w:w="3118"/>
          </w:tcPr>
          <w:p>
            <w:pPr>
              <w:spacing w:lineRule="exact" w:line="600"/>
              <w:jc w:val="center"/>
            </w:pPr>
            <w:r/>
            <w:r>
              <w:rPr>
                <w:rFonts w:ascii="仿宋_GB2312" w:hAnsi="仿宋_GB2312" w:eastAsia="仿宋_GB2312"/>
                <w:b w:val="0"/>
                <w:color w:val="000000"/>
                <w:sz w:val="32"/>
              </w:rPr>
              <w:t>50余项</w:t>
            </w:r>
          </w:p>
        </w:tc>
        <w:tc>
          <w:tcPr>
            <w:tcW w:type="dxa" w:w="3118"/>
          </w:tcPr>
          <w:p>
            <w:pPr>
              <w:spacing w:lineRule="exact" w:line="600"/>
              <w:jc w:val="center"/>
            </w:pPr>
            <w:r/>
            <w:r>
              <w:rPr>
                <w:rFonts w:ascii="仿宋_GB2312" w:hAnsi="仿宋_GB2312" w:eastAsia="仿宋_GB2312"/>
                <w:b w:val="0"/>
                <w:color w:val="000000"/>
                <w:sz w:val="32"/>
              </w:rPr>
              <w:t>市中区工信局，2024</w:t>
            </w:r>
          </w:p>
        </w:tc>
      </w:tr>
      <w:tr>
        <w:tc>
          <w:tcPr>
            <w:tcW w:type="dxa" w:w="2835"/>
          </w:tcPr>
          <w:p>
            <w:pPr>
              <w:spacing w:lineRule="exact" w:line="600"/>
              <w:jc w:val="center"/>
            </w:pPr>
            <w:r/>
            <w:r>
              <w:rPr>
                <w:rFonts w:ascii="仿宋_GB2312" w:hAnsi="仿宋_GB2312" w:eastAsia="仿宋_GB2312"/>
                <w:b w:val="0"/>
                <w:color w:val="000000"/>
                <w:sz w:val="32"/>
              </w:rPr>
              <w:t>绿电（云谷）</w:t>
            </w:r>
          </w:p>
        </w:tc>
        <w:tc>
          <w:tcPr>
            <w:tcW w:type="dxa" w:w="3118"/>
          </w:tcPr>
          <w:p>
            <w:pPr>
              <w:spacing w:lineRule="exact" w:line="600"/>
              <w:jc w:val="center"/>
            </w:pPr>
            <w:r/>
            <w:r>
              <w:rPr>
                <w:rFonts w:ascii="仿宋_GB2312" w:hAnsi="仿宋_GB2312" w:eastAsia="仿宋_GB2312"/>
                <w:b w:val="0"/>
                <w:color w:val="000000"/>
                <w:sz w:val="32"/>
              </w:rPr>
              <w:t>550万kWh/年</w:t>
            </w:r>
          </w:p>
        </w:tc>
        <w:tc>
          <w:tcPr>
            <w:tcW w:type="dxa" w:w="3118"/>
          </w:tcPr>
          <w:p>
            <w:pPr>
              <w:spacing w:lineRule="exact" w:line="600"/>
              <w:jc w:val="center"/>
            </w:pPr>
            <w:r/>
            <w:r>
              <w:rPr>
                <w:rFonts w:ascii="仿宋_GB2312" w:hAnsi="仿宋_GB2312" w:eastAsia="仿宋_GB2312"/>
                <w:b w:val="0"/>
                <w:color w:val="000000"/>
                <w:sz w:val="32"/>
              </w:rPr>
              <w:t>济南市工信局，2024</w:t>
            </w:r>
          </w:p>
        </w:tc>
      </w:tr>
      <w:tr>
        <w:tc>
          <w:tcPr>
            <w:tcW w:type="dxa" w:w="2835"/>
          </w:tcPr>
          <w:p>
            <w:pPr>
              <w:spacing w:lineRule="exact" w:line="600"/>
              <w:jc w:val="center"/>
            </w:pPr>
            <w:r/>
            <w:r>
              <w:rPr>
                <w:rFonts w:ascii="仿宋_GB2312" w:hAnsi="仿宋_GB2312" w:eastAsia="仿宋_GB2312"/>
                <w:b w:val="0"/>
                <w:color w:val="000000"/>
                <w:sz w:val="32"/>
              </w:rPr>
              <w:t>低碳园区</w:t>
            </w:r>
          </w:p>
        </w:tc>
        <w:tc>
          <w:tcPr>
            <w:tcW w:type="dxa" w:w="3118"/>
          </w:tcPr>
          <w:p>
            <w:pPr>
              <w:spacing w:lineRule="exact" w:line="600"/>
              <w:jc w:val="center"/>
            </w:pPr>
            <w:r/>
            <w:r>
              <w:rPr>
                <w:rFonts w:ascii="仿宋_GB2312" w:hAnsi="仿宋_GB2312" w:eastAsia="仿宋_GB2312"/>
                <w:b w:val="0"/>
                <w:color w:val="000000"/>
                <w:sz w:val="32"/>
              </w:rPr>
              <w:t>大学科技园/科创大厦</w:t>
            </w:r>
          </w:p>
        </w:tc>
        <w:tc>
          <w:tcPr>
            <w:tcW w:type="dxa" w:w="3118"/>
          </w:tcPr>
          <w:p>
            <w:pPr>
              <w:spacing w:lineRule="exact" w:line="600"/>
              <w:jc w:val="center"/>
            </w:pPr>
            <w:r/>
            <w:r>
              <w:rPr>
                <w:rFonts w:ascii="仿宋_GB2312" w:hAnsi="仿宋_GB2312" w:eastAsia="仿宋_GB2312"/>
                <w:b w:val="0"/>
                <w:color w:val="000000"/>
                <w:sz w:val="32"/>
              </w:rPr>
              <w:t>市中区工信局，2024</w:t>
            </w:r>
          </w:p>
        </w:tc>
      </w:tr>
      <w:tr>
        <w:tc>
          <w:tcPr>
            <w:tcW w:type="dxa" w:w="2835"/>
          </w:tcPr>
          <w:p>
            <w:pPr>
              <w:spacing w:lineRule="exact" w:line="600"/>
              <w:jc w:val="center"/>
            </w:pPr>
            <w:r/>
            <w:r>
              <w:rPr>
                <w:rFonts w:ascii="仿宋_GB2312" w:hAnsi="仿宋_GB2312" w:eastAsia="仿宋_GB2312"/>
                <w:b w:val="0"/>
                <w:color w:val="000000"/>
                <w:sz w:val="32"/>
              </w:rPr>
              <w:t>源网荷储</w:t>
            </w:r>
          </w:p>
        </w:tc>
        <w:tc>
          <w:tcPr>
            <w:tcW w:type="dxa" w:w="3118"/>
          </w:tcPr>
          <w:p>
            <w:pPr>
              <w:spacing w:lineRule="exact" w:line="600"/>
              <w:jc w:val="center"/>
            </w:pPr>
            <w:r/>
            <w:r>
              <w:rPr>
                <w:rFonts w:ascii="仿宋_GB2312" w:hAnsi="仿宋_GB2312" w:eastAsia="仿宋_GB2312"/>
                <w:b w:val="0"/>
                <w:color w:val="000000"/>
                <w:sz w:val="32"/>
              </w:rPr>
              <w:t>光伏+风电聚合</w:t>
            </w:r>
          </w:p>
        </w:tc>
        <w:tc>
          <w:tcPr>
            <w:tcW w:type="dxa" w:w="3118"/>
          </w:tcPr>
          <w:p>
            <w:pPr>
              <w:spacing w:lineRule="exact" w:line="600"/>
              <w:jc w:val="center"/>
            </w:pPr>
            <w:r/>
            <w:r>
              <w:rPr>
                <w:rFonts w:ascii="仿宋_GB2312" w:hAnsi="仿宋_GB2312" w:eastAsia="仿宋_GB2312"/>
                <w:b w:val="0"/>
                <w:color w:val="000000"/>
                <w:sz w:val="32"/>
              </w:rPr>
              <w:t>未来集团</w:t>
            </w:r>
          </w:p>
        </w:tc>
      </w:tr>
      <w:tr>
        <w:tc>
          <w:tcPr>
            <w:tcW w:type="dxa" w:w="2835"/>
          </w:tcPr>
          <w:p>
            <w:pPr>
              <w:spacing w:lineRule="exact" w:line="600"/>
              <w:jc w:val="center"/>
            </w:pPr>
            <w:r/>
            <w:r>
              <w:rPr>
                <w:rFonts w:ascii="仿宋_GB2312" w:hAnsi="仿宋_GB2312" w:eastAsia="仿宋_GB2312"/>
                <w:b w:val="0"/>
                <w:color w:val="000000"/>
                <w:sz w:val="32"/>
              </w:rPr>
              <w:t>储能</w:t>
            </w:r>
          </w:p>
        </w:tc>
        <w:tc>
          <w:tcPr>
            <w:tcW w:type="dxa" w:w="3118"/>
          </w:tcPr>
          <w:p>
            <w:pPr>
              <w:spacing w:lineRule="exact" w:line="600"/>
              <w:jc w:val="center"/>
            </w:pPr>
            <w:r/>
            <w:r>
              <w:rPr>
                <w:rFonts w:ascii="仿宋_GB2312" w:hAnsi="仿宋_GB2312" w:eastAsia="仿宋_GB2312"/>
                <w:b w:val="0"/>
                <w:color w:val="000000"/>
                <w:sz w:val="32"/>
              </w:rPr>
              <w:t>示范城市</w:t>
            </w:r>
          </w:p>
        </w:tc>
        <w:tc>
          <w:tcPr>
            <w:tcW w:type="dxa" w:w="3118"/>
          </w:tcPr>
          <w:p>
            <w:pPr>
              <w:spacing w:lineRule="exact" w:line="600"/>
              <w:jc w:val="center"/>
            </w:pPr>
            <w:r/>
            <w:r>
              <w:rPr>
                <w:rFonts w:ascii="仿宋_GB2312" w:hAnsi="仿宋_GB2312" w:eastAsia="仿宋_GB2312"/>
                <w:b w:val="0"/>
                <w:color w:val="000000"/>
                <w:sz w:val="32"/>
              </w:rPr>
              <w:t>2026政府工作报告</w:t>
            </w:r>
          </w:p>
        </w:tc>
      </w:tr>
    </w:tbl>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120" w:after="120"/>
        <w:ind w:firstLine="420"/>
        <w:jc w:val="left"/>
      </w:pPr>
      <w:r>
        <w:rPr>
          <w:rFonts w:ascii="楷体_GB2312" w:hAnsi="楷体_GB2312" w:eastAsia="楷体_GB2312"/>
          <w:b w:val="0"/>
          <w:color w:val="000000"/>
          <w:sz w:val="32"/>
        </w:rPr>
        <w:t>（一）链主与总部</w:t>
      </w:r>
    </w:p>
    <w:p>
      <w:pPr>
        <w:spacing w:lineRule="exact" w:line="600" w:before="0" w:after="0"/>
        <w:ind w:firstLine="420"/>
        <w:jc w:val="both"/>
      </w:pPr>
      <w:r>
        <w:rPr>
          <w:rFonts w:ascii="仿宋_GB2312" w:hAnsi="仿宋_GB2312" w:eastAsia="仿宋_GB2312"/>
          <w:b w:val="0"/>
          <w:color w:val="000000"/>
          <w:sz w:val="32"/>
        </w:rPr>
        <w:t>以国网山东省电力公司为链主，国家管网集团山东总部、中石油山东销售公司为能源储运销龙头，驻市中区形成能源总部经济（来源：市中区工信局，2024）。</w:t>
      </w:r>
    </w:p>
    <w:p>
      <w:pPr>
        <w:spacing w:lineRule="exact" w:line="600" w:before="120" w:after="120"/>
        <w:ind w:firstLine="420"/>
        <w:jc w:val="left"/>
      </w:pPr>
      <w:r>
        <w:rPr>
          <w:rFonts w:ascii="楷体_GB2312" w:hAnsi="楷体_GB2312" w:eastAsia="楷体_GB2312"/>
          <w:b w:val="0"/>
          <w:color w:val="000000"/>
          <w:sz w:val="32"/>
        </w:rPr>
        <w:t>（二）平台与服务企业</w:t>
      </w:r>
    </w:p>
    <w:p>
      <w:pPr>
        <w:spacing w:lineRule="exact" w:line="600" w:before="0" w:after="0"/>
        <w:ind w:firstLine="420"/>
        <w:jc w:val="both"/>
      </w:pPr>
      <w:r>
        <w:rPr>
          <w:rFonts w:ascii="仿宋_GB2312" w:hAnsi="仿宋_GB2312" w:eastAsia="仿宋_GB2312"/>
          <w:b w:val="0"/>
          <w:color w:val="000000"/>
          <w:sz w:val="32"/>
        </w:rPr>
        <w:t>山东未来集团（虚拟电厂/源网荷储）、能建数科华东总部（综合能源/智慧城市）、国网综合能源（专精特新骨干）构成综合能源服务梯队（来源：济南市科技局、市中区工信局，2024—2025）。</w:t>
      </w:r>
    </w:p>
    <w:p>
      <w:pPr>
        <w:spacing w:lineRule="exact" w:line="600" w:before="120" w:after="120"/>
        <w:ind w:firstLine="420"/>
        <w:jc w:val="left"/>
      </w:pPr>
      <w:r>
        <w:rPr>
          <w:rFonts w:ascii="楷体_GB2312" w:hAnsi="楷体_GB2312" w:eastAsia="楷体_GB2312"/>
          <w:b w:val="0"/>
          <w:color w:val="000000"/>
          <w:sz w:val="32"/>
        </w:rPr>
        <w:t>（三）生态配套</w:t>
      </w:r>
    </w:p>
    <w:p>
      <w:pPr>
        <w:spacing w:lineRule="exact" w:line="600" w:before="0" w:after="0"/>
        <w:ind w:firstLine="420"/>
        <w:jc w:val="both"/>
      </w:pPr>
      <w:r>
        <w:rPr>
          <w:rFonts w:ascii="仿宋_GB2312" w:hAnsi="仿宋_GB2312" w:eastAsia="仿宋_GB2312"/>
          <w:b w:val="0"/>
          <w:color w:val="000000"/>
          <w:sz w:val="32"/>
        </w:rPr>
        <w:t>火石工业互联网平台提供用能分析与节能减排典型场景；市中区驻1000余家新金融企业、基金规模超1800亿元，支撑能源服务融资（来源：市中区工信局、能源互联网报道，2024）。</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主体</w:t>
            </w:r>
          </w:p>
        </w:tc>
        <w:tc>
          <w:tcPr>
            <w:tcW w:type="dxa" w:w="2835"/>
          </w:tcPr>
          <w:p>
            <w:pPr>
              <w:spacing w:lineRule="exact" w:line="600"/>
              <w:jc w:val="center"/>
            </w:pPr>
            <w:r/>
            <w:r>
              <w:rPr>
                <w:rFonts w:ascii="黑体" w:hAnsi="黑体" w:eastAsia="黑体"/>
                <w:b/>
                <w:color w:val="000000"/>
                <w:sz w:val="32"/>
              </w:rPr>
              <w:t>角色</w:t>
            </w:r>
          </w:p>
        </w:tc>
        <w:tc>
          <w:tcPr>
            <w:tcW w:type="dxa" w:w="3685"/>
          </w:tcPr>
          <w:p>
            <w:pPr>
              <w:spacing w:lineRule="exact" w:line="600"/>
              <w:jc w:val="center"/>
            </w:pPr>
            <w:r/>
            <w:r>
              <w:rPr>
                <w:rFonts w:ascii="黑体" w:hAnsi="黑体" w:eastAsia="黑体"/>
                <w:b/>
                <w:color w:val="000000"/>
                <w:sz w:val="32"/>
              </w:rPr>
              <w:t>数据</w:t>
            </w:r>
          </w:p>
        </w:tc>
      </w:tr>
      <w:tr>
        <w:tc>
          <w:tcPr>
            <w:tcW w:type="dxa" w:w="2551"/>
          </w:tcPr>
          <w:p>
            <w:pPr>
              <w:spacing w:lineRule="exact" w:line="600"/>
              <w:jc w:val="center"/>
            </w:pPr>
            <w:r/>
            <w:r>
              <w:rPr>
                <w:rFonts w:ascii="仿宋_GB2312" w:hAnsi="仿宋_GB2312" w:eastAsia="仿宋_GB2312"/>
                <w:b w:val="0"/>
                <w:color w:val="000000"/>
                <w:sz w:val="32"/>
              </w:rPr>
              <w:t>国网山东电力</w:t>
            </w:r>
          </w:p>
        </w:tc>
        <w:tc>
          <w:tcPr>
            <w:tcW w:type="dxa" w:w="2835"/>
          </w:tcPr>
          <w:p>
            <w:pPr>
              <w:spacing w:lineRule="exact" w:line="600"/>
              <w:jc w:val="center"/>
            </w:pPr>
            <w:r/>
            <w:r>
              <w:rPr>
                <w:rFonts w:ascii="仿宋_GB2312" w:hAnsi="仿宋_GB2312" w:eastAsia="仿宋_GB2312"/>
                <w:b w:val="0"/>
                <w:color w:val="000000"/>
                <w:sz w:val="32"/>
              </w:rPr>
              <w:t>链主</w:t>
            </w:r>
          </w:p>
        </w:tc>
        <w:tc>
          <w:tcPr>
            <w:tcW w:type="dxa" w:w="3685"/>
          </w:tcPr>
          <w:p>
            <w:pPr>
              <w:spacing w:lineRule="exact" w:line="600"/>
              <w:jc w:val="center"/>
            </w:pPr>
            <w:r/>
            <w:r>
              <w:rPr>
                <w:rFonts w:ascii="仿宋_GB2312" w:hAnsi="仿宋_GB2312" w:eastAsia="仿宋_GB2312"/>
                <w:b w:val="0"/>
                <w:color w:val="000000"/>
                <w:sz w:val="32"/>
              </w:rPr>
              <w:t>先进电网</w:t>
            </w:r>
          </w:p>
        </w:tc>
      </w:tr>
      <w:tr>
        <w:tc>
          <w:tcPr>
            <w:tcW w:type="dxa" w:w="2551"/>
          </w:tcPr>
          <w:p>
            <w:pPr>
              <w:spacing w:lineRule="exact" w:line="600"/>
              <w:jc w:val="center"/>
            </w:pPr>
            <w:r/>
            <w:r>
              <w:rPr>
                <w:rFonts w:ascii="仿宋_GB2312" w:hAnsi="仿宋_GB2312" w:eastAsia="仿宋_GB2312"/>
                <w:b w:val="0"/>
                <w:color w:val="000000"/>
                <w:sz w:val="32"/>
              </w:rPr>
              <w:t>国家管网/中石油</w:t>
            </w:r>
          </w:p>
        </w:tc>
        <w:tc>
          <w:tcPr>
            <w:tcW w:type="dxa" w:w="2835"/>
          </w:tcPr>
          <w:p>
            <w:pPr>
              <w:spacing w:lineRule="exact" w:line="600"/>
              <w:jc w:val="center"/>
            </w:pPr>
            <w:r/>
            <w:r>
              <w:rPr>
                <w:rFonts w:ascii="仿宋_GB2312" w:hAnsi="仿宋_GB2312" w:eastAsia="仿宋_GB2312"/>
                <w:b w:val="0"/>
                <w:color w:val="000000"/>
                <w:sz w:val="32"/>
              </w:rPr>
              <w:t>储运销龙头</w:t>
            </w:r>
          </w:p>
        </w:tc>
        <w:tc>
          <w:tcPr>
            <w:tcW w:type="dxa" w:w="3685"/>
          </w:tcPr>
          <w:p>
            <w:pPr>
              <w:spacing w:lineRule="exact" w:line="600"/>
              <w:jc w:val="center"/>
            </w:pPr>
            <w:r/>
            <w:r>
              <w:rPr>
                <w:rFonts w:ascii="仿宋_GB2312" w:hAnsi="仿宋_GB2312" w:eastAsia="仿宋_GB2312"/>
                <w:b w:val="0"/>
                <w:color w:val="000000"/>
                <w:sz w:val="32"/>
              </w:rPr>
              <w:t>能源总部</w:t>
            </w:r>
          </w:p>
        </w:tc>
      </w:tr>
      <w:tr>
        <w:tc>
          <w:tcPr>
            <w:tcW w:type="dxa" w:w="2551"/>
          </w:tcPr>
          <w:p>
            <w:pPr>
              <w:spacing w:lineRule="exact" w:line="600"/>
              <w:jc w:val="center"/>
            </w:pPr>
            <w:r/>
            <w:r>
              <w:rPr>
                <w:rFonts w:ascii="仿宋_GB2312" w:hAnsi="仿宋_GB2312" w:eastAsia="仿宋_GB2312"/>
                <w:b w:val="0"/>
                <w:color w:val="000000"/>
                <w:sz w:val="32"/>
              </w:rPr>
              <w:t>山东未来集团</w:t>
            </w:r>
          </w:p>
        </w:tc>
        <w:tc>
          <w:tcPr>
            <w:tcW w:type="dxa" w:w="2835"/>
          </w:tcPr>
          <w:p>
            <w:pPr>
              <w:spacing w:lineRule="exact" w:line="600"/>
              <w:jc w:val="center"/>
            </w:pPr>
            <w:r/>
            <w:r>
              <w:rPr>
                <w:rFonts w:ascii="仿宋_GB2312" w:hAnsi="仿宋_GB2312" w:eastAsia="仿宋_GB2312"/>
                <w:b w:val="0"/>
                <w:color w:val="000000"/>
                <w:sz w:val="32"/>
              </w:rPr>
              <w:t>虚拟电厂</w:t>
            </w:r>
          </w:p>
        </w:tc>
        <w:tc>
          <w:tcPr>
            <w:tcW w:type="dxa" w:w="3685"/>
          </w:tcPr>
          <w:p>
            <w:pPr>
              <w:spacing w:lineRule="exact" w:line="600"/>
              <w:jc w:val="center"/>
            </w:pPr>
            <w:r/>
            <w:r>
              <w:rPr>
                <w:rFonts w:ascii="仿宋_GB2312" w:hAnsi="仿宋_GB2312" w:eastAsia="仿宋_GB2312"/>
                <w:b w:val="0"/>
                <w:color w:val="000000"/>
                <w:sz w:val="32"/>
              </w:rPr>
              <w:t>源网荷储</w:t>
            </w:r>
          </w:p>
        </w:tc>
      </w:tr>
      <w:tr>
        <w:tc>
          <w:tcPr>
            <w:tcW w:type="dxa" w:w="2551"/>
          </w:tcPr>
          <w:p>
            <w:pPr>
              <w:spacing w:lineRule="exact" w:line="600"/>
              <w:jc w:val="center"/>
            </w:pPr>
            <w:r/>
            <w:r>
              <w:rPr>
                <w:rFonts w:ascii="仿宋_GB2312" w:hAnsi="仿宋_GB2312" w:eastAsia="仿宋_GB2312"/>
                <w:b w:val="0"/>
                <w:color w:val="000000"/>
                <w:sz w:val="32"/>
              </w:rPr>
              <w:t>能建数科</w:t>
            </w:r>
          </w:p>
        </w:tc>
        <w:tc>
          <w:tcPr>
            <w:tcW w:type="dxa" w:w="2835"/>
          </w:tcPr>
          <w:p>
            <w:pPr>
              <w:spacing w:lineRule="exact" w:line="600"/>
              <w:jc w:val="center"/>
            </w:pPr>
            <w:r/>
            <w:r>
              <w:rPr>
                <w:rFonts w:ascii="仿宋_GB2312" w:hAnsi="仿宋_GB2312" w:eastAsia="仿宋_GB2312"/>
                <w:b w:val="0"/>
                <w:color w:val="000000"/>
                <w:sz w:val="32"/>
              </w:rPr>
              <w:t>综合能源</w:t>
            </w:r>
          </w:p>
        </w:tc>
        <w:tc>
          <w:tcPr>
            <w:tcW w:type="dxa" w:w="3685"/>
          </w:tcPr>
          <w:p>
            <w:pPr>
              <w:spacing w:lineRule="exact" w:line="600"/>
              <w:jc w:val="center"/>
            </w:pPr>
            <w:r/>
            <w:r>
              <w:rPr>
                <w:rFonts w:ascii="仿宋_GB2312" w:hAnsi="仿宋_GB2312" w:eastAsia="仿宋_GB2312"/>
                <w:b w:val="0"/>
                <w:color w:val="000000"/>
                <w:sz w:val="32"/>
              </w:rPr>
              <w:t>华东总部</w:t>
            </w:r>
          </w:p>
        </w:tc>
      </w:tr>
      <w:tr>
        <w:tc>
          <w:tcPr>
            <w:tcW w:type="dxa" w:w="2551"/>
          </w:tcPr>
          <w:p>
            <w:pPr>
              <w:spacing w:lineRule="exact" w:line="600"/>
              <w:jc w:val="center"/>
            </w:pPr>
            <w:r/>
            <w:r>
              <w:rPr>
                <w:rFonts w:ascii="仿宋_GB2312" w:hAnsi="仿宋_GB2312" w:eastAsia="仿宋_GB2312"/>
                <w:b w:val="0"/>
                <w:color w:val="000000"/>
                <w:sz w:val="32"/>
              </w:rPr>
              <w:t>火石平台</w:t>
            </w:r>
          </w:p>
        </w:tc>
        <w:tc>
          <w:tcPr>
            <w:tcW w:type="dxa" w:w="2835"/>
          </w:tcPr>
          <w:p>
            <w:pPr>
              <w:spacing w:lineRule="exact" w:line="600"/>
              <w:jc w:val="center"/>
            </w:pPr>
            <w:r/>
            <w:r>
              <w:rPr>
                <w:rFonts w:ascii="仿宋_GB2312" w:hAnsi="仿宋_GB2312" w:eastAsia="仿宋_GB2312"/>
                <w:b w:val="0"/>
                <w:color w:val="000000"/>
                <w:sz w:val="32"/>
              </w:rPr>
              <w:t>节能方案</w:t>
            </w:r>
          </w:p>
        </w:tc>
        <w:tc>
          <w:tcPr>
            <w:tcW w:type="dxa" w:w="3685"/>
          </w:tcPr>
          <w:p>
            <w:pPr>
              <w:spacing w:lineRule="exact" w:line="600"/>
              <w:jc w:val="center"/>
            </w:pPr>
            <w:r/>
            <w:r>
              <w:rPr>
                <w:rFonts w:ascii="仿宋_GB2312" w:hAnsi="仿宋_GB2312" w:eastAsia="仿宋_GB2312"/>
                <w:b w:val="0"/>
                <w:color w:val="000000"/>
                <w:sz w:val="32"/>
              </w:rPr>
              <w:t>双跨赋能</w:t>
            </w:r>
          </w:p>
        </w:tc>
      </w:tr>
    </w:tbl>
    <w:p>
      <w:pPr>
        <w:spacing w:lineRule="exact" w:line="600" w:before="120" w:after="120"/>
        <w:ind w:firstLine="420"/>
        <w:jc w:val="left"/>
      </w:pPr>
      <w:r>
        <w:rPr>
          <w:rFonts w:ascii="楷体_GB2312" w:hAnsi="楷体_GB2312" w:eastAsia="楷体_GB2312"/>
          <w:b w:val="0"/>
          <w:color w:val="000000"/>
          <w:sz w:val="32"/>
        </w:rPr>
        <w:t>能源互联网链主与骨干企业（本批真实数据补充·来源见正文）</w:t>
      </w:r>
    </w:p>
    <w:p>
      <w:pPr>
        <w:spacing w:lineRule="exact" w:line="600" w:before="0" w:after="0"/>
        <w:ind w:firstLine="420"/>
        <w:jc w:val="both"/>
      </w:pPr>
      <w:r>
        <w:rPr>
          <w:rFonts w:ascii="仿宋_GB2312" w:hAnsi="仿宋_GB2312" w:eastAsia="仿宋_GB2312"/>
          <w:b w:val="0"/>
          <w:color w:val="000000"/>
          <w:sz w:val="32"/>
        </w:rPr>
        <w:t>市中区能源互联网集群以国网山东省电力公司战新产业园为链主，山东电力设备公司为全省唯一掌握特高压交流变压器、换流变压器核心技术的企业；西门子能源生产的海上风电变压器市场占有率位居行业前列；金钟科技集团获国际CMMI5级认证并获批行业首个高精度衡器重点实验室。国网电力“火石”工业互联网平台覆盖全省16地市133个行业，连接工业设备超170万台，获评国家级工业互联网“双跨平台”；思极科技为专精特新企业，鹰格信息、思极科技创新成果入选市级场景能力清单。（来源：市中区发布会2025-07、济南日报）</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主体/指标</w:t>
            </w:r>
          </w:p>
        </w:tc>
        <w:tc>
          <w:tcPr>
            <w:tcW w:type="dxa" w:w="2835"/>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层级</w:t>
            </w:r>
          </w:p>
        </w:tc>
      </w:tr>
      <w:tr>
        <w:tc>
          <w:tcPr>
            <w:tcW w:type="dxa" w:w="3118"/>
          </w:tcPr>
          <w:p>
            <w:pPr>
              <w:spacing w:lineRule="exact" w:line="600"/>
              <w:jc w:val="center"/>
            </w:pPr>
            <w:r/>
            <w:r>
              <w:rPr>
                <w:rFonts w:ascii="仿宋_GB2312" w:hAnsi="仿宋_GB2312" w:eastAsia="仿宋_GB2312"/>
                <w:b w:val="0"/>
                <w:color w:val="000000"/>
                <w:sz w:val="32"/>
              </w:rPr>
              <w:t>链主</w:t>
            </w:r>
          </w:p>
        </w:tc>
        <w:tc>
          <w:tcPr>
            <w:tcW w:type="dxa" w:w="2835"/>
          </w:tcPr>
          <w:p>
            <w:pPr>
              <w:spacing w:lineRule="exact" w:line="600"/>
              <w:jc w:val="center"/>
            </w:pPr>
            <w:r/>
            <w:r>
              <w:rPr>
                <w:rFonts w:ascii="仿宋_GB2312" w:hAnsi="仿宋_GB2312" w:eastAsia="仿宋_GB2312"/>
                <w:b w:val="0"/>
                <w:color w:val="000000"/>
                <w:sz w:val="32"/>
              </w:rPr>
              <w:t>国网山东电力战新产业园</w:t>
            </w:r>
          </w:p>
        </w:tc>
        <w:tc>
          <w:tcPr>
            <w:tcW w:type="dxa" w:w="2551"/>
          </w:tcPr>
          <w:p>
            <w:pPr>
              <w:spacing w:lineRule="exact" w:line="600"/>
              <w:jc w:val="center"/>
            </w:pPr>
            <w:r/>
            <w:r>
              <w:rPr>
                <w:rFonts w:ascii="仿宋_GB2312" w:hAnsi="仿宋_GB2312" w:eastAsia="仿宋_GB2312"/>
                <w:b w:val="0"/>
                <w:color w:val="000000"/>
                <w:sz w:val="32"/>
              </w:rPr>
              <w:t>特高压核心</w:t>
            </w:r>
          </w:p>
        </w:tc>
      </w:tr>
      <w:tr>
        <w:tc>
          <w:tcPr>
            <w:tcW w:type="dxa" w:w="3118"/>
          </w:tcPr>
          <w:p>
            <w:pPr>
              <w:spacing w:lineRule="exact" w:line="600"/>
              <w:jc w:val="center"/>
            </w:pPr>
            <w:r/>
            <w:r>
              <w:rPr>
                <w:rFonts w:ascii="仿宋_GB2312" w:hAnsi="仿宋_GB2312" w:eastAsia="仿宋_GB2312"/>
                <w:b w:val="0"/>
                <w:color w:val="000000"/>
                <w:sz w:val="32"/>
              </w:rPr>
              <w:t>山东电力设备</w:t>
            </w:r>
          </w:p>
        </w:tc>
        <w:tc>
          <w:tcPr>
            <w:tcW w:type="dxa" w:w="2835"/>
          </w:tcPr>
          <w:p>
            <w:pPr>
              <w:spacing w:lineRule="exact" w:line="600"/>
              <w:jc w:val="center"/>
            </w:pPr>
            <w:r/>
            <w:r>
              <w:rPr>
                <w:rFonts w:ascii="仿宋_GB2312" w:hAnsi="仿宋_GB2312" w:eastAsia="仿宋_GB2312"/>
                <w:b w:val="0"/>
                <w:color w:val="000000"/>
                <w:sz w:val="32"/>
              </w:rPr>
              <w:t>全省唯一掌握特高压变/换流变技术</w:t>
            </w:r>
          </w:p>
        </w:tc>
        <w:tc>
          <w:tcPr>
            <w:tcW w:type="dxa" w:w="2551"/>
          </w:tcPr>
          <w:p>
            <w:pPr>
              <w:spacing w:lineRule="exact" w:line="600"/>
              <w:jc w:val="center"/>
            </w:pPr>
            <w:r/>
            <w:r>
              <w:rPr>
                <w:rFonts w:ascii="仿宋_GB2312" w:hAnsi="仿宋_GB2312" w:eastAsia="仿宋_GB2312"/>
                <w:b w:val="0"/>
                <w:color w:val="000000"/>
                <w:sz w:val="32"/>
              </w:rPr>
              <w:t>骨干企业</w:t>
            </w:r>
          </w:p>
        </w:tc>
      </w:tr>
      <w:tr>
        <w:tc>
          <w:tcPr>
            <w:tcW w:type="dxa" w:w="3118"/>
          </w:tcPr>
          <w:p>
            <w:pPr>
              <w:spacing w:lineRule="exact" w:line="600"/>
              <w:jc w:val="center"/>
            </w:pPr>
            <w:r/>
            <w:r>
              <w:rPr>
                <w:rFonts w:ascii="仿宋_GB2312" w:hAnsi="仿宋_GB2312" w:eastAsia="仿宋_GB2312"/>
                <w:b w:val="0"/>
                <w:color w:val="000000"/>
                <w:sz w:val="32"/>
              </w:rPr>
              <w:t>火石平台</w:t>
            </w:r>
          </w:p>
        </w:tc>
        <w:tc>
          <w:tcPr>
            <w:tcW w:type="dxa" w:w="2835"/>
          </w:tcPr>
          <w:p>
            <w:pPr>
              <w:spacing w:lineRule="exact" w:line="600"/>
              <w:jc w:val="center"/>
            </w:pPr>
            <w:r/>
            <w:r>
              <w:rPr>
                <w:rFonts w:ascii="仿宋_GB2312" w:hAnsi="仿宋_GB2312" w:eastAsia="仿宋_GB2312"/>
                <w:b w:val="0"/>
                <w:color w:val="000000"/>
                <w:sz w:val="32"/>
              </w:rPr>
              <w:t>覆盖16地市133行业 / 连接设备170万台</w:t>
            </w:r>
          </w:p>
        </w:tc>
        <w:tc>
          <w:tcPr>
            <w:tcW w:type="dxa" w:w="2551"/>
          </w:tcPr>
          <w:p>
            <w:pPr>
              <w:spacing w:lineRule="exact" w:line="600"/>
              <w:jc w:val="center"/>
            </w:pPr>
            <w:r/>
            <w:r>
              <w:rPr>
                <w:rFonts w:ascii="仿宋_GB2312" w:hAnsi="仿宋_GB2312" w:eastAsia="仿宋_GB2312"/>
                <w:b w:val="0"/>
                <w:color w:val="000000"/>
                <w:sz w:val="32"/>
              </w:rPr>
              <w:t>国家级双跨</w:t>
            </w:r>
          </w:p>
        </w:tc>
      </w:tr>
      <w:tr>
        <w:tc>
          <w:tcPr>
            <w:tcW w:type="dxa" w:w="3118"/>
          </w:tcPr>
          <w:p>
            <w:pPr>
              <w:spacing w:lineRule="exact" w:line="600"/>
              <w:jc w:val="center"/>
            </w:pPr>
            <w:r/>
            <w:r>
              <w:rPr>
                <w:rFonts w:ascii="仿宋_GB2312" w:hAnsi="仿宋_GB2312" w:eastAsia="仿宋_GB2312"/>
                <w:b w:val="0"/>
                <w:color w:val="000000"/>
                <w:sz w:val="32"/>
              </w:rPr>
              <w:t>西门子能源</w:t>
            </w:r>
          </w:p>
        </w:tc>
        <w:tc>
          <w:tcPr>
            <w:tcW w:type="dxa" w:w="2835"/>
          </w:tcPr>
          <w:p>
            <w:pPr>
              <w:spacing w:lineRule="exact" w:line="600"/>
              <w:jc w:val="center"/>
            </w:pPr>
            <w:r/>
            <w:r>
              <w:rPr>
                <w:rFonts w:ascii="仿宋_GB2312" w:hAnsi="仿宋_GB2312" w:eastAsia="仿宋_GB2312"/>
                <w:b w:val="0"/>
                <w:color w:val="000000"/>
                <w:sz w:val="32"/>
              </w:rPr>
              <w:t>海上风电变压器市占率前列</w:t>
            </w:r>
          </w:p>
        </w:tc>
        <w:tc>
          <w:tcPr>
            <w:tcW w:type="dxa" w:w="2551"/>
          </w:tcPr>
          <w:p>
            <w:pPr>
              <w:spacing w:lineRule="exact" w:line="600"/>
              <w:jc w:val="center"/>
            </w:pPr>
            <w:r/>
            <w:r>
              <w:rPr>
                <w:rFonts w:ascii="仿宋_GB2312" w:hAnsi="仿宋_GB2312" w:eastAsia="仿宋_GB2312"/>
                <w:b w:val="0"/>
                <w:color w:val="000000"/>
                <w:sz w:val="32"/>
              </w:rPr>
              <w:t>世界500强</w:t>
            </w:r>
          </w:p>
        </w:tc>
      </w:tr>
    </w:tbl>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120" w:after="120"/>
        <w:ind w:firstLine="420"/>
        <w:jc w:val="left"/>
      </w:pPr>
      <w:r>
        <w:rPr>
          <w:rFonts w:ascii="楷体_GB2312" w:hAnsi="楷体_GB2312" w:eastAsia="楷体_GB2312"/>
          <w:b w:val="0"/>
          <w:color w:val="000000"/>
          <w:sz w:val="32"/>
        </w:rPr>
        <w:t>（一）虚拟电厂与源网荷储</w:t>
      </w:r>
    </w:p>
    <w:p>
      <w:pPr>
        <w:spacing w:lineRule="exact" w:line="600" w:before="0" w:after="0"/>
        <w:ind w:firstLine="420"/>
        <w:jc w:val="both"/>
      </w:pPr>
      <w:r>
        <w:rPr>
          <w:rFonts w:ascii="仿宋_GB2312" w:hAnsi="仿宋_GB2312" w:eastAsia="仿宋_GB2312"/>
          <w:b w:val="0"/>
          <w:color w:val="000000"/>
          <w:sz w:val="32"/>
        </w:rPr>
        <w:t>山东未来集团构建虚拟电厂与源网荷储体系，聚合光伏与风电资源，支撑绿色低碳；三年目标调度算力15000PFLOPS并构建虚拟电厂体系（来源：济南市科技局，2025）。</w:t>
      </w:r>
    </w:p>
    <w:p>
      <w:pPr>
        <w:spacing w:lineRule="exact" w:line="600" w:before="120" w:after="120"/>
        <w:ind w:firstLine="420"/>
        <w:jc w:val="left"/>
      </w:pPr>
      <w:r>
        <w:rPr>
          <w:rFonts w:ascii="楷体_GB2312" w:hAnsi="楷体_GB2312" w:eastAsia="楷体_GB2312"/>
          <w:b w:val="0"/>
          <w:color w:val="000000"/>
          <w:sz w:val="32"/>
        </w:rPr>
        <w:t>（二）光储直柔技术</w:t>
      </w:r>
    </w:p>
    <w:p>
      <w:pPr>
        <w:spacing w:lineRule="exact" w:line="600" w:before="0" w:after="0"/>
        <w:ind w:firstLine="420"/>
        <w:jc w:val="both"/>
      </w:pPr>
      <w:r>
        <w:rPr>
          <w:rFonts w:ascii="仿宋_GB2312" w:hAnsi="仿宋_GB2312" w:eastAsia="仿宋_GB2312"/>
          <w:b w:val="0"/>
          <w:color w:val="000000"/>
          <w:sz w:val="32"/>
        </w:rPr>
        <w:t>山东未来云谷规划光储直柔智慧综合能源中心与人工智能新基建一期，每年提供约550万kWh绿色电能，降低入驻企业碳排（来源：济南市工信局，2024）。</w:t>
      </w:r>
    </w:p>
    <w:p>
      <w:pPr>
        <w:spacing w:lineRule="exact" w:line="600" w:before="120" w:after="120"/>
        <w:ind w:firstLine="420"/>
        <w:jc w:val="left"/>
      </w:pPr>
      <w:r>
        <w:rPr>
          <w:rFonts w:ascii="楷体_GB2312" w:hAnsi="楷体_GB2312" w:eastAsia="楷体_GB2312"/>
          <w:b w:val="0"/>
          <w:color w:val="000000"/>
          <w:sz w:val="32"/>
        </w:rPr>
        <w:t>（三）数字能源平台</w:t>
      </w:r>
    </w:p>
    <w:p>
      <w:pPr>
        <w:spacing w:lineRule="exact" w:line="600" w:before="0" w:after="0"/>
        <w:ind w:firstLine="420"/>
        <w:jc w:val="both"/>
      </w:pPr>
      <w:r>
        <w:rPr>
          <w:rFonts w:ascii="仿宋_GB2312" w:hAnsi="仿宋_GB2312" w:eastAsia="仿宋_GB2312"/>
          <w:b w:val="0"/>
          <w:color w:val="000000"/>
          <w:sz w:val="32"/>
        </w:rPr>
        <w:t>火石工业互联网平台打造用能分析典型场景，构建「互联共享、全域赋能」能源工业互联网生态；未来网络能源大数据中心聚焦能碳物联网与能效管控（来源：市中区工信局，2024）。</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技术</w:t>
            </w:r>
          </w:p>
        </w:tc>
        <w:tc>
          <w:tcPr>
            <w:tcW w:type="dxa" w:w="3118"/>
          </w:tcPr>
          <w:p>
            <w:pPr>
              <w:spacing w:lineRule="exact" w:line="600"/>
              <w:jc w:val="center"/>
            </w:pPr>
            <w:r/>
            <w:r>
              <w:rPr>
                <w:rFonts w:ascii="黑体" w:hAnsi="黑体" w:eastAsia="黑体"/>
                <w:b/>
                <w:color w:val="000000"/>
                <w:sz w:val="32"/>
              </w:rPr>
              <w:t>成果</w:t>
            </w:r>
          </w:p>
        </w:tc>
        <w:tc>
          <w:tcPr>
            <w:tcW w:type="dxa" w:w="3402"/>
          </w:tcPr>
          <w:p>
            <w:pPr>
              <w:spacing w:lineRule="exact" w:line="600"/>
              <w:jc w:val="center"/>
            </w:pPr>
            <w:r/>
            <w:r>
              <w:rPr>
                <w:rFonts w:ascii="黑体" w:hAnsi="黑体" w:eastAsia="黑体"/>
                <w:b/>
                <w:color w:val="000000"/>
                <w:sz w:val="32"/>
              </w:rPr>
              <w:t>水平</w:t>
            </w:r>
          </w:p>
        </w:tc>
      </w:tr>
      <w:tr>
        <w:tc>
          <w:tcPr>
            <w:tcW w:type="dxa" w:w="2551"/>
          </w:tcPr>
          <w:p>
            <w:pPr>
              <w:spacing w:lineRule="exact" w:line="600"/>
              <w:jc w:val="center"/>
            </w:pPr>
            <w:r/>
            <w:r>
              <w:rPr>
                <w:rFonts w:ascii="仿宋_GB2312" w:hAnsi="仿宋_GB2312" w:eastAsia="仿宋_GB2312"/>
                <w:b w:val="0"/>
                <w:color w:val="000000"/>
                <w:sz w:val="32"/>
              </w:rPr>
              <w:t>虚拟电厂</w:t>
            </w:r>
          </w:p>
        </w:tc>
        <w:tc>
          <w:tcPr>
            <w:tcW w:type="dxa" w:w="3118"/>
          </w:tcPr>
          <w:p>
            <w:pPr>
              <w:spacing w:lineRule="exact" w:line="600"/>
              <w:jc w:val="center"/>
            </w:pPr>
            <w:r/>
            <w:r>
              <w:rPr>
                <w:rFonts w:ascii="仿宋_GB2312" w:hAnsi="仿宋_GB2312" w:eastAsia="仿宋_GB2312"/>
                <w:b w:val="0"/>
                <w:color w:val="000000"/>
                <w:sz w:val="32"/>
              </w:rPr>
              <w:t>源网荷储聚合</w:t>
            </w:r>
          </w:p>
        </w:tc>
        <w:tc>
          <w:tcPr>
            <w:tcW w:type="dxa" w:w="3402"/>
          </w:tcPr>
          <w:p>
            <w:pPr>
              <w:spacing w:lineRule="exact" w:line="600"/>
              <w:jc w:val="center"/>
            </w:pPr>
            <w:r/>
            <w:r>
              <w:rPr>
                <w:rFonts w:ascii="仿宋_GB2312" w:hAnsi="仿宋_GB2312" w:eastAsia="仿宋_GB2312"/>
                <w:b w:val="0"/>
                <w:color w:val="000000"/>
                <w:sz w:val="32"/>
              </w:rPr>
              <w:t>光伏+风电</w:t>
            </w:r>
          </w:p>
        </w:tc>
      </w:tr>
      <w:tr>
        <w:tc>
          <w:tcPr>
            <w:tcW w:type="dxa" w:w="2551"/>
          </w:tcPr>
          <w:p>
            <w:pPr>
              <w:spacing w:lineRule="exact" w:line="600"/>
              <w:jc w:val="center"/>
            </w:pPr>
            <w:r/>
            <w:r>
              <w:rPr>
                <w:rFonts w:ascii="仿宋_GB2312" w:hAnsi="仿宋_GB2312" w:eastAsia="仿宋_GB2312"/>
                <w:b w:val="0"/>
                <w:color w:val="000000"/>
                <w:sz w:val="32"/>
              </w:rPr>
              <w:t>光储直柔</w:t>
            </w:r>
          </w:p>
        </w:tc>
        <w:tc>
          <w:tcPr>
            <w:tcW w:type="dxa" w:w="3118"/>
          </w:tcPr>
          <w:p>
            <w:pPr>
              <w:spacing w:lineRule="exact" w:line="600"/>
              <w:jc w:val="center"/>
            </w:pPr>
            <w:r/>
            <w:r>
              <w:rPr>
                <w:rFonts w:ascii="仿宋_GB2312" w:hAnsi="仿宋_GB2312" w:eastAsia="仿宋_GB2312"/>
                <w:b w:val="0"/>
                <w:color w:val="000000"/>
                <w:sz w:val="32"/>
              </w:rPr>
              <w:t>年供绿电550万kWh</w:t>
            </w:r>
          </w:p>
        </w:tc>
        <w:tc>
          <w:tcPr>
            <w:tcW w:type="dxa" w:w="3402"/>
          </w:tcPr>
          <w:p>
            <w:pPr>
              <w:spacing w:lineRule="exact" w:line="600"/>
              <w:jc w:val="center"/>
            </w:pPr>
            <w:r/>
            <w:r>
              <w:rPr>
                <w:rFonts w:ascii="仿宋_GB2312" w:hAnsi="仿宋_GB2312" w:eastAsia="仿宋_GB2312"/>
                <w:b w:val="0"/>
                <w:color w:val="000000"/>
                <w:sz w:val="32"/>
              </w:rPr>
              <w:t>低碳园区</w:t>
            </w:r>
          </w:p>
        </w:tc>
      </w:tr>
      <w:tr>
        <w:tc>
          <w:tcPr>
            <w:tcW w:type="dxa" w:w="2551"/>
          </w:tcPr>
          <w:p>
            <w:pPr>
              <w:spacing w:lineRule="exact" w:line="600"/>
              <w:jc w:val="center"/>
            </w:pPr>
            <w:r/>
            <w:r>
              <w:rPr>
                <w:rFonts w:ascii="仿宋_GB2312" w:hAnsi="仿宋_GB2312" w:eastAsia="仿宋_GB2312"/>
                <w:b w:val="0"/>
                <w:color w:val="000000"/>
                <w:sz w:val="32"/>
              </w:rPr>
              <w:t>火石平台</w:t>
            </w:r>
          </w:p>
        </w:tc>
        <w:tc>
          <w:tcPr>
            <w:tcW w:type="dxa" w:w="3118"/>
          </w:tcPr>
          <w:p>
            <w:pPr>
              <w:spacing w:lineRule="exact" w:line="600"/>
              <w:jc w:val="center"/>
            </w:pPr>
            <w:r/>
            <w:r>
              <w:rPr>
                <w:rFonts w:ascii="仿宋_GB2312" w:hAnsi="仿宋_GB2312" w:eastAsia="仿宋_GB2312"/>
                <w:b w:val="0"/>
                <w:color w:val="000000"/>
                <w:sz w:val="32"/>
              </w:rPr>
              <w:t>用能分析场景</w:t>
            </w:r>
          </w:p>
        </w:tc>
        <w:tc>
          <w:tcPr>
            <w:tcW w:type="dxa" w:w="3402"/>
          </w:tcPr>
          <w:p>
            <w:pPr>
              <w:spacing w:lineRule="exact" w:line="600"/>
              <w:jc w:val="center"/>
            </w:pPr>
            <w:r/>
            <w:r>
              <w:rPr>
                <w:rFonts w:ascii="仿宋_GB2312" w:hAnsi="仿宋_GB2312" w:eastAsia="仿宋_GB2312"/>
                <w:b w:val="0"/>
                <w:color w:val="000000"/>
                <w:sz w:val="32"/>
              </w:rPr>
              <w:t>国家级双跨</w:t>
            </w:r>
          </w:p>
        </w:tc>
      </w:tr>
      <w:tr>
        <w:tc>
          <w:tcPr>
            <w:tcW w:type="dxa" w:w="2551"/>
          </w:tcPr>
          <w:p>
            <w:pPr>
              <w:spacing w:lineRule="exact" w:line="600"/>
              <w:jc w:val="center"/>
            </w:pPr>
            <w:r/>
            <w:r>
              <w:rPr>
                <w:rFonts w:ascii="仿宋_GB2312" w:hAnsi="仿宋_GB2312" w:eastAsia="仿宋_GB2312"/>
                <w:b w:val="0"/>
                <w:color w:val="000000"/>
                <w:sz w:val="32"/>
              </w:rPr>
              <w:t>能源大数据</w:t>
            </w:r>
          </w:p>
        </w:tc>
        <w:tc>
          <w:tcPr>
            <w:tcW w:type="dxa" w:w="3118"/>
          </w:tcPr>
          <w:p>
            <w:pPr>
              <w:spacing w:lineRule="exact" w:line="600"/>
              <w:jc w:val="center"/>
            </w:pPr>
            <w:r/>
            <w:r>
              <w:rPr>
                <w:rFonts w:ascii="仿宋_GB2312" w:hAnsi="仿宋_GB2312" w:eastAsia="仿宋_GB2312"/>
                <w:b w:val="0"/>
                <w:color w:val="000000"/>
                <w:sz w:val="32"/>
              </w:rPr>
              <w:t>能碳物联网</w:t>
            </w:r>
          </w:p>
        </w:tc>
        <w:tc>
          <w:tcPr>
            <w:tcW w:type="dxa" w:w="3402"/>
          </w:tcPr>
          <w:p>
            <w:pPr>
              <w:spacing w:lineRule="exact" w:line="600"/>
              <w:jc w:val="center"/>
            </w:pPr>
            <w:r/>
            <w:r>
              <w:rPr>
                <w:rFonts w:ascii="仿宋_GB2312" w:hAnsi="仿宋_GB2312" w:eastAsia="仿宋_GB2312"/>
                <w:b w:val="0"/>
                <w:color w:val="000000"/>
                <w:sz w:val="32"/>
              </w:rPr>
              <w:t>未来网络</w:t>
            </w:r>
          </w:p>
        </w:tc>
      </w:tr>
      <w:tr>
        <w:tc>
          <w:tcPr>
            <w:tcW w:type="dxa" w:w="2551"/>
          </w:tcPr>
          <w:p>
            <w:pPr>
              <w:spacing w:lineRule="exact" w:line="600"/>
              <w:jc w:val="center"/>
            </w:pPr>
            <w:r/>
            <w:r>
              <w:rPr>
                <w:rFonts w:ascii="仿宋_GB2312" w:hAnsi="仿宋_GB2312" w:eastAsia="仿宋_GB2312"/>
                <w:b w:val="0"/>
                <w:color w:val="000000"/>
                <w:sz w:val="32"/>
              </w:rPr>
              <w:t>储能</w:t>
            </w:r>
          </w:p>
        </w:tc>
        <w:tc>
          <w:tcPr>
            <w:tcW w:type="dxa" w:w="3118"/>
          </w:tcPr>
          <w:p>
            <w:pPr>
              <w:spacing w:lineRule="exact" w:line="600"/>
              <w:jc w:val="center"/>
            </w:pPr>
            <w:r/>
            <w:r>
              <w:rPr>
                <w:rFonts w:ascii="仿宋_GB2312" w:hAnsi="仿宋_GB2312" w:eastAsia="仿宋_GB2312"/>
                <w:b w:val="0"/>
                <w:color w:val="000000"/>
                <w:sz w:val="32"/>
              </w:rPr>
              <w:t>示范城市</w:t>
            </w:r>
          </w:p>
        </w:tc>
        <w:tc>
          <w:tcPr>
            <w:tcW w:type="dxa" w:w="3402"/>
          </w:tcPr>
          <w:p>
            <w:pPr>
              <w:spacing w:lineRule="exact" w:line="600"/>
              <w:jc w:val="center"/>
            </w:pPr>
            <w:r/>
            <w:r>
              <w:rPr>
                <w:rFonts w:ascii="仿宋_GB2312" w:hAnsi="仿宋_GB2312" w:eastAsia="仿宋_GB2312"/>
                <w:b w:val="0"/>
                <w:color w:val="000000"/>
                <w:sz w:val="32"/>
              </w:rPr>
              <w:t>2026目标</w:t>
            </w:r>
          </w:p>
        </w:tc>
      </w:tr>
    </w:tbl>
    <w:p>
      <w:pPr>
        <w:spacing w:lineRule="exact" w:line="600" w:before="120" w:after="120"/>
        <w:ind w:firstLine="420"/>
        <w:jc w:val="left"/>
      </w:pPr>
      <w:r>
        <w:rPr>
          <w:rFonts w:ascii="楷体_GB2312" w:hAnsi="楷体_GB2312" w:eastAsia="楷体_GB2312"/>
          <w:b w:val="0"/>
          <w:color w:val="000000"/>
          <w:sz w:val="32"/>
        </w:rPr>
        <w:t>（五）省级创新能力与技改政策框架参照</w:t>
      </w:r>
    </w:p>
    <w:p>
      <w:pPr>
        <w:spacing w:lineRule="exact" w:line="600" w:before="0" w:after="0"/>
        <w:ind w:firstLine="420"/>
        <w:jc w:val="both"/>
      </w:pPr>
      <w:r>
        <w:rPr>
          <w:rFonts w:ascii="仿宋_GB2312" w:hAnsi="仿宋_GB2312" w:eastAsia="仿宋_GB2312"/>
          <w:b w:val="0"/>
          <w:color w:val="000000"/>
          <w:sz w:val="32"/>
        </w:rPr>
        <w:t>从省级创新与技改政策看，山东省持续加大创新投入：省级科技资金2024年达145.2亿元，连续6年保持高强度投入；深入实施智能化技术改造行动计划，省财政安排技术改造资金6.25亿元，对符合条件的企业给予最高2000万元贷款贴息、最高500万元设备更新补贴，支持关键工序自动化、智能工厂与数字化车间建设。优质企业培育方面，到2025年力争培育专精特新中小企业1万家左右、制造业单项冠军企业1000家左右、产业生态主导型“链主”企业200家左右，构建覆盖创新型中小企业—专精特新—小巨人—单项冠军—领航企业的梯度培育体系。（来源：山东省财政厅，2024；省发展改革委/省工信厅，《先进制造业强省行动计划（2022—2025年）》）（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省级创新/技改指标</w:t>
            </w:r>
          </w:p>
        </w:tc>
        <w:tc>
          <w:tcPr>
            <w:tcW w:type="dxa" w:w="2551"/>
          </w:tcPr>
          <w:p>
            <w:pPr>
              <w:spacing w:lineRule="exact" w:line="600"/>
              <w:jc w:val="center"/>
            </w:pPr>
            <w:r/>
            <w:r>
              <w:rPr>
                <w:rFonts w:ascii="黑体" w:hAnsi="黑体" w:eastAsia="黑体"/>
                <w:b/>
                <w:color w:val="000000"/>
                <w:sz w:val="32"/>
              </w:rPr>
              <w:t>规模/目标</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省级科技资金（2024）</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bl>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120" w:after="120"/>
        <w:ind w:firstLine="420"/>
        <w:jc w:val="left"/>
      </w:pPr>
      <w:r>
        <w:rPr>
          <w:rFonts w:ascii="楷体_GB2312" w:hAnsi="楷体_GB2312" w:eastAsia="楷体_GB2312"/>
          <w:b w:val="0"/>
          <w:color w:val="000000"/>
          <w:sz w:val="32"/>
        </w:rPr>
        <w:t>（一）成本结构</w:t>
      </w:r>
    </w:p>
    <w:p>
      <w:pPr>
        <w:spacing w:lineRule="exact" w:line="600" w:before="0" w:after="0"/>
        <w:ind w:firstLine="420"/>
        <w:jc w:val="both"/>
      </w:pPr>
      <w:r>
        <w:rPr>
          <w:rFonts w:ascii="仿宋_GB2312" w:hAnsi="仿宋_GB2312" w:eastAsia="仿宋_GB2312"/>
          <w:b w:val="0"/>
          <w:color w:val="000000"/>
          <w:sz w:val="32"/>
        </w:rPr>
        <w:t>综合能源服务成本以设备、绿电采购与运维为主；光储直柔绿电直供降低用能成本，火石平台节能方案降耗（来源：济南市工信局、市中区工信局，2024）。</w:t>
      </w:r>
    </w:p>
    <w:p>
      <w:pPr>
        <w:spacing w:lineRule="exact" w:line="600" w:before="120" w:after="120"/>
        <w:ind w:firstLine="420"/>
        <w:jc w:val="left"/>
      </w:pPr>
      <w:r>
        <w:rPr>
          <w:rFonts w:ascii="楷体_GB2312" w:hAnsi="楷体_GB2312" w:eastAsia="楷体_GB2312"/>
          <w:b w:val="0"/>
          <w:color w:val="000000"/>
          <w:sz w:val="32"/>
        </w:rPr>
        <w:t>（二）盈利模式</w:t>
      </w:r>
    </w:p>
    <w:p>
      <w:pPr>
        <w:spacing w:lineRule="exact" w:line="600" w:before="0" w:after="0"/>
        <w:ind w:firstLine="420"/>
        <w:jc w:val="both"/>
      </w:pPr>
      <w:r>
        <w:rPr>
          <w:rFonts w:ascii="仿宋_GB2312" w:hAnsi="仿宋_GB2312" w:eastAsia="仿宋_GB2312"/>
          <w:b w:val="0"/>
          <w:color w:val="000000"/>
          <w:sz w:val="32"/>
        </w:rPr>
        <w:t>以能源管理合同、虚拟电厂需求响应收益、园区低碳服务多元变现；未来集团源网荷储与虚拟电厂形成可交易负荷资源（来源：行业共性研判、济南市科技局，2025）。</w:t>
      </w:r>
    </w:p>
    <w:p>
      <w:pPr>
        <w:spacing w:lineRule="exact" w:line="600" w:before="120" w:after="120"/>
        <w:ind w:firstLine="420"/>
        <w:jc w:val="left"/>
      </w:pPr>
      <w:r>
        <w:rPr>
          <w:rFonts w:ascii="楷体_GB2312" w:hAnsi="楷体_GB2312" w:eastAsia="楷体_GB2312"/>
          <w:b w:val="0"/>
          <w:color w:val="000000"/>
          <w:sz w:val="32"/>
        </w:rPr>
        <w:t>（三）要素保障</w:t>
      </w:r>
    </w:p>
    <w:p>
      <w:pPr>
        <w:spacing w:lineRule="exact" w:line="600" w:before="0" w:after="0"/>
        <w:ind w:firstLine="420"/>
        <w:jc w:val="both"/>
      </w:pPr>
      <w:r>
        <w:rPr>
          <w:rFonts w:ascii="仿宋_GB2312" w:hAnsi="仿宋_GB2312" w:eastAsia="仿宋_GB2312"/>
          <w:b w:val="0"/>
          <w:color w:val="000000"/>
          <w:sz w:val="32"/>
        </w:rPr>
        <w:t>市中区基金规模超1800亿元、新金融集聚，国家科技领军与海外人才离岸基地提供人才；双省级战略与市级专班统筹（来源：市中区能源互联网报道，2024）。</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要素</w:t>
            </w:r>
          </w:p>
        </w:tc>
        <w:tc>
          <w:tcPr>
            <w:tcW w:type="dxa" w:w="3402"/>
          </w:tcPr>
          <w:p>
            <w:pPr>
              <w:spacing w:lineRule="exact" w:line="600"/>
              <w:jc w:val="center"/>
            </w:pPr>
            <w:r/>
            <w:r>
              <w:rPr>
                <w:rFonts w:ascii="黑体" w:hAnsi="黑体" w:eastAsia="黑体"/>
                <w:b/>
                <w:color w:val="000000"/>
                <w:sz w:val="32"/>
              </w:rPr>
              <w:t>供给</w:t>
            </w:r>
          </w:p>
        </w:tc>
        <w:tc>
          <w:tcPr>
            <w:tcW w:type="dxa" w:w="3402"/>
          </w:tcPr>
          <w:p>
            <w:pPr>
              <w:spacing w:lineRule="exact" w:line="600"/>
              <w:jc w:val="center"/>
            </w:pPr>
            <w:r/>
            <w:r>
              <w:rPr>
                <w:rFonts w:ascii="黑体" w:hAnsi="黑体" w:eastAsia="黑体"/>
                <w:b/>
                <w:color w:val="000000"/>
                <w:sz w:val="32"/>
              </w:rPr>
              <w:t>效果</w:t>
            </w:r>
          </w:p>
        </w:tc>
      </w:tr>
      <w:tr>
        <w:tc>
          <w:tcPr>
            <w:tcW w:type="dxa" w:w="2268"/>
          </w:tcPr>
          <w:p>
            <w:pPr>
              <w:spacing w:lineRule="exact" w:line="600"/>
              <w:jc w:val="center"/>
            </w:pPr>
            <w:r/>
            <w:r>
              <w:rPr>
                <w:rFonts w:ascii="仿宋_GB2312" w:hAnsi="仿宋_GB2312" w:eastAsia="仿宋_GB2312"/>
                <w:b w:val="0"/>
                <w:color w:val="000000"/>
                <w:sz w:val="32"/>
              </w:rPr>
              <w:t>绿电</w:t>
            </w:r>
          </w:p>
        </w:tc>
        <w:tc>
          <w:tcPr>
            <w:tcW w:type="dxa" w:w="3402"/>
          </w:tcPr>
          <w:p>
            <w:pPr>
              <w:spacing w:lineRule="exact" w:line="600"/>
              <w:jc w:val="center"/>
            </w:pPr>
            <w:r/>
            <w:r>
              <w:rPr>
                <w:rFonts w:ascii="仿宋_GB2312" w:hAnsi="仿宋_GB2312" w:eastAsia="仿宋_GB2312"/>
                <w:b w:val="0"/>
                <w:color w:val="000000"/>
                <w:sz w:val="32"/>
              </w:rPr>
              <w:t>550万kWh/年</w:t>
            </w:r>
          </w:p>
        </w:tc>
        <w:tc>
          <w:tcPr>
            <w:tcW w:type="dxa" w:w="3402"/>
          </w:tcPr>
          <w:p>
            <w:pPr>
              <w:spacing w:lineRule="exact" w:line="600"/>
              <w:jc w:val="center"/>
            </w:pPr>
            <w:r/>
            <w:r>
              <w:rPr>
                <w:rFonts w:ascii="仿宋_GB2312" w:hAnsi="仿宋_GB2312" w:eastAsia="仿宋_GB2312"/>
                <w:b w:val="0"/>
                <w:color w:val="000000"/>
                <w:sz w:val="32"/>
              </w:rPr>
              <w:t>降本减碳</w:t>
            </w:r>
          </w:p>
        </w:tc>
      </w:tr>
      <w:tr>
        <w:tc>
          <w:tcPr>
            <w:tcW w:type="dxa" w:w="2268"/>
          </w:tcPr>
          <w:p>
            <w:pPr>
              <w:spacing w:lineRule="exact" w:line="600"/>
              <w:jc w:val="center"/>
            </w:pPr>
            <w:r/>
            <w:r>
              <w:rPr>
                <w:rFonts w:ascii="仿宋_GB2312" w:hAnsi="仿宋_GB2312" w:eastAsia="仿宋_GB2312"/>
                <w:b w:val="0"/>
                <w:color w:val="000000"/>
                <w:sz w:val="32"/>
              </w:rPr>
              <w:t>金融</w:t>
            </w:r>
          </w:p>
        </w:tc>
        <w:tc>
          <w:tcPr>
            <w:tcW w:type="dxa" w:w="3402"/>
          </w:tcPr>
          <w:p>
            <w:pPr>
              <w:spacing w:lineRule="exact" w:line="600"/>
              <w:jc w:val="center"/>
            </w:pPr>
            <w:r/>
            <w:r>
              <w:rPr>
                <w:rFonts w:ascii="仿宋_GB2312" w:hAnsi="仿宋_GB2312" w:eastAsia="仿宋_GB2312"/>
                <w:b w:val="0"/>
                <w:color w:val="000000"/>
                <w:sz w:val="32"/>
              </w:rPr>
              <w:t>基金1800亿+</w:t>
            </w:r>
          </w:p>
        </w:tc>
        <w:tc>
          <w:tcPr>
            <w:tcW w:type="dxa" w:w="3402"/>
          </w:tcPr>
          <w:p>
            <w:pPr>
              <w:spacing w:lineRule="exact" w:line="600"/>
              <w:jc w:val="center"/>
            </w:pPr>
            <w:r/>
            <w:r>
              <w:rPr>
                <w:rFonts w:ascii="仿宋_GB2312" w:hAnsi="仿宋_GB2312" w:eastAsia="仿宋_GB2312"/>
                <w:b w:val="0"/>
                <w:color w:val="000000"/>
                <w:sz w:val="32"/>
              </w:rPr>
              <w:t>能源融资</w:t>
            </w:r>
          </w:p>
        </w:tc>
      </w:tr>
      <w:tr>
        <w:tc>
          <w:tcPr>
            <w:tcW w:type="dxa" w:w="2268"/>
          </w:tcPr>
          <w:p>
            <w:pPr>
              <w:spacing w:lineRule="exact" w:line="600"/>
              <w:jc w:val="center"/>
            </w:pPr>
            <w:r/>
            <w:r>
              <w:rPr>
                <w:rFonts w:ascii="仿宋_GB2312" w:hAnsi="仿宋_GB2312" w:eastAsia="仿宋_GB2312"/>
                <w:b w:val="0"/>
                <w:color w:val="000000"/>
                <w:sz w:val="32"/>
              </w:rPr>
              <w:t>人才</w:t>
            </w:r>
          </w:p>
        </w:tc>
        <w:tc>
          <w:tcPr>
            <w:tcW w:type="dxa" w:w="3402"/>
          </w:tcPr>
          <w:p>
            <w:pPr>
              <w:spacing w:lineRule="exact" w:line="600"/>
              <w:jc w:val="center"/>
            </w:pPr>
            <w:r/>
            <w:r>
              <w:rPr>
                <w:rFonts w:ascii="仿宋_GB2312" w:hAnsi="仿宋_GB2312" w:eastAsia="仿宋_GB2312"/>
                <w:b w:val="0"/>
                <w:color w:val="000000"/>
                <w:sz w:val="32"/>
              </w:rPr>
              <w:t>国字号基地</w:t>
            </w:r>
          </w:p>
        </w:tc>
        <w:tc>
          <w:tcPr>
            <w:tcW w:type="dxa" w:w="3402"/>
          </w:tcPr>
          <w:p>
            <w:pPr>
              <w:spacing w:lineRule="exact" w:line="600"/>
              <w:jc w:val="center"/>
            </w:pPr>
            <w:r/>
            <w:r>
              <w:rPr>
                <w:rFonts w:ascii="仿宋_GB2312" w:hAnsi="仿宋_GB2312" w:eastAsia="仿宋_GB2312"/>
                <w:b w:val="0"/>
                <w:color w:val="000000"/>
                <w:sz w:val="32"/>
              </w:rPr>
              <w:t>技术支撑</w:t>
            </w:r>
          </w:p>
        </w:tc>
      </w:tr>
      <w:tr>
        <w:tc>
          <w:tcPr>
            <w:tcW w:type="dxa" w:w="2268"/>
          </w:tcPr>
          <w:p>
            <w:pPr>
              <w:spacing w:lineRule="exact" w:line="600"/>
              <w:jc w:val="center"/>
            </w:pPr>
            <w:r/>
            <w:r>
              <w:rPr>
                <w:rFonts w:ascii="仿宋_GB2312" w:hAnsi="仿宋_GB2312" w:eastAsia="仿宋_GB2312"/>
                <w:b w:val="0"/>
                <w:color w:val="000000"/>
                <w:sz w:val="32"/>
              </w:rPr>
              <w:t>政策</w:t>
            </w:r>
          </w:p>
        </w:tc>
        <w:tc>
          <w:tcPr>
            <w:tcW w:type="dxa" w:w="3402"/>
          </w:tcPr>
          <w:p>
            <w:pPr>
              <w:spacing w:lineRule="exact" w:line="600"/>
              <w:jc w:val="center"/>
            </w:pPr>
            <w:r/>
            <w:r>
              <w:rPr>
                <w:rFonts w:ascii="仿宋_GB2312" w:hAnsi="仿宋_GB2312" w:eastAsia="仿宋_GB2312"/>
                <w:b w:val="0"/>
                <w:color w:val="000000"/>
                <w:sz w:val="32"/>
              </w:rPr>
              <w:t>双省级+专班</w:t>
            </w:r>
          </w:p>
        </w:tc>
        <w:tc>
          <w:tcPr>
            <w:tcW w:type="dxa" w:w="3402"/>
          </w:tcPr>
          <w:p>
            <w:pPr>
              <w:spacing w:lineRule="exact" w:line="600"/>
              <w:jc w:val="center"/>
            </w:pPr>
            <w:r/>
            <w:r>
              <w:rPr>
                <w:rFonts w:ascii="仿宋_GB2312" w:hAnsi="仿宋_GB2312" w:eastAsia="仿宋_GB2312"/>
                <w:b w:val="0"/>
                <w:color w:val="000000"/>
                <w:sz w:val="32"/>
              </w:rPr>
              <w:t>市级统筹</w:t>
            </w:r>
          </w:p>
        </w:tc>
      </w:tr>
      <w:tr>
        <w:tc>
          <w:tcPr>
            <w:tcW w:type="dxa" w:w="2268"/>
          </w:tcPr>
          <w:p>
            <w:pPr>
              <w:spacing w:lineRule="exact" w:line="600"/>
              <w:jc w:val="center"/>
            </w:pPr>
            <w:r/>
            <w:r>
              <w:rPr>
                <w:rFonts w:ascii="仿宋_GB2312" w:hAnsi="仿宋_GB2312" w:eastAsia="仿宋_GB2312"/>
                <w:b w:val="0"/>
                <w:color w:val="000000"/>
                <w:sz w:val="32"/>
              </w:rPr>
              <w:t>平台</w:t>
            </w:r>
          </w:p>
        </w:tc>
        <w:tc>
          <w:tcPr>
            <w:tcW w:type="dxa" w:w="3402"/>
          </w:tcPr>
          <w:p>
            <w:pPr>
              <w:spacing w:lineRule="exact" w:line="600"/>
              <w:jc w:val="center"/>
            </w:pPr>
            <w:r/>
            <w:r>
              <w:rPr>
                <w:rFonts w:ascii="仿宋_GB2312" w:hAnsi="仿宋_GB2312" w:eastAsia="仿宋_GB2312"/>
                <w:b w:val="0"/>
                <w:color w:val="000000"/>
                <w:sz w:val="32"/>
              </w:rPr>
              <w:t>火石/未来网络</w:t>
            </w:r>
          </w:p>
        </w:tc>
        <w:tc>
          <w:tcPr>
            <w:tcW w:type="dxa" w:w="3402"/>
          </w:tcPr>
          <w:p>
            <w:pPr>
              <w:spacing w:lineRule="exact" w:line="600"/>
              <w:jc w:val="center"/>
            </w:pPr>
            <w:r/>
            <w:r>
              <w:rPr>
                <w:rFonts w:ascii="仿宋_GB2312" w:hAnsi="仿宋_GB2312" w:eastAsia="仿宋_GB2312"/>
                <w:b w:val="0"/>
                <w:color w:val="000000"/>
                <w:sz w:val="32"/>
              </w:rPr>
              <w:t>节能赋能</w:t>
            </w:r>
          </w:p>
        </w:tc>
      </w:tr>
    </w:tbl>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120" w:after="120"/>
        <w:ind w:firstLine="420"/>
        <w:jc w:val="left"/>
      </w:pPr>
      <w:r>
        <w:rPr>
          <w:rFonts w:ascii="楷体_GB2312" w:hAnsi="楷体_GB2312" w:eastAsia="楷体_GB2312"/>
          <w:b w:val="0"/>
          <w:color w:val="000000"/>
          <w:sz w:val="32"/>
        </w:rPr>
        <w:t>（一）机遇</w:t>
      </w:r>
    </w:p>
    <w:p>
      <w:pPr>
        <w:spacing w:lineRule="exact" w:line="600" w:before="0" w:after="0"/>
        <w:ind w:firstLine="420"/>
        <w:jc w:val="both"/>
      </w:pPr>
      <w:r>
        <w:rPr>
          <w:rFonts w:ascii="仿宋_GB2312" w:hAnsi="仿宋_GB2312" w:eastAsia="仿宋_GB2312"/>
          <w:b w:val="0"/>
          <w:color w:val="000000"/>
          <w:sz w:val="32"/>
        </w:rPr>
        <w:t>「双碳」、储能示范城市与虚拟电厂政策、分布式能源扩张，为综合能源服务带来增量；380亿目标形成红利（来源：行业共性研判、2026政府工作报告，2026）。</w:t>
      </w:r>
    </w:p>
    <w:p>
      <w:pPr>
        <w:spacing w:lineRule="exact" w:line="600" w:before="120" w:after="120"/>
        <w:ind w:firstLine="420"/>
        <w:jc w:val="left"/>
      </w:pPr>
      <w:r>
        <w:rPr>
          <w:rFonts w:ascii="楷体_GB2312" w:hAnsi="楷体_GB2312" w:eastAsia="楷体_GB2312"/>
          <w:b w:val="0"/>
          <w:color w:val="000000"/>
          <w:sz w:val="32"/>
        </w:rPr>
        <w:t>（二）挑战</w:t>
      </w:r>
    </w:p>
    <w:p>
      <w:pPr>
        <w:spacing w:lineRule="exact" w:line="600" w:before="0" w:after="0"/>
        <w:ind w:firstLine="420"/>
        <w:jc w:val="both"/>
      </w:pPr>
      <w:r>
        <w:rPr>
          <w:rFonts w:ascii="仿宋_GB2312" w:hAnsi="仿宋_GB2312" w:eastAsia="仿宋_GB2312"/>
          <w:b w:val="0"/>
          <w:color w:val="000000"/>
          <w:sz w:val="32"/>
        </w:rPr>
        <w:t>源网荷储协同标准缺失、商业模式不成熟、跨主体数据互通难、复合人才稀缺（来源：行业共性研判）。</w:t>
      </w:r>
    </w:p>
    <w:p>
      <w:pPr>
        <w:spacing w:lineRule="exact" w:line="600" w:before="120" w:after="120"/>
        <w:ind w:firstLine="420"/>
        <w:jc w:val="left"/>
      </w:pPr>
      <w:r>
        <w:rPr>
          <w:rFonts w:ascii="楷体_GB2312" w:hAnsi="楷体_GB2312" w:eastAsia="楷体_GB2312"/>
          <w:b w:val="0"/>
          <w:color w:val="000000"/>
          <w:sz w:val="32"/>
        </w:rPr>
        <w:t>（三）风险</w:t>
      </w:r>
    </w:p>
    <w:p>
      <w:pPr>
        <w:spacing w:lineRule="exact" w:line="600" w:before="0" w:after="0"/>
        <w:ind w:firstLine="420"/>
        <w:jc w:val="both"/>
      </w:pPr>
      <w:r>
        <w:rPr>
          <w:rFonts w:ascii="仿宋_GB2312" w:hAnsi="仿宋_GB2312" w:eastAsia="仿宋_GB2312"/>
          <w:b w:val="0"/>
          <w:color w:val="000000"/>
          <w:sz w:val="32"/>
        </w:rPr>
        <w:t>电价与政策变动、投资回收周期长、安全风险，为主要风险（来源：行业共性研判）。</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维度</w:t>
            </w:r>
          </w:p>
        </w:tc>
        <w:tc>
          <w:tcPr>
            <w:tcW w:type="dxa" w:w="3685"/>
          </w:tcPr>
          <w:p>
            <w:pPr>
              <w:spacing w:lineRule="exact" w:line="600"/>
              <w:jc w:val="center"/>
            </w:pPr>
            <w:r/>
            <w:r>
              <w:rPr>
                <w:rFonts w:ascii="黑体" w:hAnsi="黑体" w:eastAsia="黑体"/>
                <w:b/>
                <w:color w:val="000000"/>
                <w:sz w:val="32"/>
              </w:rPr>
              <w:t>内容</w:t>
            </w:r>
          </w:p>
        </w:tc>
        <w:tc>
          <w:tcPr>
            <w:tcW w:type="dxa" w:w="3118"/>
          </w:tcPr>
          <w:p>
            <w:pPr>
              <w:spacing w:lineRule="exact" w:line="600"/>
              <w:jc w:val="center"/>
            </w:pPr>
            <w:r/>
            <w:r>
              <w:rPr>
                <w:rFonts w:ascii="黑体" w:hAnsi="黑体" w:eastAsia="黑体"/>
                <w:b/>
                <w:color w:val="000000"/>
                <w:sz w:val="32"/>
              </w:rPr>
              <w:t>影响</w:t>
            </w:r>
          </w:p>
        </w:tc>
      </w:tr>
      <w:tr>
        <w:tc>
          <w:tcPr>
            <w:tcW w:type="dxa" w:w="2268"/>
          </w:tcPr>
          <w:p>
            <w:pPr>
              <w:spacing w:lineRule="exact" w:line="600"/>
              <w:jc w:val="center"/>
            </w:pPr>
            <w:r/>
            <w:r>
              <w:rPr>
                <w:rFonts w:ascii="仿宋_GB2312" w:hAnsi="仿宋_GB2312" w:eastAsia="仿宋_GB2312"/>
                <w:b w:val="0"/>
                <w:color w:val="000000"/>
                <w:sz w:val="32"/>
              </w:rPr>
              <w:t>机遇</w:t>
            </w:r>
          </w:p>
        </w:tc>
        <w:tc>
          <w:tcPr>
            <w:tcW w:type="dxa" w:w="3685"/>
          </w:tcPr>
          <w:p>
            <w:pPr>
              <w:spacing w:lineRule="exact" w:line="600"/>
              <w:jc w:val="center"/>
            </w:pPr>
            <w:r/>
            <w:r>
              <w:rPr>
                <w:rFonts w:ascii="仿宋_GB2312" w:hAnsi="仿宋_GB2312" w:eastAsia="仿宋_GB2312"/>
                <w:b w:val="0"/>
                <w:color w:val="000000"/>
                <w:sz w:val="32"/>
              </w:rPr>
              <w:t>双碳/储能/虚拟电厂</w:t>
            </w:r>
          </w:p>
        </w:tc>
        <w:tc>
          <w:tcPr>
            <w:tcW w:type="dxa" w:w="3118"/>
          </w:tcPr>
          <w:p>
            <w:pPr>
              <w:spacing w:lineRule="exact" w:line="600"/>
              <w:jc w:val="center"/>
            </w:pPr>
            <w:r/>
            <w:r>
              <w:rPr>
                <w:rFonts w:ascii="仿宋_GB2312" w:hAnsi="仿宋_GB2312" w:eastAsia="仿宋_GB2312"/>
                <w:b w:val="0"/>
                <w:color w:val="000000"/>
                <w:sz w:val="32"/>
              </w:rPr>
              <w:t>需求扩张</w:t>
            </w:r>
          </w:p>
        </w:tc>
      </w:tr>
      <w:tr>
        <w:tc>
          <w:tcPr>
            <w:tcW w:type="dxa" w:w="2268"/>
          </w:tcPr>
          <w:p>
            <w:pPr>
              <w:spacing w:lineRule="exact" w:line="600"/>
              <w:jc w:val="center"/>
            </w:pPr>
            <w:r/>
            <w:r>
              <w:rPr>
                <w:rFonts w:ascii="仿宋_GB2312" w:hAnsi="仿宋_GB2312" w:eastAsia="仿宋_GB2312"/>
                <w:b w:val="0"/>
                <w:color w:val="000000"/>
                <w:sz w:val="32"/>
              </w:rPr>
              <w:t>挑战</w:t>
            </w:r>
          </w:p>
        </w:tc>
        <w:tc>
          <w:tcPr>
            <w:tcW w:type="dxa" w:w="3685"/>
          </w:tcPr>
          <w:p>
            <w:pPr>
              <w:spacing w:lineRule="exact" w:line="600"/>
              <w:jc w:val="center"/>
            </w:pPr>
            <w:r/>
            <w:r>
              <w:rPr>
                <w:rFonts w:ascii="仿宋_GB2312" w:hAnsi="仿宋_GB2312" w:eastAsia="仿宋_GB2312"/>
                <w:b w:val="0"/>
                <w:color w:val="000000"/>
                <w:sz w:val="32"/>
              </w:rPr>
              <w:t>标准/模式/数据</w:t>
            </w:r>
          </w:p>
        </w:tc>
        <w:tc>
          <w:tcPr>
            <w:tcW w:type="dxa" w:w="3118"/>
          </w:tcPr>
          <w:p>
            <w:pPr>
              <w:spacing w:lineRule="exact" w:line="600"/>
              <w:jc w:val="center"/>
            </w:pPr>
            <w:r/>
            <w:r>
              <w:rPr>
                <w:rFonts w:ascii="仿宋_GB2312" w:hAnsi="仿宋_GB2312" w:eastAsia="仿宋_GB2312"/>
                <w:b w:val="0"/>
                <w:color w:val="000000"/>
                <w:sz w:val="32"/>
              </w:rPr>
              <w:t>商业化难点</w:t>
            </w:r>
          </w:p>
        </w:tc>
      </w:tr>
      <w:tr>
        <w:tc>
          <w:tcPr>
            <w:tcW w:type="dxa" w:w="2268"/>
          </w:tcPr>
          <w:p>
            <w:pPr>
              <w:spacing w:lineRule="exact" w:line="600"/>
              <w:jc w:val="center"/>
            </w:pPr>
            <w:r/>
            <w:r>
              <w:rPr>
                <w:rFonts w:ascii="仿宋_GB2312" w:hAnsi="仿宋_GB2312" w:eastAsia="仿宋_GB2312"/>
                <w:b w:val="0"/>
                <w:color w:val="000000"/>
                <w:sz w:val="32"/>
              </w:rPr>
              <w:t>风险</w:t>
            </w:r>
          </w:p>
        </w:tc>
        <w:tc>
          <w:tcPr>
            <w:tcW w:type="dxa" w:w="3685"/>
          </w:tcPr>
          <w:p>
            <w:pPr>
              <w:spacing w:lineRule="exact" w:line="600"/>
              <w:jc w:val="center"/>
            </w:pPr>
            <w:r/>
            <w:r>
              <w:rPr>
                <w:rFonts w:ascii="仿宋_GB2312" w:hAnsi="仿宋_GB2312" w:eastAsia="仿宋_GB2312"/>
                <w:b w:val="0"/>
                <w:color w:val="000000"/>
                <w:sz w:val="32"/>
              </w:rPr>
              <w:t>电价/周期/安全</w:t>
            </w:r>
          </w:p>
        </w:tc>
        <w:tc>
          <w:tcPr>
            <w:tcW w:type="dxa" w:w="3118"/>
          </w:tcPr>
          <w:p>
            <w:pPr>
              <w:spacing w:lineRule="exact" w:line="600"/>
              <w:jc w:val="center"/>
            </w:pPr>
            <w:r/>
            <w:r>
              <w:rPr>
                <w:rFonts w:ascii="仿宋_GB2312" w:hAnsi="仿宋_GB2312" w:eastAsia="仿宋_GB2312"/>
                <w:b w:val="0"/>
                <w:color w:val="000000"/>
                <w:sz w:val="32"/>
              </w:rPr>
              <w:t>经营波动</w:t>
            </w:r>
          </w:p>
        </w:tc>
      </w:tr>
      <w:tr>
        <w:tc>
          <w:tcPr>
            <w:tcW w:type="dxa" w:w="2268"/>
          </w:tcPr>
          <w:p>
            <w:pPr>
              <w:spacing w:lineRule="exact" w:line="600"/>
              <w:jc w:val="center"/>
            </w:pPr>
            <w:r/>
            <w:r>
              <w:rPr>
                <w:rFonts w:ascii="仿宋_GB2312" w:hAnsi="仿宋_GB2312" w:eastAsia="仿宋_GB2312"/>
                <w:b w:val="0"/>
                <w:color w:val="000000"/>
                <w:sz w:val="32"/>
              </w:rPr>
              <w:t>对策</w:t>
            </w:r>
          </w:p>
        </w:tc>
        <w:tc>
          <w:tcPr>
            <w:tcW w:type="dxa" w:w="3685"/>
          </w:tcPr>
          <w:p>
            <w:pPr>
              <w:spacing w:lineRule="exact" w:line="600"/>
              <w:jc w:val="center"/>
            </w:pPr>
            <w:r/>
            <w:r>
              <w:rPr>
                <w:rFonts w:ascii="仿宋_GB2312" w:hAnsi="仿宋_GB2312" w:eastAsia="仿宋_GB2312"/>
                <w:b w:val="0"/>
                <w:color w:val="000000"/>
                <w:sz w:val="32"/>
              </w:rPr>
              <w:t>平台+总部+金融</w:t>
            </w:r>
          </w:p>
        </w:tc>
        <w:tc>
          <w:tcPr>
            <w:tcW w:type="dxa" w:w="3118"/>
          </w:tcPr>
          <w:p>
            <w:pPr>
              <w:spacing w:lineRule="exact" w:line="600"/>
              <w:jc w:val="center"/>
            </w:pPr>
            <w:r/>
            <w:r>
              <w:rPr>
                <w:rFonts w:ascii="仿宋_GB2312" w:hAnsi="仿宋_GB2312" w:eastAsia="仿宋_GB2312"/>
                <w:b w:val="0"/>
                <w:color w:val="000000"/>
                <w:sz w:val="32"/>
              </w:rPr>
              <w:t>生态壁垒</w:t>
            </w:r>
          </w:p>
        </w:tc>
      </w:tr>
    </w:tbl>
    <w:p>
      <w:pPr>
        <w:spacing w:lineRule="exact" w:line="600" w:before="120" w:after="120"/>
        <w:ind w:firstLine="420"/>
        <w:jc w:val="left"/>
      </w:pPr>
      <w:r>
        <w:rPr>
          <w:rFonts w:ascii="楷体_GB2312" w:hAnsi="楷体_GB2312" w:eastAsia="楷体_GB2312"/>
          <w:b w:val="0"/>
          <w:color w:val="000000"/>
          <w:sz w:val="32"/>
        </w:rPr>
        <w:t>（七）省级层面机遇、挑战与风险框架参照</w:t>
      </w:r>
    </w:p>
    <w:p>
      <w:pPr>
        <w:spacing w:lineRule="exact" w:line="600" w:before="0" w:after="0"/>
        <w:ind w:firstLine="420"/>
        <w:jc w:val="both"/>
      </w:pPr>
      <w:r>
        <w:rPr>
          <w:rFonts w:ascii="仿宋_GB2312" w:hAnsi="仿宋_GB2312" w:eastAsia="仿宋_GB2312"/>
          <w:b w:val="0"/>
          <w:color w:val="000000"/>
          <w:sz w:val="32"/>
        </w:rPr>
        <w:t>从省级产业环境看，本集群面临三方面宏观态势。机遇：山东省以“链长制”（总链长+链长+链主，19条标志性产业链）推进“融链固链”，绿色低碳高质量发展先行区引导基金规模100亿元、撬动不低于300亿元投资，为升级项目提供资金与场景；省级科技资金2024年145.2亿元、技改专项贷等工具降低创新与技改成本。挑战：双碳约束趋紧，“十四五”期间规模以上工业单位增加值能耗需下降17%左右，重点行业先进产能占比到2027年目标超过60%，节能降碳改造压力大。风险：部分细分领域存在产能过剩与同质化竞争，国际贸易摩擦与原材料价格波动亦对出口型环节形成扰动，需强化产业链韧性与供应链安全。（来源：山东省发展改革委/省工信厅，《先进制造业强省行动计划（2022—2025年）》；省新动能基金/大众日报，2024—2025；省财政厅，2024）（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3685"/>
          </w:tcPr>
          <w:p>
            <w:pPr>
              <w:spacing w:lineRule="exact" w:line="600"/>
              <w:jc w:val="center"/>
            </w:pPr>
            <w:r/>
            <w:r>
              <w:rPr>
                <w:rFonts w:ascii="黑体" w:hAnsi="黑体" w:eastAsia="黑体"/>
                <w:b/>
                <w:color w:val="000000"/>
                <w:sz w:val="32"/>
              </w:rPr>
              <w:t>省级态势</w:t>
            </w:r>
          </w:p>
        </w:tc>
        <w:tc>
          <w:tcPr>
            <w:tcW w:type="dxa" w:w="3118"/>
          </w:tcPr>
          <w:p>
            <w:pPr>
              <w:spacing w:lineRule="exact" w:line="600"/>
              <w:jc w:val="center"/>
            </w:pPr>
            <w:r/>
            <w:r>
              <w:rPr>
                <w:rFonts w:ascii="黑体" w:hAnsi="黑体" w:eastAsia="黑体"/>
                <w:b/>
                <w:color w:val="000000"/>
                <w:sz w:val="32"/>
              </w:rPr>
              <w:t>关键指标/方向</w:t>
            </w:r>
          </w:p>
        </w:tc>
        <w:tc>
          <w:tcPr>
            <w:tcW w:type="dxa" w:w="2551"/>
          </w:tcPr>
          <w:p>
            <w:pPr>
              <w:spacing w:lineRule="exact" w:line="600"/>
              <w:jc w:val="center"/>
            </w:pPr>
            <w:r/>
            <w:r>
              <w:rPr>
                <w:rFonts w:ascii="黑体" w:hAnsi="黑体" w:eastAsia="黑体"/>
                <w:b/>
                <w:color w:val="000000"/>
                <w:sz w:val="32"/>
              </w:rPr>
              <w:t>来源/年份</w:t>
            </w:r>
          </w:p>
        </w:tc>
      </w:tr>
      <w:tr>
        <w:tc>
          <w:tcPr>
            <w:tcW w:type="dxa" w:w="3685"/>
          </w:tcPr>
          <w:p>
            <w:pPr>
              <w:spacing w:lineRule="exact" w:line="600"/>
              <w:jc w:val="center"/>
            </w:pPr>
            <w:r/>
            <w:r>
              <w:rPr>
                <w:rFonts w:ascii="仿宋_GB2312" w:hAnsi="仿宋_GB2312" w:eastAsia="仿宋_GB2312"/>
                <w:b w:val="0"/>
                <w:color w:val="000000"/>
                <w:sz w:val="32"/>
              </w:rPr>
              <w:t>机遇：标志性产业链</w:t>
            </w:r>
          </w:p>
        </w:tc>
        <w:tc>
          <w:tcPr>
            <w:tcW w:type="dxa" w:w="3118"/>
          </w:tcPr>
          <w:p>
            <w:pPr>
              <w:spacing w:lineRule="exact" w:line="600"/>
              <w:jc w:val="center"/>
            </w:pPr>
            <w:r/>
            <w:r>
              <w:rPr>
                <w:rFonts w:ascii="仿宋_GB2312" w:hAnsi="仿宋_GB2312" w:eastAsia="仿宋_GB2312"/>
                <w:b w:val="0"/>
                <w:color w:val="000000"/>
                <w:sz w:val="32"/>
              </w:rPr>
              <w:t>19条（链长制）</w:t>
            </w:r>
          </w:p>
        </w:tc>
        <w:tc>
          <w:tcPr>
            <w:tcW w:type="dxa" w:w="2551"/>
          </w:tcPr>
          <w:p>
            <w:pPr>
              <w:spacing w:lineRule="exact" w:line="600"/>
              <w:jc w:val="center"/>
            </w:pPr>
            <w:r/>
            <w:r>
              <w:rPr>
                <w:rFonts w:ascii="仿宋_GB2312" w:hAnsi="仿宋_GB2312" w:eastAsia="仿宋_GB2312"/>
                <w:b w:val="0"/>
                <w:color w:val="000000"/>
                <w:sz w:val="32"/>
              </w:rPr>
              <w:t>省工信厅，2025</w:t>
            </w:r>
          </w:p>
        </w:tc>
      </w:tr>
      <w:tr>
        <w:tc>
          <w:tcPr>
            <w:tcW w:type="dxa" w:w="3685"/>
          </w:tcPr>
          <w:p>
            <w:pPr>
              <w:spacing w:lineRule="exact" w:line="600"/>
              <w:jc w:val="center"/>
            </w:pPr>
            <w:r/>
            <w:r>
              <w:rPr>
                <w:rFonts w:ascii="仿宋_GB2312" w:hAnsi="仿宋_GB2312" w:eastAsia="仿宋_GB2312"/>
                <w:b w:val="0"/>
                <w:color w:val="000000"/>
                <w:sz w:val="32"/>
              </w:rPr>
              <w:t>机遇：绿色引导基金</w:t>
            </w:r>
          </w:p>
        </w:tc>
        <w:tc>
          <w:tcPr>
            <w:tcW w:type="dxa" w:w="3118"/>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3685"/>
          </w:tcPr>
          <w:p>
            <w:pPr>
              <w:spacing w:lineRule="exact" w:line="600"/>
              <w:jc w:val="center"/>
            </w:pPr>
            <w:r/>
            <w:r>
              <w:rPr>
                <w:rFonts w:ascii="仿宋_GB2312" w:hAnsi="仿宋_GB2312" w:eastAsia="仿宋_GB2312"/>
                <w:b w:val="0"/>
                <w:color w:val="000000"/>
                <w:sz w:val="32"/>
              </w:rPr>
              <w:t>机遇：科技/技改资金</w:t>
            </w:r>
          </w:p>
        </w:tc>
        <w:tc>
          <w:tcPr>
            <w:tcW w:type="dxa" w:w="3118"/>
          </w:tcPr>
          <w:p>
            <w:pPr>
              <w:spacing w:lineRule="exact" w:line="600"/>
              <w:jc w:val="center"/>
            </w:pPr>
            <w:r/>
            <w:r>
              <w:rPr>
                <w:rFonts w:ascii="仿宋_GB2312" w:hAnsi="仿宋_GB2312" w:eastAsia="仿宋_GB2312"/>
                <w:b w:val="0"/>
                <w:color w:val="000000"/>
                <w:sz w:val="32"/>
              </w:rPr>
              <w:t>145.2亿 / 6.25亿元</w:t>
            </w:r>
          </w:p>
        </w:tc>
        <w:tc>
          <w:tcPr>
            <w:tcW w:type="dxa" w:w="2551"/>
          </w:tcPr>
          <w:p>
            <w:pPr>
              <w:spacing w:lineRule="exact" w:line="600"/>
              <w:jc w:val="center"/>
            </w:pPr>
            <w:r/>
            <w:r>
              <w:rPr>
                <w:rFonts w:ascii="仿宋_GB2312" w:hAnsi="仿宋_GB2312" w:eastAsia="仿宋_GB2312"/>
                <w:b w:val="0"/>
                <w:color w:val="000000"/>
                <w:sz w:val="32"/>
              </w:rPr>
              <w:t>省财政厅/发改委，2024-2025</w:t>
            </w:r>
          </w:p>
        </w:tc>
      </w:tr>
      <w:tr>
        <w:tc>
          <w:tcPr>
            <w:tcW w:type="dxa" w:w="3685"/>
          </w:tcPr>
          <w:p>
            <w:pPr>
              <w:spacing w:lineRule="exact" w:line="600"/>
              <w:jc w:val="center"/>
            </w:pPr>
            <w:r/>
            <w:r>
              <w:rPr>
                <w:rFonts w:ascii="仿宋_GB2312" w:hAnsi="仿宋_GB2312" w:eastAsia="仿宋_GB2312"/>
                <w:b w:val="0"/>
                <w:color w:val="000000"/>
                <w:sz w:val="32"/>
              </w:rPr>
              <w:t>挑战：规上工业能耗</w:t>
            </w:r>
          </w:p>
        </w:tc>
        <w:tc>
          <w:tcPr>
            <w:tcW w:type="dxa" w:w="3118"/>
          </w:tcPr>
          <w:p>
            <w:pPr>
              <w:spacing w:lineRule="exact" w:line="600"/>
              <w:jc w:val="center"/>
            </w:pPr>
            <w:r/>
            <w:r>
              <w:rPr>
                <w:rFonts w:ascii="仿宋_GB2312" w:hAnsi="仿宋_GB2312" w:eastAsia="仿宋_GB2312"/>
                <w:b w:val="0"/>
                <w:color w:val="000000"/>
                <w:sz w:val="32"/>
              </w:rPr>
              <w:t>十四五降17%左右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挑战：先进产能占比</w:t>
            </w:r>
          </w:p>
        </w:tc>
        <w:tc>
          <w:tcPr>
            <w:tcW w:type="dxa" w:w="3118"/>
          </w:tcPr>
          <w:p>
            <w:pPr>
              <w:spacing w:lineRule="exact" w:line="600"/>
              <w:jc w:val="center"/>
            </w:pPr>
            <w:r/>
            <w:r>
              <w:rPr>
                <w:rFonts w:ascii="仿宋_GB2312" w:hAnsi="仿宋_GB2312" w:eastAsia="仿宋_GB2312"/>
                <w:b w:val="0"/>
                <w:color w:val="000000"/>
                <w:sz w:val="32"/>
              </w:rPr>
              <w:t>到2027年超过60%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风险：过剩/贸易/价格波动</w:t>
            </w:r>
          </w:p>
        </w:tc>
        <w:tc>
          <w:tcPr>
            <w:tcW w:type="dxa" w:w="3118"/>
          </w:tcPr>
          <w:p>
            <w:pPr>
              <w:spacing w:lineRule="exact" w:line="600"/>
              <w:jc w:val="center"/>
            </w:pPr>
            <w:r/>
            <w:r>
              <w:rPr>
                <w:rFonts w:ascii="仿宋_GB2312" w:hAnsi="仿宋_GB2312" w:eastAsia="仿宋_GB2312"/>
                <w:b w:val="0"/>
                <w:color w:val="000000"/>
                <w:sz w:val="32"/>
              </w:rPr>
              <w:t>需强化产业链韧性</w:t>
            </w:r>
          </w:p>
        </w:tc>
        <w:tc>
          <w:tcPr>
            <w:tcW w:type="dxa" w:w="2551"/>
          </w:tcPr>
          <w:p>
            <w:pPr>
              <w:spacing w:lineRule="exact" w:line="600"/>
              <w:jc w:val="center"/>
            </w:pPr>
            <w:r/>
            <w:r>
              <w:rPr>
                <w:rFonts w:ascii="仿宋_GB2312" w:hAnsi="仿宋_GB2312" w:eastAsia="仿宋_GB2312"/>
                <w:b w:val="0"/>
                <w:color w:val="000000"/>
                <w:sz w:val="32"/>
              </w:rPr>
              <w:t>行业共性研判</w:t>
            </w:r>
          </w:p>
        </w:tc>
      </w:tr>
    </w:tbl>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120" w:after="120"/>
        <w:ind w:firstLine="420"/>
        <w:jc w:val="left"/>
      </w:pPr>
      <w:r>
        <w:rPr>
          <w:rFonts w:ascii="楷体_GB2312" w:hAnsi="楷体_GB2312" w:eastAsia="楷体_GB2312"/>
          <w:b w:val="0"/>
          <w:color w:val="000000"/>
          <w:sz w:val="32"/>
        </w:rPr>
        <w:t>（一）虚拟电厂规模化</w:t>
      </w:r>
    </w:p>
    <w:p>
      <w:pPr>
        <w:spacing w:lineRule="exact" w:line="600" w:before="0" w:after="0"/>
        <w:ind w:firstLine="420"/>
        <w:jc w:val="both"/>
      </w:pPr>
      <w:r>
        <w:rPr>
          <w:rFonts w:ascii="仿宋_GB2312" w:hAnsi="仿宋_GB2312" w:eastAsia="仿宋_GB2312"/>
          <w:b w:val="0"/>
          <w:color w:val="000000"/>
          <w:sz w:val="32"/>
        </w:rPr>
        <w:t>以未来集团源网荷储体系聚合光伏风电，开展虚拟电厂与分布式储能示范，参与需求响应（来源：济南市科技局、2026政府工作报告，2025—2026）。</w:t>
      </w:r>
    </w:p>
    <w:p>
      <w:pPr>
        <w:spacing w:lineRule="exact" w:line="600" w:before="120" w:after="120"/>
        <w:ind w:firstLine="420"/>
        <w:jc w:val="left"/>
      </w:pPr>
      <w:r>
        <w:rPr>
          <w:rFonts w:ascii="楷体_GB2312" w:hAnsi="楷体_GB2312" w:eastAsia="楷体_GB2312"/>
          <w:b w:val="0"/>
          <w:color w:val="000000"/>
          <w:sz w:val="32"/>
        </w:rPr>
        <w:t>（二）低碳园区示范</w:t>
      </w:r>
    </w:p>
    <w:p>
      <w:pPr>
        <w:spacing w:lineRule="exact" w:line="600" w:before="0" w:after="0"/>
        <w:ind w:firstLine="420"/>
        <w:jc w:val="both"/>
      </w:pPr>
      <w:r>
        <w:rPr>
          <w:rFonts w:ascii="仿宋_GB2312" w:hAnsi="仿宋_GB2312" w:eastAsia="仿宋_GB2312"/>
          <w:b w:val="0"/>
          <w:color w:val="000000"/>
          <w:sz w:val="32"/>
        </w:rPr>
        <w:t>推进大学科技园、科创大厦与未来云谷光储直柔应用，打造绿色园区样板，年供绿电550万kWh（来源：市中区工信局、济南市工信局，2024）。</w:t>
      </w:r>
    </w:p>
    <w:p>
      <w:pPr>
        <w:spacing w:lineRule="exact" w:line="600" w:before="120" w:after="120"/>
        <w:ind w:firstLine="420"/>
        <w:jc w:val="left"/>
      </w:pPr>
      <w:r>
        <w:rPr>
          <w:rFonts w:ascii="楷体_GB2312" w:hAnsi="楷体_GB2312" w:eastAsia="楷体_GB2312"/>
          <w:b w:val="0"/>
          <w:color w:val="000000"/>
          <w:sz w:val="32"/>
        </w:rPr>
        <w:t>（三）生态协同</w:t>
      </w:r>
    </w:p>
    <w:p>
      <w:pPr>
        <w:spacing w:lineRule="exact" w:line="600" w:before="0" w:after="0"/>
        <w:ind w:firstLine="420"/>
        <w:jc w:val="both"/>
      </w:pPr>
      <w:r>
        <w:rPr>
          <w:rFonts w:ascii="仿宋_GB2312" w:hAnsi="仿宋_GB2312" w:eastAsia="仿宋_GB2312"/>
          <w:b w:val="0"/>
          <w:color w:val="000000"/>
          <w:sz w:val="32"/>
        </w:rPr>
        <w:t>以国网链主带动综合能源服务企业，火石平台赋能节能，目标能源互联网380亿集群（来源：市中区工信局、2026政府工作报告，2024—2026）。</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路径</w:t>
            </w:r>
          </w:p>
        </w:tc>
        <w:tc>
          <w:tcPr>
            <w:tcW w:type="dxa" w:w="3685"/>
          </w:tcPr>
          <w:p>
            <w:pPr>
              <w:spacing w:lineRule="exact" w:line="600"/>
              <w:jc w:val="center"/>
            </w:pPr>
            <w:r/>
            <w:r>
              <w:rPr>
                <w:rFonts w:ascii="黑体" w:hAnsi="黑体" w:eastAsia="黑体"/>
                <w:b/>
                <w:color w:val="000000"/>
                <w:sz w:val="32"/>
              </w:rPr>
              <w:t>举措</w:t>
            </w:r>
          </w:p>
        </w:tc>
        <w:tc>
          <w:tcPr>
            <w:tcW w:type="dxa" w:w="3118"/>
          </w:tcPr>
          <w:p>
            <w:pPr>
              <w:spacing w:lineRule="exact" w:line="600"/>
              <w:jc w:val="center"/>
            </w:pPr>
            <w:r/>
            <w:r>
              <w:rPr>
                <w:rFonts w:ascii="黑体" w:hAnsi="黑体" w:eastAsia="黑体"/>
                <w:b/>
                <w:color w:val="000000"/>
                <w:sz w:val="32"/>
              </w:rPr>
              <w:t>成效</w:t>
            </w:r>
          </w:p>
        </w:tc>
      </w:tr>
      <w:tr>
        <w:tc>
          <w:tcPr>
            <w:tcW w:type="dxa" w:w="2268"/>
          </w:tcPr>
          <w:p>
            <w:pPr>
              <w:spacing w:lineRule="exact" w:line="600"/>
              <w:jc w:val="center"/>
            </w:pPr>
            <w:r/>
            <w:r>
              <w:rPr>
                <w:rFonts w:ascii="仿宋_GB2312" w:hAnsi="仿宋_GB2312" w:eastAsia="仿宋_GB2312"/>
                <w:b w:val="0"/>
                <w:color w:val="000000"/>
                <w:sz w:val="32"/>
              </w:rPr>
              <w:t>虚拟电厂</w:t>
            </w:r>
          </w:p>
        </w:tc>
        <w:tc>
          <w:tcPr>
            <w:tcW w:type="dxa" w:w="3685"/>
          </w:tcPr>
          <w:p>
            <w:pPr>
              <w:spacing w:lineRule="exact" w:line="600"/>
              <w:jc w:val="center"/>
            </w:pPr>
            <w:r/>
            <w:r>
              <w:rPr>
                <w:rFonts w:ascii="仿宋_GB2312" w:hAnsi="仿宋_GB2312" w:eastAsia="仿宋_GB2312"/>
                <w:b w:val="0"/>
                <w:color w:val="000000"/>
                <w:sz w:val="32"/>
              </w:rPr>
              <w:t>源网荷储</w:t>
            </w:r>
          </w:p>
        </w:tc>
        <w:tc>
          <w:tcPr>
            <w:tcW w:type="dxa" w:w="3118"/>
          </w:tcPr>
          <w:p>
            <w:pPr>
              <w:spacing w:lineRule="exact" w:line="600"/>
              <w:jc w:val="center"/>
            </w:pPr>
            <w:r/>
            <w:r>
              <w:rPr>
                <w:rFonts w:ascii="仿宋_GB2312" w:hAnsi="仿宋_GB2312" w:eastAsia="仿宋_GB2312"/>
                <w:b w:val="0"/>
                <w:color w:val="000000"/>
                <w:sz w:val="32"/>
              </w:rPr>
              <w:t>需求响应</w:t>
            </w:r>
          </w:p>
        </w:tc>
      </w:tr>
      <w:tr>
        <w:tc>
          <w:tcPr>
            <w:tcW w:type="dxa" w:w="2268"/>
          </w:tcPr>
          <w:p>
            <w:pPr>
              <w:spacing w:lineRule="exact" w:line="600"/>
              <w:jc w:val="center"/>
            </w:pPr>
            <w:r/>
            <w:r>
              <w:rPr>
                <w:rFonts w:ascii="仿宋_GB2312" w:hAnsi="仿宋_GB2312" w:eastAsia="仿宋_GB2312"/>
                <w:b w:val="0"/>
                <w:color w:val="000000"/>
                <w:sz w:val="32"/>
              </w:rPr>
              <w:t>低碳园区</w:t>
            </w:r>
          </w:p>
        </w:tc>
        <w:tc>
          <w:tcPr>
            <w:tcW w:type="dxa" w:w="3685"/>
          </w:tcPr>
          <w:p>
            <w:pPr>
              <w:spacing w:lineRule="exact" w:line="600"/>
              <w:jc w:val="center"/>
            </w:pPr>
            <w:r/>
            <w:r>
              <w:rPr>
                <w:rFonts w:ascii="仿宋_GB2312" w:hAnsi="仿宋_GB2312" w:eastAsia="仿宋_GB2312"/>
                <w:b w:val="0"/>
                <w:color w:val="000000"/>
                <w:sz w:val="32"/>
              </w:rPr>
              <w:t>光储直柔</w:t>
            </w:r>
          </w:p>
        </w:tc>
        <w:tc>
          <w:tcPr>
            <w:tcW w:type="dxa" w:w="3118"/>
          </w:tcPr>
          <w:p>
            <w:pPr>
              <w:spacing w:lineRule="exact" w:line="600"/>
              <w:jc w:val="center"/>
            </w:pPr>
            <w:r/>
            <w:r>
              <w:rPr>
                <w:rFonts w:ascii="仿宋_GB2312" w:hAnsi="仿宋_GB2312" w:eastAsia="仿宋_GB2312"/>
                <w:b w:val="0"/>
                <w:color w:val="000000"/>
                <w:sz w:val="32"/>
              </w:rPr>
              <w:t>550万kWh绿电</w:t>
            </w:r>
          </w:p>
        </w:tc>
      </w:tr>
      <w:tr>
        <w:tc>
          <w:tcPr>
            <w:tcW w:type="dxa" w:w="2268"/>
          </w:tcPr>
          <w:p>
            <w:pPr>
              <w:spacing w:lineRule="exact" w:line="600"/>
              <w:jc w:val="center"/>
            </w:pPr>
            <w:r/>
            <w:r>
              <w:rPr>
                <w:rFonts w:ascii="仿宋_GB2312" w:hAnsi="仿宋_GB2312" w:eastAsia="仿宋_GB2312"/>
                <w:b w:val="0"/>
                <w:color w:val="000000"/>
                <w:sz w:val="32"/>
              </w:rPr>
              <w:t>生态</w:t>
            </w:r>
          </w:p>
        </w:tc>
        <w:tc>
          <w:tcPr>
            <w:tcW w:type="dxa" w:w="3685"/>
          </w:tcPr>
          <w:p>
            <w:pPr>
              <w:spacing w:lineRule="exact" w:line="600"/>
              <w:jc w:val="center"/>
            </w:pPr>
            <w:r/>
            <w:r>
              <w:rPr>
                <w:rFonts w:ascii="仿宋_GB2312" w:hAnsi="仿宋_GB2312" w:eastAsia="仿宋_GB2312"/>
                <w:b w:val="0"/>
                <w:color w:val="000000"/>
                <w:sz w:val="32"/>
              </w:rPr>
              <w:t>国网+火石</w:t>
            </w:r>
          </w:p>
        </w:tc>
        <w:tc>
          <w:tcPr>
            <w:tcW w:type="dxa" w:w="3118"/>
          </w:tcPr>
          <w:p>
            <w:pPr>
              <w:spacing w:lineRule="exact" w:line="600"/>
              <w:jc w:val="center"/>
            </w:pPr>
            <w:r/>
            <w:r>
              <w:rPr>
                <w:rFonts w:ascii="仿宋_GB2312" w:hAnsi="仿宋_GB2312" w:eastAsia="仿宋_GB2312"/>
                <w:b w:val="0"/>
                <w:color w:val="000000"/>
                <w:sz w:val="32"/>
              </w:rPr>
              <w:t>380亿目标</w:t>
            </w:r>
          </w:p>
        </w:tc>
      </w:tr>
      <w:tr>
        <w:tc>
          <w:tcPr>
            <w:tcW w:type="dxa" w:w="2268"/>
          </w:tcPr>
          <w:p>
            <w:pPr>
              <w:spacing w:lineRule="exact" w:line="600"/>
              <w:jc w:val="center"/>
            </w:pPr>
            <w:r/>
            <w:r>
              <w:rPr>
                <w:rFonts w:ascii="仿宋_GB2312" w:hAnsi="仿宋_GB2312" w:eastAsia="仿宋_GB2312"/>
                <w:b w:val="0"/>
                <w:color w:val="000000"/>
                <w:sz w:val="32"/>
              </w:rPr>
              <w:t>城市</w:t>
            </w:r>
          </w:p>
        </w:tc>
        <w:tc>
          <w:tcPr>
            <w:tcW w:type="dxa" w:w="3685"/>
          </w:tcPr>
          <w:p>
            <w:pPr>
              <w:spacing w:lineRule="exact" w:line="600"/>
              <w:jc w:val="center"/>
            </w:pPr>
            <w:r/>
            <w:r>
              <w:rPr>
                <w:rFonts w:ascii="仿宋_GB2312" w:hAnsi="仿宋_GB2312" w:eastAsia="仿宋_GB2312"/>
                <w:b w:val="0"/>
                <w:color w:val="000000"/>
                <w:sz w:val="32"/>
              </w:rPr>
              <w:t>储能示范</w:t>
            </w:r>
          </w:p>
        </w:tc>
        <w:tc>
          <w:tcPr>
            <w:tcW w:type="dxa" w:w="3118"/>
          </w:tcPr>
          <w:p>
            <w:pPr>
              <w:spacing w:lineRule="exact" w:line="600"/>
              <w:jc w:val="center"/>
            </w:pPr>
            <w:r/>
            <w:r>
              <w:rPr>
                <w:rFonts w:ascii="仿宋_GB2312" w:hAnsi="仿宋_GB2312" w:eastAsia="仿宋_GB2312"/>
                <w:b w:val="0"/>
                <w:color w:val="000000"/>
                <w:sz w:val="32"/>
              </w:rPr>
              <w:t>2026目标</w:t>
            </w:r>
          </w:p>
        </w:tc>
      </w:tr>
    </w:tbl>
    <w:p>
      <w:pPr>
        <w:spacing w:lineRule="exact" w:line="600" w:before="120" w:after="120"/>
        <w:ind w:firstLine="420"/>
        <w:jc w:val="left"/>
      </w:pPr>
      <w:r>
        <w:rPr>
          <w:rFonts w:ascii="楷体_GB2312" w:hAnsi="楷体_GB2312" w:eastAsia="楷体_GB2312"/>
          <w:b w:val="0"/>
          <w:color w:val="000000"/>
          <w:sz w:val="32"/>
        </w:rPr>
        <w:t>（八）省级制造业升级政策框架参照</w:t>
      </w:r>
    </w:p>
    <w:p>
      <w:pPr>
        <w:spacing w:lineRule="exact" w:line="600" w:before="0" w:after="0"/>
        <w:ind w:firstLine="420"/>
        <w:jc w:val="both"/>
      </w:pPr>
      <w:r>
        <w:rPr>
          <w:rFonts w:ascii="仿宋_GB2312" w:hAnsi="仿宋_GB2312" w:eastAsia="仿宋_GB2312"/>
          <w:b w:val="0"/>
          <w:color w:val="000000"/>
          <w:sz w:val="32"/>
        </w:rPr>
        <w:t>从省级层面看，山东省以“链长制”（总链长+链长+链主，19条标志性产业链）系统推进制造业升级。《先进制造业强省行动计划（2022—2025年）》明确，到2025年培育专精特新中小企业1万家左右、制造业单项冠军企业1000家左右、产业生态主导型“链主”企业200家左右，打造11条左右标志性产业链；力争到2027年重点行业先进产能占比超过60%，“十四五”期间规模以上工业单位增加值能耗下降17%左右。省财政安排技术改造资金6.25亿元，综合运用“技改专项贷”、设备更新补贴、技改股权投资等政策工具，对符合条件的企业给予最高2000万元贷款贴息、最高500万元设备更新补贴。（来源：山东省发展改革委、省工信厅，《先进制造业强省行动计划（2022—2025年）》《山东省“十四五”制造强省建设规划》，2022—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省级升级指标</w:t>
            </w:r>
          </w:p>
        </w:tc>
        <w:tc>
          <w:tcPr>
            <w:tcW w:type="dxa" w:w="2551"/>
          </w:tcPr>
          <w:p>
            <w:pPr>
              <w:spacing w:lineRule="exact" w:line="600"/>
              <w:jc w:val="center"/>
            </w:pPr>
            <w:r/>
            <w:r>
              <w:rPr>
                <w:rFonts w:ascii="黑体" w:hAnsi="黑体" w:eastAsia="黑体"/>
                <w:b/>
                <w:color w:val="000000"/>
                <w:sz w:val="32"/>
              </w:rPr>
              <w:t>目标/规模</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制造业单项冠军企业（到2025）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标志性产业链</w:t>
            </w:r>
          </w:p>
        </w:tc>
        <w:tc>
          <w:tcPr>
            <w:tcW w:type="dxa" w:w="2551"/>
          </w:tcPr>
          <w:p>
            <w:pPr>
              <w:spacing w:lineRule="exact" w:line="600"/>
              <w:jc w:val="center"/>
            </w:pPr>
            <w:r/>
            <w:r>
              <w:rPr>
                <w:rFonts w:ascii="仿宋_GB2312" w:hAnsi="仿宋_GB2312" w:eastAsia="仿宋_GB2312"/>
                <w:b w:val="0"/>
                <w:color w:val="000000"/>
                <w:sz w:val="32"/>
              </w:rPr>
              <w:t>11条左右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重点行业先进产能占比（到2027）</w:t>
            </w:r>
          </w:p>
        </w:tc>
        <w:tc>
          <w:tcPr>
            <w:tcW w:type="dxa" w:w="2551"/>
          </w:tcPr>
          <w:p>
            <w:pPr>
              <w:spacing w:lineRule="exact" w:line="600"/>
              <w:jc w:val="center"/>
            </w:pPr>
            <w:r/>
            <w:r>
              <w:rPr>
                <w:rFonts w:ascii="仿宋_GB2312" w:hAnsi="仿宋_GB2312" w:eastAsia="仿宋_GB2312"/>
                <w:b w:val="0"/>
                <w:color w:val="000000"/>
                <w:sz w:val="32"/>
              </w:rPr>
              <w:t>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规上工业单位增加值能耗（十四五）</w:t>
            </w:r>
          </w:p>
        </w:tc>
        <w:tc>
          <w:tcPr>
            <w:tcW w:type="dxa" w:w="2551"/>
          </w:tcPr>
          <w:p>
            <w:pPr>
              <w:spacing w:lineRule="exact" w:line="600"/>
              <w:jc w:val="center"/>
            </w:pPr>
            <w:r/>
            <w:r>
              <w:rPr>
                <w:rFonts w:ascii="仿宋_GB2312" w:hAnsi="仿宋_GB2312" w:eastAsia="仿宋_GB2312"/>
                <w:b w:val="0"/>
                <w:color w:val="000000"/>
                <w:sz w:val="32"/>
              </w:rPr>
              <w:t>下降17%左右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120" w:after="120"/>
        <w:ind w:firstLine="420"/>
        <w:jc w:val="left"/>
      </w:pPr>
      <w:r>
        <w:rPr>
          <w:rFonts w:ascii="楷体_GB2312" w:hAnsi="楷体_GB2312" w:eastAsia="楷体_GB2312"/>
          <w:b w:val="0"/>
          <w:color w:val="000000"/>
          <w:sz w:val="32"/>
        </w:rPr>
        <w:t>（一）储能与虚拟电厂</w:t>
      </w:r>
    </w:p>
    <w:p>
      <w:pPr>
        <w:spacing w:lineRule="exact" w:line="600" w:before="0" w:after="0"/>
        <w:ind w:firstLine="420"/>
        <w:jc w:val="both"/>
      </w:pPr>
      <w:r>
        <w:rPr>
          <w:rFonts w:ascii="仿宋_GB2312" w:hAnsi="仿宋_GB2312" w:eastAsia="仿宋_GB2312"/>
          <w:b w:val="0"/>
          <w:color w:val="000000"/>
          <w:sz w:val="32"/>
        </w:rPr>
        <w:t>分布式储能、虚拟电厂与源网荷储体系建设需项目融资、绿色信贷与容量补偿机制（来源：行业共性研判、2026政府工作报告，2026）。</w:t>
      </w:r>
    </w:p>
    <w:p>
      <w:pPr>
        <w:spacing w:lineRule="exact" w:line="600" w:before="120" w:after="120"/>
        <w:ind w:firstLine="420"/>
        <w:jc w:val="left"/>
      </w:pPr>
      <w:r>
        <w:rPr>
          <w:rFonts w:ascii="楷体_GB2312" w:hAnsi="楷体_GB2312" w:eastAsia="楷体_GB2312"/>
          <w:b w:val="0"/>
          <w:color w:val="000000"/>
          <w:sz w:val="32"/>
        </w:rPr>
        <w:t>（二）低碳园区基建</w:t>
      </w:r>
    </w:p>
    <w:p>
      <w:pPr>
        <w:spacing w:lineRule="exact" w:line="600" w:before="0" w:after="0"/>
        <w:ind w:firstLine="420"/>
        <w:jc w:val="both"/>
      </w:pPr>
      <w:r>
        <w:rPr>
          <w:rFonts w:ascii="仿宋_GB2312" w:hAnsi="仿宋_GB2312" w:eastAsia="仿宋_GB2312"/>
          <w:b w:val="0"/>
          <w:color w:val="000000"/>
          <w:sz w:val="32"/>
        </w:rPr>
        <w:t>光储直柔综合能源中心、光伏屋顶/车棚等园区基建需能源基建融资与绿电专项（来源：济南市工信局、市中区工信局，2024）。</w:t>
      </w:r>
    </w:p>
    <w:p>
      <w:pPr>
        <w:spacing w:lineRule="exact" w:line="600" w:before="120" w:after="120"/>
        <w:ind w:firstLine="420"/>
        <w:jc w:val="left"/>
      </w:pPr>
      <w:r>
        <w:rPr>
          <w:rFonts w:ascii="楷体_GB2312" w:hAnsi="楷体_GB2312" w:eastAsia="楷体_GB2312"/>
          <w:b w:val="0"/>
          <w:color w:val="000000"/>
          <w:sz w:val="32"/>
        </w:rPr>
        <w:t>（三）平台与招商</w:t>
      </w:r>
    </w:p>
    <w:p>
      <w:pPr>
        <w:spacing w:lineRule="exact" w:line="600" w:before="0" w:after="0"/>
        <w:ind w:firstLine="420"/>
        <w:jc w:val="both"/>
      </w:pPr>
      <w:r>
        <w:rPr>
          <w:rFonts w:ascii="仿宋_GB2312" w:hAnsi="仿宋_GB2312" w:eastAsia="仿宋_GB2312"/>
          <w:b w:val="0"/>
          <w:color w:val="000000"/>
          <w:sz w:val="32"/>
        </w:rPr>
        <w:t>综合能源服务平台、能建数科华东总部等引入需产业基金、创投与政策性担保，撬动1800亿基金（来源：市中区能源互联网报道，2024）。</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融资方向</w:t>
            </w:r>
          </w:p>
        </w:tc>
        <w:tc>
          <w:tcPr>
            <w:tcW w:type="dxa" w:w="3118"/>
          </w:tcPr>
          <w:p>
            <w:pPr>
              <w:spacing w:lineRule="exact" w:line="600"/>
              <w:jc w:val="center"/>
            </w:pPr>
            <w:r/>
            <w:r>
              <w:rPr>
                <w:rFonts w:ascii="黑体" w:hAnsi="黑体" w:eastAsia="黑体"/>
                <w:b/>
                <w:color w:val="000000"/>
                <w:sz w:val="32"/>
              </w:rPr>
              <w:t>规模/需求</w:t>
            </w:r>
          </w:p>
        </w:tc>
        <w:tc>
          <w:tcPr>
            <w:tcW w:type="dxa" w:w="3402"/>
          </w:tcPr>
          <w:p>
            <w:pPr>
              <w:spacing w:lineRule="exact" w:line="600"/>
              <w:jc w:val="center"/>
            </w:pPr>
            <w:r/>
            <w:r>
              <w:rPr>
                <w:rFonts w:ascii="黑体" w:hAnsi="黑体" w:eastAsia="黑体"/>
                <w:b/>
                <w:color w:val="000000"/>
                <w:sz w:val="32"/>
              </w:rPr>
              <w:t>方式</w:t>
            </w:r>
          </w:p>
        </w:tc>
      </w:tr>
      <w:tr>
        <w:tc>
          <w:tcPr>
            <w:tcW w:type="dxa" w:w="2551"/>
          </w:tcPr>
          <w:p>
            <w:pPr>
              <w:spacing w:lineRule="exact" w:line="600"/>
              <w:jc w:val="center"/>
            </w:pPr>
            <w:r/>
            <w:r>
              <w:rPr>
                <w:rFonts w:ascii="仿宋_GB2312" w:hAnsi="仿宋_GB2312" w:eastAsia="仿宋_GB2312"/>
                <w:b w:val="0"/>
                <w:color w:val="000000"/>
                <w:sz w:val="32"/>
              </w:rPr>
              <w:t>储能/虚拟电厂</w:t>
            </w:r>
          </w:p>
        </w:tc>
        <w:tc>
          <w:tcPr>
            <w:tcW w:type="dxa" w:w="3118"/>
          </w:tcPr>
          <w:p>
            <w:pPr>
              <w:spacing w:lineRule="exact" w:line="600"/>
              <w:jc w:val="center"/>
            </w:pPr>
            <w:r/>
            <w:r>
              <w:rPr>
                <w:rFonts w:ascii="仿宋_GB2312" w:hAnsi="仿宋_GB2312" w:eastAsia="仿宋_GB2312"/>
                <w:b w:val="0"/>
                <w:color w:val="000000"/>
                <w:sz w:val="32"/>
              </w:rPr>
              <w:t>示范城市</w:t>
            </w:r>
          </w:p>
        </w:tc>
        <w:tc>
          <w:tcPr>
            <w:tcW w:type="dxa" w:w="3402"/>
          </w:tcPr>
          <w:p>
            <w:pPr>
              <w:spacing w:lineRule="exact" w:line="600"/>
              <w:jc w:val="center"/>
            </w:pPr>
            <w:r/>
            <w:r>
              <w:rPr>
                <w:rFonts w:ascii="仿宋_GB2312" w:hAnsi="仿宋_GB2312" w:eastAsia="仿宋_GB2312"/>
                <w:b w:val="0"/>
                <w:color w:val="000000"/>
                <w:sz w:val="32"/>
              </w:rPr>
              <w:t>绿贷/项目融资</w:t>
            </w:r>
          </w:p>
        </w:tc>
      </w:tr>
      <w:tr>
        <w:tc>
          <w:tcPr>
            <w:tcW w:type="dxa" w:w="2551"/>
          </w:tcPr>
          <w:p>
            <w:pPr>
              <w:spacing w:lineRule="exact" w:line="600"/>
              <w:jc w:val="center"/>
            </w:pPr>
            <w:r/>
            <w:r>
              <w:rPr>
                <w:rFonts w:ascii="仿宋_GB2312" w:hAnsi="仿宋_GB2312" w:eastAsia="仿宋_GB2312"/>
                <w:b w:val="0"/>
                <w:color w:val="000000"/>
                <w:sz w:val="32"/>
              </w:rPr>
              <w:t>光储直柔</w:t>
            </w:r>
          </w:p>
        </w:tc>
        <w:tc>
          <w:tcPr>
            <w:tcW w:type="dxa" w:w="3118"/>
          </w:tcPr>
          <w:p>
            <w:pPr>
              <w:spacing w:lineRule="exact" w:line="600"/>
              <w:jc w:val="center"/>
            </w:pPr>
            <w:r/>
            <w:r>
              <w:rPr>
                <w:rFonts w:ascii="仿宋_GB2312" w:hAnsi="仿宋_GB2312" w:eastAsia="仿宋_GB2312"/>
                <w:b w:val="0"/>
                <w:color w:val="000000"/>
                <w:sz w:val="32"/>
              </w:rPr>
              <w:t>550万kWh绿电</w:t>
            </w:r>
          </w:p>
        </w:tc>
        <w:tc>
          <w:tcPr>
            <w:tcW w:type="dxa" w:w="3402"/>
          </w:tcPr>
          <w:p>
            <w:pPr>
              <w:spacing w:lineRule="exact" w:line="600"/>
              <w:jc w:val="center"/>
            </w:pPr>
            <w:r/>
            <w:r>
              <w:rPr>
                <w:rFonts w:ascii="仿宋_GB2312" w:hAnsi="仿宋_GB2312" w:eastAsia="仿宋_GB2312"/>
                <w:b w:val="0"/>
                <w:color w:val="000000"/>
                <w:sz w:val="32"/>
              </w:rPr>
              <w:t>能源基建</w:t>
            </w:r>
          </w:p>
        </w:tc>
      </w:tr>
      <w:tr>
        <w:tc>
          <w:tcPr>
            <w:tcW w:type="dxa" w:w="2551"/>
          </w:tcPr>
          <w:p>
            <w:pPr>
              <w:spacing w:lineRule="exact" w:line="600"/>
              <w:jc w:val="center"/>
            </w:pPr>
            <w:r/>
            <w:r>
              <w:rPr>
                <w:rFonts w:ascii="仿宋_GB2312" w:hAnsi="仿宋_GB2312" w:eastAsia="仿宋_GB2312"/>
                <w:b w:val="0"/>
                <w:color w:val="000000"/>
                <w:sz w:val="32"/>
              </w:rPr>
              <w:t>平台</w:t>
            </w:r>
          </w:p>
        </w:tc>
        <w:tc>
          <w:tcPr>
            <w:tcW w:type="dxa" w:w="3118"/>
          </w:tcPr>
          <w:p>
            <w:pPr>
              <w:spacing w:lineRule="exact" w:line="600"/>
              <w:jc w:val="center"/>
            </w:pPr>
            <w:r/>
            <w:r>
              <w:rPr>
                <w:rFonts w:ascii="仿宋_GB2312" w:hAnsi="仿宋_GB2312" w:eastAsia="仿宋_GB2312"/>
                <w:b w:val="0"/>
                <w:color w:val="000000"/>
                <w:sz w:val="32"/>
              </w:rPr>
              <w:t>综合能源</w:t>
            </w:r>
          </w:p>
        </w:tc>
        <w:tc>
          <w:tcPr>
            <w:tcW w:type="dxa" w:w="3402"/>
          </w:tcPr>
          <w:p>
            <w:pPr>
              <w:spacing w:lineRule="exact" w:line="600"/>
              <w:jc w:val="center"/>
            </w:pPr>
            <w:r/>
            <w:r>
              <w:rPr>
                <w:rFonts w:ascii="仿宋_GB2312" w:hAnsi="仿宋_GB2312" w:eastAsia="仿宋_GB2312"/>
                <w:b w:val="0"/>
                <w:color w:val="000000"/>
                <w:sz w:val="32"/>
              </w:rPr>
              <w:t>产业基金</w:t>
            </w:r>
          </w:p>
        </w:tc>
      </w:tr>
      <w:tr>
        <w:tc>
          <w:tcPr>
            <w:tcW w:type="dxa" w:w="2551"/>
          </w:tcPr>
          <w:p>
            <w:pPr>
              <w:spacing w:lineRule="exact" w:line="600"/>
              <w:jc w:val="center"/>
            </w:pPr>
            <w:r/>
            <w:r>
              <w:rPr>
                <w:rFonts w:ascii="仿宋_GB2312" w:hAnsi="仿宋_GB2312" w:eastAsia="仿宋_GB2312"/>
                <w:b w:val="0"/>
                <w:color w:val="000000"/>
                <w:sz w:val="32"/>
              </w:rPr>
              <w:t>招商</w:t>
            </w:r>
          </w:p>
        </w:tc>
        <w:tc>
          <w:tcPr>
            <w:tcW w:type="dxa" w:w="3118"/>
          </w:tcPr>
          <w:p>
            <w:pPr>
              <w:spacing w:lineRule="exact" w:line="600"/>
              <w:jc w:val="center"/>
            </w:pPr>
            <w:r/>
            <w:r>
              <w:rPr>
                <w:rFonts w:ascii="仿宋_GB2312" w:hAnsi="仿宋_GB2312" w:eastAsia="仿宋_GB2312"/>
                <w:b w:val="0"/>
                <w:color w:val="000000"/>
                <w:sz w:val="32"/>
              </w:rPr>
              <w:t>生态企业</w:t>
            </w:r>
          </w:p>
        </w:tc>
        <w:tc>
          <w:tcPr>
            <w:tcW w:type="dxa" w:w="3402"/>
          </w:tcPr>
          <w:p>
            <w:pPr>
              <w:spacing w:lineRule="exact" w:line="600"/>
              <w:jc w:val="center"/>
            </w:pPr>
            <w:r/>
            <w:r>
              <w:rPr>
                <w:rFonts w:ascii="仿宋_GB2312" w:hAnsi="仿宋_GB2312" w:eastAsia="仿宋_GB2312"/>
                <w:b w:val="0"/>
                <w:color w:val="000000"/>
                <w:sz w:val="32"/>
              </w:rPr>
              <w:t>创投/担保</w:t>
            </w:r>
          </w:p>
        </w:tc>
      </w:tr>
    </w:tbl>
    <w:p>
      <w:pPr>
        <w:spacing w:lineRule="exact" w:line="600" w:before="120" w:after="120"/>
        <w:ind w:firstLine="420"/>
        <w:jc w:val="left"/>
      </w:pPr>
      <w:r>
        <w:rPr>
          <w:rFonts w:ascii="楷体_GB2312" w:hAnsi="楷体_GB2312" w:eastAsia="楷体_GB2312"/>
          <w:b w:val="0"/>
          <w:color w:val="000000"/>
          <w:sz w:val="32"/>
        </w:rPr>
        <w:t>（九）省级产业投融资工具参照</w:t>
      </w:r>
    </w:p>
    <w:p>
      <w:pPr>
        <w:spacing w:lineRule="exact" w:line="600" w:before="0" w:after="0"/>
        <w:ind w:firstLine="420"/>
        <w:jc w:val="both"/>
      </w:pPr>
      <w:r>
        <w:rPr>
          <w:rFonts w:ascii="仿宋_GB2312" w:hAnsi="仿宋_GB2312" w:eastAsia="仿宋_GB2312"/>
          <w:b w:val="0"/>
          <w:color w:val="000000"/>
          <w:sz w:val="32"/>
        </w:rPr>
        <w:t>从省级产业投融资体系看，山东省已构建多层次资金支持工具。2024年12月，规模100亿元的省级绿色低碳高质量发展先行区建设引导基金完成注册，通过子基金和直接投资撬动不低于300亿元投资规模；省新旧动能转换基金累计投资“十强”产业项目1300多个、金额约1300亿元，带动社会资本投融资超5000亿元，其中绿色低碳相关项目355个、带动社会资本投资1824亿元。省级科技资金2024年达145.2亿元；人民银行济南分行每年安排再贷款专项额度100亿元扩大绿色信贷供给。对企业端，“技改专项贷”与设备更新补贴可对符合条件的项目给予最高2000万元贷款贴息、最高500万元设备更新补贴。（来源：山东省新动能基金管理有限公司/大众日报，2024—2025；山东省财政厅，2024；省发展改革委，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省级金融工具</w:t>
            </w:r>
          </w:p>
        </w:tc>
        <w:tc>
          <w:tcPr>
            <w:tcW w:type="dxa" w:w="2551"/>
          </w:tcPr>
          <w:p>
            <w:pPr>
              <w:spacing w:lineRule="exact" w:line="600"/>
              <w:jc w:val="center"/>
            </w:pPr>
            <w:r/>
            <w:r>
              <w:rPr>
                <w:rFonts w:ascii="黑体" w:hAnsi="黑体" w:eastAsia="黑体"/>
                <w:b/>
                <w:color w:val="000000"/>
                <w:sz w:val="32"/>
              </w:rPr>
              <w:t>规模/力度</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绿色低碳高质量发展先行区引导基金</w:t>
            </w:r>
          </w:p>
        </w:tc>
        <w:tc>
          <w:tcPr>
            <w:tcW w:type="dxa" w:w="2551"/>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省新动能基金/大众日报，2024</w:t>
            </w:r>
          </w:p>
        </w:tc>
      </w:tr>
      <w:tr>
        <w:tc>
          <w:tcPr>
            <w:tcW w:type="dxa" w:w="4252"/>
          </w:tcPr>
          <w:p>
            <w:pPr>
              <w:spacing w:lineRule="exact" w:line="600"/>
              <w:jc w:val="center"/>
            </w:pPr>
            <w:r/>
            <w:r>
              <w:rPr>
                <w:rFonts w:ascii="仿宋_GB2312" w:hAnsi="仿宋_GB2312" w:eastAsia="仿宋_GB2312"/>
                <w:b w:val="0"/>
                <w:color w:val="000000"/>
                <w:sz w:val="32"/>
              </w:rPr>
              <w:t>新旧动能转换基金（十强产业）</w:t>
            </w:r>
          </w:p>
        </w:tc>
        <w:tc>
          <w:tcPr>
            <w:tcW w:type="dxa" w:w="2551"/>
          </w:tcPr>
          <w:p>
            <w:pPr>
              <w:spacing w:lineRule="exact" w:line="600"/>
              <w:jc w:val="center"/>
            </w:pPr>
            <w:r/>
            <w:r>
              <w:rPr>
                <w:rFonts w:ascii="仿宋_GB2312" w:hAnsi="仿宋_GB2312" w:eastAsia="仿宋_GB2312"/>
                <w:b w:val="0"/>
                <w:color w:val="000000"/>
                <w:sz w:val="32"/>
              </w:rPr>
              <w:t>投资约1300亿元、带动超5000亿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绿色低碳相关项目投资</w:t>
            </w:r>
          </w:p>
        </w:tc>
        <w:tc>
          <w:tcPr>
            <w:tcW w:type="dxa" w:w="2551"/>
          </w:tcPr>
          <w:p>
            <w:pPr>
              <w:spacing w:lineRule="exact" w:line="600"/>
              <w:jc w:val="center"/>
            </w:pPr>
            <w:r/>
            <w:r>
              <w:rPr>
                <w:rFonts w:ascii="仿宋_GB2312" w:hAnsi="仿宋_GB2312" w:eastAsia="仿宋_GB2312"/>
                <w:b w:val="0"/>
                <w:color w:val="000000"/>
                <w:sz w:val="32"/>
              </w:rPr>
              <w:t>355个、带动1824亿元</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省级科技资金</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绿色再贷款专项额度</w:t>
            </w:r>
          </w:p>
        </w:tc>
        <w:tc>
          <w:tcPr>
            <w:tcW w:type="dxa" w:w="2551"/>
          </w:tcPr>
          <w:p>
            <w:pPr>
              <w:spacing w:lineRule="exact" w:line="600"/>
              <w:jc w:val="center"/>
            </w:pPr>
            <w:r/>
            <w:r>
              <w:rPr>
                <w:rFonts w:ascii="仿宋_GB2312" w:hAnsi="仿宋_GB2312" w:eastAsia="仿宋_GB2312"/>
                <w:b w:val="0"/>
                <w:color w:val="000000"/>
                <w:sz w:val="32"/>
              </w:rPr>
              <w:t>100亿元/年</w:t>
            </w:r>
          </w:p>
        </w:tc>
        <w:tc>
          <w:tcPr>
            <w:tcW w:type="dxa" w:w="2551"/>
          </w:tcPr>
          <w:p>
            <w:pPr>
              <w:spacing w:lineRule="exact" w:line="600"/>
              <w:jc w:val="center"/>
            </w:pPr>
            <w:r/>
            <w:r>
              <w:rPr>
                <w:rFonts w:ascii="仿宋_GB2312" w:hAnsi="仿宋_GB2312" w:eastAsia="仿宋_GB2312"/>
                <w:b w:val="0"/>
                <w:color w:val="000000"/>
                <w:sz w:val="32"/>
              </w:rPr>
              <w:t>人民银行济南分行，2024</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国网山东省电力公司电力科学研究院：市中区能源互联网与智能电网技术核心研发机构，驻市中区；作为技术研发平台支撑综合能源服务、新型储能与电力人工智能等战新方向，与山东大学能源互联网产业技术研究院协同攻关。来源：市中区工信局政协提案答复，2024。</w:t>
      </w:r>
    </w:p>
    <w:p>
      <w:pPr>
        <w:spacing w:lineRule="exact" w:line="600" w:before="0" w:after="0"/>
        <w:ind w:firstLine="420"/>
        <w:jc w:val="both"/>
      </w:pPr>
      <w:r>
        <w:rPr>
          <w:rFonts w:ascii="仿宋_GB2312" w:hAnsi="仿宋_GB2312" w:eastAsia="仿宋_GB2312"/>
          <w:b w:val="0"/>
          <w:color w:val="000000"/>
          <w:sz w:val="32"/>
        </w:rPr>
        <w:t>山东思极科技有限公司：国网系能源物联网与电力通信服务企业，能源互联网关键支撑；建成国内最大5G行业专网与全国最大电力物联运营监测中心，纳管物联网卡超1100万张；「5G多合一融合终端」入选「山东制造」品牌，为综合能源服务提供连接与数据底座。来源：大众新闻，2025。</w:t>
      </w:r>
    </w:p>
    <w:p>
      <w:pPr>
        <w:spacing w:lineRule="exact" w:line="600" w:before="0" w:after="0"/>
        <w:ind w:firstLine="420"/>
        <w:jc w:val="both"/>
      </w:pPr>
      <w:r>
        <w:rPr>
          <w:rFonts w:ascii="仿宋_GB2312" w:hAnsi="仿宋_GB2312" w:eastAsia="仿宋_GB2312"/>
          <w:b w:val="0"/>
          <w:color w:val="000000"/>
          <w:sz w:val="32"/>
        </w:rPr>
        <w:t>山东电力设备有限公司：智能电网装备制造龙头，驻市中区；研发世界首台320兆乏/1100千伏低噪声并联电抗器，承担±800千伏高端换流变压器服务特高压工程，为综合能源与新型电力系统提供高端装备支撑。来源：大众新闻，2025。</w:t>
      </w:r>
    </w:p>
    <w:p>
      <w:pPr>
        <w:spacing w:lineRule="exact" w:line="600" w:before="0" w:after="0"/>
        <w:jc w:val="left"/>
      </w:pPr>
      <w:r>
        <w:rPr>
          <w:rFonts w:ascii="仿宋_GB2312" w:hAnsi="仿宋_GB2312" w:eastAsia="仿宋_GB2312"/>
          <w:b w:val="0"/>
          <w:color w:val="000000"/>
          <w:sz w:val="28"/>
        </w:rPr>
        <w:t>主要数据来源：市中区工业和信息化局政协提案答复（能源互联网产业、综合能源服务、三大产业链群），2024；2026年济南市中区政府工作报告（能源互联网380亿、储能示范城市），2026；济南市科技局《新数智·云共创·向未来》（未来集团虚拟电厂/源网荷储），2025；济南市工信局《培育多元未来关联产业》（未来云谷光储直柔、550万kWh绿电），2024；市中区能源互联网产业报道《崛起的能源创新高地》（双省级战略、金融人才），2024</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