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山东淄博高新区(药品及医疗器械)特色产业集群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化学药与生物药行业深度分析报告</w:t>
      </w:r>
    </w:p>
    <w:p>
      <w:pPr>
        <w:spacing w:lineRule="exact" w:line="600" w:before="0" w:after="0"/>
        <w:jc w:val="left"/>
      </w:pPr>
      <w:r>
        <w:rPr>
          <w:rFonts w:ascii="仿宋_GB2312" w:hAnsi="仿宋_GB2312" w:eastAsia="仿宋_GB2312"/>
          <w:b w:val="0"/>
          <w:color w:val="000000"/>
          <w:sz w:val="28"/>
        </w:rPr>
        <w:t>本报告数据来源于淄博高新区官网、淄博市政府、新华制药2023/2024年报及权威媒体。数据截至2024年，部分细分领域公开统计有限，已标注。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淄博高新区是全市新医药产业核心集聚区，化学药与生物药以新华制药为链主。新华制药（000756）2024年营收84.66亿元（+4.51%）、归母净利润4.70亿元（-5.33%），是全球重要解热镇痛药生产出口基地、亚洲最大解热镇痛类药物生产与出口基地，阿司匹林与布洛芬生产能力居全球第一；化学原料药年产能5万吨、固体制剂320亿片、注射剂15亿支，26个品种市场占有率第一或独家，年出口近4亿美元。高新区大健康产业2024年营收186亿元，聚集企业130家、高企65家，园区综合竞争力列全国第27位、山东省第二。挑战为原料药价格下行致「增收不增利」，以及欧美贸易政策与关税调整带来的出口压力。</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淄博高新区大健康营收</w:t>
            </w:r>
          </w:p>
        </w:tc>
        <w:tc>
          <w:tcPr>
            <w:tcW w:type="dxa" w:w="2835"/>
          </w:tcPr>
          <w:p>
            <w:pPr>
              <w:spacing w:lineRule="exact" w:line="600"/>
              <w:jc w:val="center"/>
            </w:pPr>
            <w:r/>
            <w:r>
              <w:rPr>
                <w:rFonts w:ascii="仿宋_GB2312" w:hAnsi="仿宋_GB2312" w:eastAsia="仿宋_GB2312"/>
                <w:b w:val="0"/>
                <w:color w:val="000000"/>
                <w:sz w:val="32"/>
              </w:rPr>
              <w:t>186亿元(2024)</w:t>
            </w:r>
          </w:p>
        </w:tc>
        <w:tc>
          <w:tcPr>
            <w:tcW w:type="dxa" w:w="3118"/>
          </w:tcPr>
          <w:p>
            <w:pPr>
              <w:spacing w:lineRule="exact" w:line="600"/>
              <w:jc w:val="center"/>
            </w:pPr>
            <w:r/>
            <w:r>
              <w:rPr>
                <w:rFonts w:ascii="仿宋_GB2312" w:hAnsi="仿宋_GB2312" w:eastAsia="仿宋_GB2312"/>
                <w:b w:val="0"/>
                <w:color w:val="000000"/>
                <w:sz w:val="32"/>
              </w:rPr>
              <w:t>淄博市政府，2026</w:t>
            </w:r>
          </w:p>
        </w:tc>
      </w:tr>
      <w:tr>
        <w:tc>
          <w:tcPr>
            <w:tcW w:type="dxa" w:w="2835"/>
          </w:tcPr>
          <w:p>
            <w:pPr>
              <w:spacing w:lineRule="exact" w:line="600"/>
              <w:jc w:val="center"/>
            </w:pPr>
            <w:r/>
            <w:r>
              <w:rPr>
                <w:rFonts w:ascii="仿宋_GB2312" w:hAnsi="仿宋_GB2312" w:eastAsia="仿宋_GB2312"/>
                <w:b w:val="0"/>
                <w:color w:val="000000"/>
                <w:sz w:val="32"/>
              </w:rPr>
              <w:t>高新区集聚企业</w:t>
            </w:r>
          </w:p>
        </w:tc>
        <w:tc>
          <w:tcPr>
            <w:tcW w:type="dxa" w:w="2835"/>
          </w:tcPr>
          <w:p>
            <w:pPr>
              <w:spacing w:lineRule="exact" w:line="600"/>
              <w:jc w:val="center"/>
            </w:pPr>
            <w:r/>
            <w:r>
              <w:rPr>
                <w:rFonts w:ascii="仿宋_GB2312" w:hAnsi="仿宋_GB2312" w:eastAsia="仿宋_GB2312"/>
                <w:b w:val="0"/>
                <w:color w:val="000000"/>
                <w:sz w:val="32"/>
              </w:rPr>
              <w:t>130家/高企65家</w:t>
            </w:r>
          </w:p>
        </w:tc>
        <w:tc>
          <w:tcPr>
            <w:tcW w:type="dxa" w:w="3118"/>
          </w:tcPr>
          <w:p>
            <w:pPr>
              <w:spacing w:lineRule="exact" w:line="600"/>
              <w:jc w:val="center"/>
            </w:pPr>
            <w:r/>
            <w:r>
              <w:rPr>
                <w:rFonts w:ascii="仿宋_GB2312" w:hAnsi="仿宋_GB2312" w:eastAsia="仿宋_GB2312"/>
                <w:b w:val="0"/>
                <w:color w:val="000000"/>
                <w:sz w:val="32"/>
              </w:rPr>
              <w:t>淄博高新区，2023</w:t>
            </w:r>
          </w:p>
        </w:tc>
      </w:tr>
      <w:tr>
        <w:tc>
          <w:tcPr>
            <w:tcW w:type="dxa" w:w="2835"/>
          </w:tcPr>
          <w:p>
            <w:pPr>
              <w:spacing w:lineRule="exact" w:line="600"/>
              <w:jc w:val="center"/>
            </w:pPr>
            <w:r/>
            <w:r>
              <w:rPr>
                <w:rFonts w:ascii="仿宋_GB2312" w:hAnsi="仿宋_GB2312" w:eastAsia="仿宋_GB2312"/>
                <w:b w:val="0"/>
                <w:color w:val="000000"/>
                <w:sz w:val="32"/>
              </w:rPr>
              <w:t>新华制药营收</w:t>
            </w:r>
          </w:p>
        </w:tc>
        <w:tc>
          <w:tcPr>
            <w:tcW w:type="dxa" w:w="2835"/>
          </w:tcPr>
          <w:p>
            <w:pPr>
              <w:spacing w:lineRule="exact" w:line="600"/>
              <w:jc w:val="center"/>
            </w:pPr>
            <w:r/>
            <w:r>
              <w:rPr>
                <w:rFonts w:ascii="仿宋_GB2312" w:hAnsi="仿宋_GB2312" w:eastAsia="仿宋_GB2312"/>
                <w:b w:val="0"/>
                <w:color w:val="000000"/>
                <w:sz w:val="32"/>
              </w:rPr>
              <w:t>84.66亿元(+4.51%)</w:t>
            </w:r>
          </w:p>
        </w:tc>
        <w:tc>
          <w:tcPr>
            <w:tcW w:type="dxa" w:w="3118"/>
          </w:tcPr>
          <w:p>
            <w:pPr>
              <w:spacing w:lineRule="exact" w:line="600"/>
              <w:jc w:val="center"/>
            </w:pPr>
            <w:r/>
            <w:r>
              <w:rPr>
                <w:rFonts w:ascii="仿宋_GB2312" w:hAnsi="仿宋_GB2312" w:eastAsia="仿宋_GB2312"/>
                <w:b w:val="0"/>
                <w:color w:val="000000"/>
                <w:sz w:val="32"/>
              </w:rPr>
              <w:t>新华制药年报，2024</w:t>
            </w:r>
          </w:p>
        </w:tc>
      </w:tr>
      <w:tr>
        <w:tc>
          <w:tcPr>
            <w:tcW w:type="dxa" w:w="2835"/>
          </w:tcPr>
          <w:p>
            <w:pPr>
              <w:spacing w:lineRule="exact" w:line="600"/>
              <w:jc w:val="center"/>
            </w:pPr>
            <w:r/>
            <w:r>
              <w:rPr>
                <w:rFonts w:ascii="仿宋_GB2312" w:hAnsi="仿宋_GB2312" w:eastAsia="仿宋_GB2312"/>
                <w:b w:val="0"/>
                <w:color w:val="000000"/>
                <w:sz w:val="32"/>
              </w:rPr>
              <w:t>新华制药净利</w:t>
            </w:r>
          </w:p>
        </w:tc>
        <w:tc>
          <w:tcPr>
            <w:tcW w:type="dxa" w:w="2835"/>
          </w:tcPr>
          <w:p>
            <w:pPr>
              <w:spacing w:lineRule="exact" w:line="600"/>
              <w:jc w:val="center"/>
            </w:pPr>
            <w:r/>
            <w:r>
              <w:rPr>
                <w:rFonts w:ascii="仿宋_GB2312" w:hAnsi="仿宋_GB2312" w:eastAsia="仿宋_GB2312"/>
                <w:b w:val="0"/>
                <w:color w:val="000000"/>
                <w:sz w:val="32"/>
              </w:rPr>
              <w:t>4.70亿元(-5.33%)</w:t>
            </w:r>
          </w:p>
        </w:tc>
        <w:tc>
          <w:tcPr>
            <w:tcW w:type="dxa" w:w="3118"/>
          </w:tcPr>
          <w:p>
            <w:pPr>
              <w:spacing w:lineRule="exact" w:line="600"/>
              <w:jc w:val="center"/>
            </w:pPr>
            <w:r/>
            <w:r>
              <w:rPr>
                <w:rFonts w:ascii="仿宋_GB2312" w:hAnsi="仿宋_GB2312" w:eastAsia="仿宋_GB2312"/>
                <w:b w:val="0"/>
                <w:color w:val="000000"/>
                <w:sz w:val="32"/>
              </w:rPr>
              <w:t>新华制药年报，2024</w:t>
            </w:r>
          </w:p>
        </w:tc>
      </w:tr>
      <w:tr>
        <w:tc>
          <w:tcPr>
            <w:tcW w:type="dxa" w:w="2835"/>
          </w:tcPr>
          <w:p>
            <w:pPr>
              <w:spacing w:lineRule="exact" w:line="600"/>
              <w:jc w:val="center"/>
            </w:pPr>
            <w:r/>
            <w:r>
              <w:rPr>
                <w:rFonts w:ascii="仿宋_GB2312" w:hAnsi="仿宋_GB2312" w:eastAsia="仿宋_GB2312"/>
                <w:b w:val="0"/>
                <w:color w:val="000000"/>
                <w:sz w:val="32"/>
              </w:rPr>
              <w:t>化学原料药产能</w:t>
            </w:r>
          </w:p>
        </w:tc>
        <w:tc>
          <w:tcPr>
            <w:tcW w:type="dxa" w:w="2835"/>
          </w:tcPr>
          <w:p>
            <w:pPr>
              <w:spacing w:lineRule="exact" w:line="600"/>
              <w:jc w:val="center"/>
            </w:pPr>
            <w:r/>
            <w:r>
              <w:rPr>
                <w:rFonts w:ascii="仿宋_GB2312" w:hAnsi="仿宋_GB2312" w:eastAsia="仿宋_GB2312"/>
                <w:b w:val="0"/>
                <w:color w:val="000000"/>
                <w:sz w:val="32"/>
              </w:rPr>
              <w:t>5万吨/年</w:t>
            </w:r>
          </w:p>
        </w:tc>
        <w:tc>
          <w:tcPr>
            <w:tcW w:type="dxa" w:w="3118"/>
          </w:tcPr>
          <w:p>
            <w:pPr>
              <w:spacing w:lineRule="exact" w:line="600"/>
              <w:jc w:val="center"/>
            </w:pPr>
            <w:r/>
            <w:r>
              <w:rPr>
                <w:rFonts w:ascii="仿宋_GB2312" w:hAnsi="仿宋_GB2312" w:eastAsia="仿宋_GB2312"/>
                <w:b w:val="0"/>
                <w:color w:val="000000"/>
                <w:sz w:val="32"/>
              </w:rPr>
              <w:t>新华制药年报，2024</w:t>
            </w:r>
          </w:p>
        </w:tc>
      </w:tr>
      <w:tr>
        <w:tc>
          <w:tcPr>
            <w:tcW w:type="dxa" w:w="2835"/>
          </w:tcPr>
          <w:p>
            <w:pPr>
              <w:spacing w:lineRule="exact" w:line="600"/>
              <w:jc w:val="center"/>
            </w:pPr>
            <w:r/>
            <w:r>
              <w:rPr>
                <w:rFonts w:ascii="仿宋_GB2312" w:hAnsi="仿宋_GB2312" w:eastAsia="仿宋_GB2312"/>
                <w:b w:val="0"/>
                <w:color w:val="000000"/>
                <w:sz w:val="32"/>
              </w:rPr>
              <w:t>固体制剂产能</w:t>
            </w:r>
          </w:p>
        </w:tc>
        <w:tc>
          <w:tcPr>
            <w:tcW w:type="dxa" w:w="2835"/>
          </w:tcPr>
          <w:p>
            <w:pPr>
              <w:spacing w:lineRule="exact" w:line="600"/>
              <w:jc w:val="center"/>
            </w:pPr>
            <w:r/>
            <w:r>
              <w:rPr>
                <w:rFonts w:ascii="仿宋_GB2312" w:hAnsi="仿宋_GB2312" w:eastAsia="仿宋_GB2312"/>
                <w:b w:val="0"/>
                <w:color w:val="000000"/>
                <w:sz w:val="32"/>
              </w:rPr>
              <w:t>320亿片/年</w:t>
            </w:r>
          </w:p>
        </w:tc>
        <w:tc>
          <w:tcPr>
            <w:tcW w:type="dxa" w:w="3118"/>
          </w:tcPr>
          <w:p>
            <w:pPr>
              <w:spacing w:lineRule="exact" w:line="600"/>
              <w:jc w:val="center"/>
            </w:pPr>
            <w:r/>
            <w:r>
              <w:rPr>
                <w:rFonts w:ascii="仿宋_GB2312" w:hAnsi="仿宋_GB2312" w:eastAsia="仿宋_GB2312"/>
                <w:b w:val="0"/>
                <w:color w:val="000000"/>
                <w:sz w:val="32"/>
              </w:rPr>
              <w:t>新华制药年报，2024</w:t>
            </w:r>
          </w:p>
        </w:tc>
      </w:tr>
      <w:tr>
        <w:tc>
          <w:tcPr>
            <w:tcW w:type="dxa" w:w="2835"/>
          </w:tcPr>
          <w:p>
            <w:pPr>
              <w:spacing w:lineRule="exact" w:line="600"/>
              <w:jc w:val="center"/>
            </w:pPr>
            <w:r/>
            <w:r>
              <w:rPr>
                <w:rFonts w:ascii="仿宋_GB2312" w:hAnsi="仿宋_GB2312" w:eastAsia="仿宋_GB2312"/>
                <w:b w:val="0"/>
                <w:color w:val="000000"/>
                <w:sz w:val="32"/>
              </w:rPr>
              <w:t>年出口额</w:t>
            </w:r>
          </w:p>
        </w:tc>
        <w:tc>
          <w:tcPr>
            <w:tcW w:type="dxa" w:w="2835"/>
          </w:tcPr>
          <w:p>
            <w:pPr>
              <w:spacing w:lineRule="exact" w:line="600"/>
              <w:jc w:val="center"/>
            </w:pPr>
            <w:r/>
            <w:r>
              <w:rPr>
                <w:rFonts w:ascii="仿宋_GB2312" w:hAnsi="仿宋_GB2312" w:eastAsia="仿宋_GB2312"/>
                <w:b w:val="0"/>
                <w:color w:val="000000"/>
                <w:sz w:val="32"/>
              </w:rPr>
              <w:t>近4亿美元</w:t>
            </w:r>
          </w:p>
        </w:tc>
        <w:tc>
          <w:tcPr>
            <w:tcW w:type="dxa" w:w="3118"/>
          </w:tcPr>
          <w:p>
            <w:pPr>
              <w:spacing w:lineRule="exact" w:line="600"/>
              <w:jc w:val="center"/>
            </w:pPr>
            <w:r/>
            <w:r>
              <w:rPr>
                <w:rFonts w:ascii="仿宋_GB2312" w:hAnsi="仿宋_GB2312" w:eastAsia="仿宋_GB2312"/>
                <w:b w:val="0"/>
                <w:color w:val="000000"/>
                <w:sz w:val="32"/>
              </w:rPr>
              <w:t>新华制药年报，2024</w:t>
            </w:r>
          </w:p>
        </w:tc>
      </w:tr>
      <w:tr>
        <w:tc>
          <w:tcPr>
            <w:tcW w:type="dxa" w:w="2835"/>
          </w:tcPr>
          <w:p>
            <w:pPr>
              <w:spacing w:lineRule="exact" w:line="600"/>
              <w:jc w:val="center"/>
            </w:pPr>
            <w:r/>
            <w:r>
              <w:rPr>
                <w:rFonts w:ascii="仿宋_GB2312" w:hAnsi="仿宋_GB2312" w:eastAsia="仿宋_GB2312"/>
                <w:b w:val="0"/>
                <w:color w:val="000000"/>
                <w:sz w:val="32"/>
              </w:rPr>
              <w:t>园区竞争力</w:t>
            </w:r>
          </w:p>
        </w:tc>
        <w:tc>
          <w:tcPr>
            <w:tcW w:type="dxa" w:w="2835"/>
          </w:tcPr>
          <w:p>
            <w:pPr>
              <w:spacing w:lineRule="exact" w:line="600"/>
              <w:jc w:val="center"/>
            </w:pPr>
            <w:r/>
            <w:r>
              <w:rPr>
                <w:rFonts w:ascii="仿宋_GB2312" w:hAnsi="仿宋_GB2312" w:eastAsia="仿宋_GB2312"/>
                <w:b w:val="0"/>
                <w:color w:val="000000"/>
                <w:sz w:val="32"/>
              </w:rPr>
              <w:t>全国第27位</w:t>
            </w:r>
          </w:p>
        </w:tc>
        <w:tc>
          <w:tcPr>
            <w:tcW w:type="dxa" w:w="3118"/>
          </w:tcPr>
          <w:p>
            <w:pPr>
              <w:spacing w:lineRule="exact" w:line="600"/>
              <w:jc w:val="center"/>
            </w:pPr>
            <w:r/>
            <w:r>
              <w:rPr>
                <w:rFonts w:ascii="仿宋_GB2312" w:hAnsi="仿宋_GB2312" w:eastAsia="仿宋_GB2312"/>
                <w:b w:val="0"/>
                <w:color w:val="000000"/>
                <w:sz w:val="32"/>
              </w:rPr>
              <w:t>生物医药园区榜</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国家「健康中国2030」与「十四五」医药工业发展规划推动化学药、生物药高质量发展；集采与一致性评价倒逼原料药—制剂一体化。山东省将生物医药列为「十强产业」，淄博市将新医药作为高新区主导产业。淄博高新区出台产业链「四链共进」行动，重点推进延链拓链（来源：淄博高新区官网，2026）。国家药监局持续推进仿制药一致性评价，拉动高端药用辅料与包材需求。</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政策/规划</w:t>
            </w:r>
          </w:p>
        </w:tc>
        <w:tc>
          <w:tcPr>
            <w:tcW w:type="dxa" w:w="3969"/>
          </w:tcPr>
          <w:p>
            <w:pPr>
              <w:spacing w:lineRule="exact" w:line="600"/>
              <w:jc w:val="center"/>
            </w:pPr>
            <w:r/>
            <w:r>
              <w:rPr>
                <w:rFonts w:ascii="黑体" w:hAnsi="黑体" w:eastAsia="黑体"/>
                <w:b/>
                <w:color w:val="000000"/>
                <w:sz w:val="32"/>
              </w:rPr>
              <w:t>核心内容</w:t>
            </w:r>
          </w:p>
        </w:tc>
        <w:tc>
          <w:tcPr>
            <w:tcW w:type="dxa" w:w="2551"/>
          </w:tcPr>
          <w:p>
            <w:pPr>
              <w:spacing w:lineRule="exact" w:line="600"/>
              <w:jc w:val="center"/>
            </w:pPr>
            <w:r/>
            <w:r>
              <w:rPr>
                <w:rFonts w:ascii="黑体" w:hAnsi="黑体" w:eastAsia="黑体"/>
                <w:b/>
                <w:color w:val="000000"/>
                <w:sz w:val="32"/>
              </w:rPr>
              <w:t>层级/年份</w:t>
            </w:r>
          </w:p>
        </w:tc>
      </w:tr>
      <w:tr>
        <w:tc>
          <w:tcPr>
            <w:tcW w:type="dxa" w:w="2268"/>
          </w:tcPr>
          <w:p>
            <w:pPr>
              <w:spacing w:lineRule="exact" w:line="600"/>
              <w:jc w:val="center"/>
            </w:pPr>
            <w:r/>
            <w:r>
              <w:rPr>
                <w:rFonts w:ascii="仿宋_GB2312" w:hAnsi="仿宋_GB2312" w:eastAsia="仿宋_GB2312"/>
                <w:b w:val="0"/>
                <w:color w:val="000000"/>
                <w:sz w:val="32"/>
              </w:rPr>
              <w:t>健康中国2030</w:t>
            </w:r>
          </w:p>
        </w:tc>
        <w:tc>
          <w:tcPr>
            <w:tcW w:type="dxa" w:w="3969"/>
          </w:tcPr>
          <w:p>
            <w:pPr>
              <w:spacing w:lineRule="exact" w:line="600"/>
              <w:jc w:val="center"/>
            </w:pPr>
            <w:r/>
            <w:r>
              <w:rPr>
                <w:rFonts w:ascii="仿宋_GB2312" w:hAnsi="仿宋_GB2312" w:eastAsia="仿宋_GB2312"/>
                <w:b w:val="0"/>
                <w:color w:val="000000"/>
                <w:sz w:val="32"/>
              </w:rPr>
              <w:t>医药健康战略</w:t>
            </w:r>
          </w:p>
        </w:tc>
        <w:tc>
          <w:tcPr>
            <w:tcW w:type="dxa" w:w="2551"/>
          </w:tcPr>
          <w:p>
            <w:pPr>
              <w:spacing w:lineRule="exact" w:line="600"/>
              <w:jc w:val="center"/>
            </w:pPr>
            <w:r/>
            <w:r>
              <w:rPr>
                <w:rFonts w:ascii="仿宋_GB2312" w:hAnsi="仿宋_GB2312" w:eastAsia="仿宋_GB2312"/>
                <w:b w:val="0"/>
                <w:color w:val="000000"/>
                <w:sz w:val="32"/>
              </w:rPr>
              <w:t>国家级</w:t>
            </w:r>
          </w:p>
        </w:tc>
      </w:tr>
      <w:tr>
        <w:tc>
          <w:tcPr>
            <w:tcW w:type="dxa" w:w="2268"/>
          </w:tcPr>
          <w:p>
            <w:pPr>
              <w:spacing w:lineRule="exact" w:line="600"/>
              <w:jc w:val="center"/>
            </w:pPr>
            <w:r/>
            <w:r>
              <w:rPr>
                <w:rFonts w:ascii="仿宋_GB2312" w:hAnsi="仿宋_GB2312" w:eastAsia="仿宋_GB2312"/>
                <w:b w:val="0"/>
                <w:color w:val="000000"/>
                <w:sz w:val="32"/>
              </w:rPr>
              <w:t>十四五医药工业规划</w:t>
            </w:r>
          </w:p>
        </w:tc>
        <w:tc>
          <w:tcPr>
            <w:tcW w:type="dxa" w:w="3969"/>
          </w:tcPr>
          <w:p>
            <w:pPr>
              <w:spacing w:lineRule="exact" w:line="600"/>
              <w:jc w:val="center"/>
            </w:pPr>
            <w:r/>
            <w:r>
              <w:rPr>
                <w:rFonts w:ascii="仿宋_GB2312" w:hAnsi="仿宋_GB2312" w:eastAsia="仿宋_GB2312"/>
                <w:b w:val="0"/>
                <w:color w:val="000000"/>
                <w:sz w:val="32"/>
              </w:rPr>
              <w:t>原料药-制剂一体化</w:t>
            </w:r>
          </w:p>
        </w:tc>
        <w:tc>
          <w:tcPr>
            <w:tcW w:type="dxa" w:w="2551"/>
          </w:tcPr>
          <w:p>
            <w:pPr>
              <w:spacing w:lineRule="exact" w:line="600"/>
              <w:jc w:val="center"/>
            </w:pPr>
            <w:r/>
            <w:r>
              <w:rPr>
                <w:rFonts w:ascii="仿宋_GB2312" w:hAnsi="仿宋_GB2312" w:eastAsia="仿宋_GB2312"/>
                <w:b w:val="0"/>
                <w:color w:val="000000"/>
                <w:sz w:val="32"/>
              </w:rPr>
              <w:t>国家级</w:t>
            </w:r>
          </w:p>
        </w:tc>
      </w:tr>
      <w:tr>
        <w:tc>
          <w:tcPr>
            <w:tcW w:type="dxa" w:w="2268"/>
          </w:tcPr>
          <w:p>
            <w:pPr>
              <w:spacing w:lineRule="exact" w:line="600"/>
              <w:jc w:val="center"/>
            </w:pPr>
            <w:r/>
            <w:r>
              <w:rPr>
                <w:rFonts w:ascii="仿宋_GB2312" w:hAnsi="仿宋_GB2312" w:eastAsia="仿宋_GB2312"/>
                <w:b w:val="0"/>
                <w:color w:val="000000"/>
                <w:sz w:val="32"/>
              </w:rPr>
              <w:t>山东省十强产业</w:t>
            </w:r>
          </w:p>
        </w:tc>
        <w:tc>
          <w:tcPr>
            <w:tcW w:type="dxa" w:w="3969"/>
          </w:tcPr>
          <w:p>
            <w:pPr>
              <w:spacing w:lineRule="exact" w:line="600"/>
              <w:jc w:val="center"/>
            </w:pPr>
            <w:r/>
            <w:r>
              <w:rPr>
                <w:rFonts w:ascii="仿宋_GB2312" w:hAnsi="仿宋_GB2312" w:eastAsia="仿宋_GB2312"/>
                <w:b w:val="0"/>
                <w:color w:val="000000"/>
                <w:sz w:val="32"/>
              </w:rPr>
              <w:t>生物医药</w:t>
            </w:r>
          </w:p>
        </w:tc>
        <w:tc>
          <w:tcPr>
            <w:tcW w:type="dxa" w:w="2551"/>
          </w:tcPr>
          <w:p>
            <w:pPr>
              <w:spacing w:lineRule="exact" w:line="600"/>
              <w:jc w:val="center"/>
            </w:pPr>
            <w:r/>
            <w:r>
              <w:rPr>
                <w:rFonts w:ascii="仿宋_GB2312" w:hAnsi="仿宋_GB2312" w:eastAsia="仿宋_GB2312"/>
                <w:b w:val="0"/>
                <w:color w:val="000000"/>
                <w:sz w:val="32"/>
              </w:rPr>
              <w:t>省级</w:t>
            </w:r>
          </w:p>
        </w:tc>
      </w:tr>
      <w:tr>
        <w:tc>
          <w:tcPr>
            <w:tcW w:type="dxa" w:w="2268"/>
          </w:tcPr>
          <w:p>
            <w:pPr>
              <w:spacing w:lineRule="exact" w:line="600"/>
              <w:jc w:val="center"/>
            </w:pPr>
            <w:r/>
            <w:r>
              <w:rPr>
                <w:rFonts w:ascii="仿宋_GB2312" w:hAnsi="仿宋_GB2312" w:eastAsia="仿宋_GB2312"/>
                <w:b w:val="0"/>
                <w:color w:val="000000"/>
                <w:sz w:val="32"/>
              </w:rPr>
              <w:t>淄博四链共进</w:t>
            </w:r>
          </w:p>
        </w:tc>
        <w:tc>
          <w:tcPr>
            <w:tcW w:type="dxa" w:w="3969"/>
          </w:tcPr>
          <w:p>
            <w:pPr>
              <w:spacing w:lineRule="exact" w:line="600"/>
              <w:jc w:val="center"/>
            </w:pPr>
            <w:r/>
            <w:r>
              <w:rPr>
                <w:rFonts w:ascii="仿宋_GB2312" w:hAnsi="仿宋_GB2312" w:eastAsia="仿宋_GB2312"/>
                <w:b w:val="0"/>
                <w:color w:val="000000"/>
                <w:sz w:val="32"/>
              </w:rPr>
              <w:t>延链拓链提质</w:t>
            </w:r>
          </w:p>
        </w:tc>
        <w:tc>
          <w:tcPr>
            <w:tcW w:type="dxa" w:w="2551"/>
          </w:tcPr>
          <w:p>
            <w:pPr>
              <w:spacing w:lineRule="exact" w:line="600"/>
              <w:jc w:val="center"/>
            </w:pPr>
            <w:r/>
            <w:r>
              <w:rPr>
                <w:rFonts w:ascii="仿宋_GB2312" w:hAnsi="仿宋_GB2312" w:eastAsia="仿宋_GB2312"/>
                <w:b w:val="0"/>
                <w:color w:val="000000"/>
                <w:sz w:val="32"/>
              </w:rPr>
              <w:t>高新区，2026</w:t>
            </w:r>
          </w:p>
        </w:tc>
      </w:tr>
    </w:tbl>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淄博高新区是全市新医药产业核心聚集区，产业体系覆盖医药制造业9个小类中的8个（来源：淄博高新区官网，2026）。高新区大健康产业2024年营收186亿元，列「中国生物医药园区发展竞争力排行榜第27位、山东省第二」（来源：淄博市政府，2026）。新华制药、新华医疗、荣昌制药为链主企业，其中新华制药聚焦化学原料药与制剂（来源：淄博高新区官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定位</w:t>
            </w:r>
          </w:p>
        </w:tc>
        <w:tc>
          <w:tcPr>
            <w:tcW w:type="dxa" w:w="3402"/>
          </w:tcPr>
          <w:p>
            <w:pPr>
              <w:spacing w:lineRule="exact" w:line="600"/>
              <w:jc w:val="center"/>
            </w:pPr>
            <w:r/>
            <w:r>
              <w:rPr>
                <w:rFonts w:ascii="黑体" w:hAnsi="黑体" w:eastAsia="黑体"/>
                <w:b/>
                <w:color w:val="000000"/>
                <w:sz w:val="32"/>
              </w:rPr>
              <w:t>内容</w:t>
            </w:r>
          </w:p>
        </w:tc>
        <w:tc>
          <w:tcPr>
            <w:tcW w:type="dxa" w:w="3685"/>
          </w:tcPr>
          <w:p>
            <w:pPr>
              <w:spacing w:lineRule="exact" w:line="600"/>
              <w:jc w:val="center"/>
            </w:pPr>
            <w:r/>
            <w:r>
              <w:rPr>
                <w:rFonts w:ascii="黑体" w:hAnsi="黑体" w:eastAsia="黑体"/>
                <w:b/>
                <w:color w:val="000000"/>
                <w:sz w:val="32"/>
              </w:rPr>
              <w:t>数据</w:t>
            </w:r>
          </w:p>
        </w:tc>
      </w:tr>
      <w:tr>
        <w:tc>
          <w:tcPr>
            <w:tcW w:type="dxa" w:w="1984"/>
          </w:tcPr>
          <w:p>
            <w:pPr>
              <w:spacing w:lineRule="exact" w:line="600"/>
              <w:jc w:val="center"/>
            </w:pPr>
            <w:r/>
            <w:r>
              <w:rPr>
                <w:rFonts w:ascii="仿宋_GB2312" w:hAnsi="仿宋_GB2312" w:eastAsia="仿宋_GB2312"/>
                <w:b w:val="0"/>
                <w:color w:val="000000"/>
                <w:sz w:val="32"/>
              </w:rPr>
              <w:t>核心聚集区</w:t>
            </w:r>
          </w:p>
        </w:tc>
        <w:tc>
          <w:tcPr>
            <w:tcW w:type="dxa" w:w="3402"/>
          </w:tcPr>
          <w:p>
            <w:pPr>
              <w:spacing w:lineRule="exact" w:line="600"/>
              <w:jc w:val="center"/>
            </w:pPr>
            <w:r/>
            <w:r>
              <w:rPr>
                <w:rFonts w:ascii="仿宋_GB2312" w:hAnsi="仿宋_GB2312" w:eastAsia="仿宋_GB2312"/>
                <w:b w:val="0"/>
                <w:color w:val="000000"/>
                <w:sz w:val="32"/>
              </w:rPr>
              <w:t>医药制造9类覆盖8类</w:t>
            </w:r>
          </w:p>
        </w:tc>
        <w:tc>
          <w:tcPr>
            <w:tcW w:type="dxa" w:w="3685"/>
          </w:tcPr>
          <w:p>
            <w:pPr>
              <w:spacing w:lineRule="exact" w:line="600"/>
              <w:jc w:val="center"/>
            </w:pPr>
            <w:r/>
            <w:r>
              <w:rPr>
                <w:rFonts w:ascii="仿宋_GB2312" w:hAnsi="仿宋_GB2312" w:eastAsia="仿宋_GB2312"/>
                <w:b w:val="0"/>
                <w:color w:val="000000"/>
                <w:sz w:val="32"/>
              </w:rPr>
              <w:t>高新区</w:t>
            </w:r>
          </w:p>
        </w:tc>
      </w:tr>
      <w:tr>
        <w:tc>
          <w:tcPr>
            <w:tcW w:type="dxa" w:w="1984"/>
          </w:tcPr>
          <w:p>
            <w:pPr>
              <w:spacing w:lineRule="exact" w:line="600"/>
              <w:jc w:val="center"/>
            </w:pPr>
            <w:r/>
            <w:r>
              <w:rPr>
                <w:rFonts w:ascii="仿宋_GB2312" w:hAnsi="仿宋_GB2312" w:eastAsia="仿宋_GB2312"/>
                <w:b w:val="0"/>
                <w:color w:val="000000"/>
                <w:sz w:val="32"/>
              </w:rPr>
              <w:t>大健康营收</w:t>
            </w:r>
          </w:p>
        </w:tc>
        <w:tc>
          <w:tcPr>
            <w:tcW w:type="dxa" w:w="3402"/>
          </w:tcPr>
          <w:p>
            <w:pPr>
              <w:spacing w:lineRule="exact" w:line="600"/>
              <w:jc w:val="center"/>
            </w:pPr>
            <w:r/>
            <w:r>
              <w:rPr>
                <w:rFonts w:ascii="仿宋_GB2312" w:hAnsi="仿宋_GB2312" w:eastAsia="仿宋_GB2312"/>
                <w:b w:val="0"/>
                <w:color w:val="000000"/>
                <w:sz w:val="32"/>
              </w:rPr>
              <w:t>186亿元(2024)</w:t>
            </w:r>
          </w:p>
        </w:tc>
        <w:tc>
          <w:tcPr>
            <w:tcW w:type="dxa" w:w="3685"/>
          </w:tcPr>
          <w:p>
            <w:pPr>
              <w:spacing w:lineRule="exact" w:line="600"/>
              <w:jc w:val="center"/>
            </w:pPr>
            <w:r/>
            <w:r>
              <w:rPr>
                <w:rFonts w:ascii="仿宋_GB2312" w:hAnsi="仿宋_GB2312" w:eastAsia="仿宋_GB2312"/>
                <w:b w:val="0"/>
                <w:color w:val="000000"/>
                <w:sz w:val="32"/>
              </w:rPr>
              <w:t>山东省第二</w:t>
            </w:r>
          </w:p>
        </w:tc>
      </w:tr>
      <w:tr>
        <w:tc>
          <w:tcPr>
            <w:tcW w:type="dxa" w:w="1984"/>
          </w:tcPr>
          <w:p>
            <w:pPr>
              <w:spacing w:lineRule="exact" w:line="600"/>
              <w:jc w:val="center"/>
            </w:pPr>
            <w:r/>
            <w:r>
              <w:rPr>
                <w:rFonts w:ascii="仿宋_GB2312" w:hAnsi="仿宋_GB2312" w:eastAsia="仿宋_GB2312"/>
                <w:b w:val="0"/>
                <w:color w:val="000000"/>
                <w:sz w:val="32"/>
              </w:rPr>
              <w:t>园区排名</w:t>
            </w:r>
          </w:p>
        </w:tc>
        <w:tc>
          <w:tcPr>
            <w:tcW w:type="dxa" w:w="3402"/>
          </w:tcPr>
          <w:p>
            <w:pPr>
              <w:spacing w:lineRule="exact" w:line="600"/>
              <w:jc w:val="center"/>
            </w:pPr>
            <w:r/>
            <w:r>
              <w:rPr>
                <w:rFonts w:ascii="仿宋_GB2312" w:hAnsi="仿宋_GB2312" w:eastAsia="仿宋_GB2312"/>
                <w:b w:val="0"/>
                <w:color w:val="000000"/>
                <w:sz w:val="32"/>
              </w:rPr>
              <w:t>全国第27位</w:t>
            </w:r>
          </w:p>
        </w:tc>
        <w:tc>
          <w:tcPr>
            <w:tcW w:type="dxa" w:w="3685"/>
          </w:tcPr>
          <w:p>
            <w:pPr>
              <w:spacing w:lineRule="exact" w:line="600"/>
              <w:jc w:val="center"/>
            </w:pPr>
            <w:r/>
            <w:r>
              <w:rPr>
                <w:rFonts w:ascii="仿宋_GB2312" w:hAnsi="仿宋_GB2312" w:eastAsia="仿宋_GB2312"/>
                <w:b w:val="0"/>
                <w:color w:val="000000"/>
                <w:sz w:val="32"/>
              </w:rPr>
              <w:t>竞争力榜</w:t>
            </w:r>
          </w:p>
        </w:tc>
      </w:tr>
      <w:tr>
        <w:tc>
          <w:tcPr>
            <w:tcW w:type="dxa" w:w="1984"/>
          </w:tcPr>
          <w:p>
            <w:pPr>
              <w:spacing w:lineRule="exact" w:line="600"/>
              <w:jc w:val="center"/>
            </w:pPr>
            <w:r/>
            <w:r>
              <w:rPr>
                <w:rFonts w:ascii="仿宋_GB2312" w:hAnsi="仿宋_GB2312" w:eastAsia="仿宋_GB2312"/>
                <w:b w:val="0"/>
                <w:color w:val="000000"/>
                <w:sz w:val="32"/>
              </w:rPr>
              <w:t>链主</w:t>
            </w:r>
          </w:p>
        </w:tc>
        <w:tc>
          <w:tcPr>
            <w:tcW w:type="dxa" w:w="3402"/>
          </w:tcPr>
          <w:p>
            <w:pPr>
              <w:spacing w:lineRule="exact" w:line="600"/>
              <w:jc w:val="center"/>
            </w:pPr>
            <w:r/>
            <w:r>
              <w:rPr>
                <w:rFonts w:ascii="仿宋_GB2312" w:hAnsi="仿宋_GB2312" w:eastAsia="仿宋_GB2312"/>
                <w:b w:val="0"/>
                <w:color w:val="000000"/>
                <w:sz w:val="32"/>
              </w:rPr>
              <w:t>新华制药/新华医疗/荣昌</w:t>
            </w:r>
          </w:p>
        </w:tc>
        <w:tc>
          <w:tcPr>
            <w:tcW w:type="dxa" w:w="3685"/>
          </w:tcPr>
          <w:p>
            <w:pPr>
              <w:spacing w:lineRule="exact" w:line="600"/>
              <w:jc w:val="center"/>
            </w:pPr>
            <w:r/>
            <w:r>
              <w:rPr>
                <w:rFonts w:ascii="仿宋_GB2312" w:hAnsi="仿宋_GB2312" w:eastAsia="仿宋_GB2312"/>
                <w:b w:val="0"/>
                <w:color w:val="000000"/>
                <w:sz w:val="32"/>
              </w:rPr>
              <w:t>3家</w:t>
            </w:r>
          </w:p>
        </w:tc>
      </w:tr>
    </w:tbl>
    <w:p>
      <w:pPr>
        <w:spacing w:lineRule="exact" w:line="600" w:before="120" w:after="120"/>
        <w:ind w:firstLine="420"/>
        <w:jc w:val="left"/>
      </w:pPr>
      <w:r>
        <w:rPr>
          <w:rFonts w:ascii="楷体_GB2312" w:hAnsi="楷体_GB2312" w:eastAsia="楷体_GB2312"/>
          <w:b w:val="0"/>
          <w:color w:val="000000"/>
          <w:sz w:val="32"/>
        </w:rPr>
        <w:t>（三）国内外市场需求</w:t>
      </w:r>
    </w:p>
    <w:p>
      <w:pPr>
        <w:spacing w:lineRule="exact" w:line="600" w:before="0" w:after="0"/>
        <w:ind w:firstLine="420"/>
        <w:jc w:val="both"/>
      </w:pPr>
      <w:r>
        <w:rPr>
          <w:rFonts w:ascii="仿宋_GB2312" w:hAnsi="仿宋_GB2312" w:eastAsia="仿宋_GB2312"/>
          <w:b w:val="0"/>
          <w:color w:val="000000"/>
          <w:sz w:val="32"/>
        </w:rPr>
        <w:t>国内医药市场受集采、老龄化与慢病用药拉动，化学药需求稳健；新华制药2024年制剂收入40.72亿元、同比增长11.91%，雷贝拉唑钠肠溶片等5个产品销售额过亿元，7个产品、9个规格第十批国家集采中选（来源：新华制药2024年报）。国际方面，新华制药年出口近4亿美元，累计出口欧美近100亿片片剂，与罗氏、拜耳、默克、百利高等200多家跨国企业长期合作（来源：新华制药年报）。</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市场</w:t>
            </w:r>
          </w:p>
        </w:tc>
        <w:tc>
          <w:tcPr>
            <w:tcW w:type="dxa" w:w="3402"/>
          </w:tcPr>
          <w:p>
            <w:pPr>
              <w:spacing w:lineRule="exact" w:line="600"/>
              <w:jc w:val="center"/>
            </w:pPr>
            <w:r/>
            <w:r>
              <w:rPr>
                <w:rFonts w:ascii="黑体" w:hAnsi="黑体" w:eastAsia="黑体"/>
                <w:b/>
                <w:color w:val="000000"/>
                <w:sz w:val="32"/>
              </w:rPr>
              <w:t>规模/数据</w:t>
            </w:r>
          </w:p>
        </w:tc>
        <w:tc>
          <w:tcPr>
            <w:tcW w:type="dxa" w:w="3402"/>
          </w:tcPr>
          <w:p>
            <w:pPr>
              <w:spacing w:lineRule="exact" w:line="600"/>
              <w:jc w:val="center"/>
            </w:pPr>
            <w:r/>
            <w:r>
              <w:rPr>
                <w:rFonts w:ascii="黑体" w:hAnsi="黑体" w:eastAsia="黑体"/>
                <w:b/>
                <w:color w:val="000000"/>
                <w:sz w:val="32"/>
              </w:rPr>
              <w:t>特征</w:t>
            </w:r>
          </w:p>
        </w:tc>
      </w:tr>
      <w:tr>
        <w:tc>
          <w:tcPr>
            <w:tcW w:type="dxa" w:w="1984"/>
          </w:tcPr>
          <w:p>
            <w:pPr>
              <w:spacing w:lineRule="exact" w:line="600"/>
              <w:jc w:val="center"/>
            </w:pPr>
            <w:r/>
            <w:r>
              <w:rPr>
                <w:rFonts w:ascii="仿宋_GB2312" w:hAnsi="仿宋_GB2312" w:eastAsia="仿宋_GB2312"/>
                <w:b w:val="0"/>
                <w:color w:val="000000"/>
                <w:sz w:val="32"/>
              </w:rPr>
              <w:t>国内制剂</w:t>
            </w:r>
          </w:p>
        </w:tc>
        <w:tc>
          <w:tcPr>
            <w:tcW w:type="dxa" w:w="3402"/>
          </w:tcPr>
          <w:p>
            <w:pPr>
              <w:spacing w:lineRule="exact" w:line="600"/>
              <w:jc w:val="center"/>
            </w:pPr>
            <w:r/>
            <w:r>
              <w:rPr>
                <w:rFonts w:ascii="仿宋_GB2312" w:hAnsi="仿宋_GB2312" w:eastAsia="仿宋_GB2312"/>
                <w:b w:val="0"/>
                <w:color w:val="000000"/>
                <w:sz w:val="32"/>
              </w:rPr>
              <w:t>40.72亿元(+11.91%)</w:t>
            </w:r>
          </w:p>
        </w:tc>
        <w:tc>
          <w:tcPr>
            <w:tcW w:type="dxa" w:w="3402"/>
          </w:tcPr>
          <w:p>
            <w:pPr>
              <w:spacing w:lineRule="exact" w:line="600"/>
              <w:jc w:val="center"/>
            </w:pPr>
            <w:r/>
            <w:r>
              <w:rPr>
                <w:rFonts w:ascii="仿宋_GB2312" w:hAnsi="仿宋_GB2312" w:eastAsia="仿宋_GB2312"/>
                <w:b w:val="0"/>
                <w:color w:val="000000"/>
                <w:sz w:val="32"/>
              </w:rPr>
              <w:t>集采中选</w:t>
            </w:r>
          </w:p>
        </w:tc>
      </w:tr>
      <w:tr>
        <w:tc>
          <w:tcPr>
            <w:tcW w:type="dxa" w:w="1984"/>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近4亿美元/年</w:t>
            </w:r>
          </w:p>
        </w:tc>
        <w:tc>
          <w:tcPr>
            <w:tcW w:type="dxa" w:w="3402"/>
          </w:tcPr>
          <w:p>
            <w:pPr>
              <w:spacing w:lineRule="exact" w:line="600"/>
              <w:jc w:val="center"/>
            </w:pPr>
            <w:r/>
            <w:r>
              <w:rPr>
                <w:rFonts w:ascii="仿宋_GB2312" w:hAnsi="仿宋_GB2312" w:eastAsia="仿宋_GB2312"/>
                <w:b w:val="0"/>
                <w:color w:val="000000"/>
                <w:sz w:val="32"/>
              </w:rPr>
              <w:t>200余家客户</w:t>
            </w:r>
          </w:p>
        </w:tc>
      </w:tr>
      <w:tr>
        <w:tc>
          <w:tcPr>
            <w:tcW w:type="dxa" w:w="1984"/>
          </w:tcPr>
          <w:p>
            <w:pPr>
              <w:spacing w:lineRule="exact" w:line="600"/>
              <w:jc w:val="center"/>
            </w:pPr>
            <w:r/>
            <w:r>
              <w:rPr>
                <w:rFonts w:ascii="仿宋_GB2312" w:hAnsi="仿宋_GB2312" w:eastAsia="仿宋_GB2312"/>
                <w:b w:val="0"/>
                <w:color w:val="000000"/>
                <w:sz w:val="32"/>
              </w:rPr>
              <w:t>欧美出口</w:t>
            </w:r>
          </w:p>
        </w:tc>
        <w:tc>
          <w:tcPr>
            <w:tcW w:type="dxa" w:w="3402"/>
          </w:tcPr>
          <w:p>
            <w:pPr>
              <w:spacing w:lineRule="exact" w:line="600"/>
              <w:jc w:val="center"/>
            </w:pPr>
            <w:r/>
            <w:r>
              <w:rPr>
                <w:rFonts w:ascii="仿宋_GB2312" w:hAnsi="仿宋_GB2312" w:eastAsia="仿宋_GB2312"/>
                <w:b w:val="0"/>
                <w:color w:val="000000"/>
                <w:sz w:val="32"/>
              </w:rPr>
              <w:t>累计近100亿片</w:t>
            </w:r>
          </w:p>
        </w:tc>
        <w:tc>
          <w:tcPr>
            <w:tcW w:type="dxa" w:w="3402"/>
          </w:tcPr>
          <w:p>
            <w:pPr>
              <w:spacing w:lineRule="exact" w:line="600"/>
              <w:jc w:val="center"/>
            </w:pPr>
            <w:r/>
            <w:r>
              <w:rPr>
                <w:rFonts w:ascii="仿宋_GB2312" w:hAnsi="仿宋_GB2312" w:eastAsia="仿宋_GB2312"/>
                <w:b w:val="0"/>
                <w:color w:val="000000"/>
                <w:sz w:val="32"/>
              </w:rPr>
              <w:t>制剂国际化</w:t>
            </w:r>
          </w:p>
        </w:tc>
      </w:tr>
      <w:tr>
        <w:tc>
          <w:tcPr>
            <w:tcW w:type="dxa" w:w="1984"/>
          </w:tcPr>
          <w:p>
            <w:pPr>
              <w:spacing w:lineRule="exact" w:line="600"/>
              <w:jc w:val="center"/>
            </w:pPr>
            <w:r/>
            <w:r>
              <w:rPr>
                <w:rFonts w:ascii="仿宋_GB2312" w:hAnsi="仿宋_GB2312" w:eastAsia="仿宋_GB2312"/>
                <w:b w:val="0"/>
                <w:color w:val="000000"/>
                <w:sz w:val="32"/>
              </w:rPr>
              <w:t>集采中选</w:t>
            </w:r>
          </w:p>
        </w:tc>
        <w:tc>
          <w:tcPr>
            <w:tcW w:type="dxa" w:w="3402"/>
          </w:tcPr>
          <w:p>
            <w:pPr>
              <w:spacing w:lineRule="exact" w:line="600"/>
              <w:jc w:val="center"/>
            </w:pPr>
            <w:r/>
            <w:r>
              <w:rPr>
                <w:rFonts w:ascii="仿宋_GB2312" w:hAnsi="仿宋_GB2312" w:eastAsia="仿宋_GB2312"/>
                <w:b w:val="0"/>
                <w:color w:val="000000"/>
                <w:sz w:val="32"/>
              </w:rPr>
              <w:t>7产品9规格</w:t>
            </w:r>
          </w:p>
        </w:tc>
        <w:tc>
          <w:tcPr>
            <w:tcW w:type="dxa" w:w="3402"/>
          </w:tcPr>
          <w:p>
            <w:pPr>
              <w:spacing w:lineRule="exact" w:line="600"/>
              <w:jc w:val="center"/>
            </w:pPr>
            <w:r/>
            <w:r>
              <w:rPr>
                <w:rFonts w:ascii="仿宋_GB2312" w:hAnsi="仿宋_GB2312" w:eastAsia="仿宋_GB2312"/>
                <w:b w:val="0"/>
                <w:color w:val="000000"/>
                <w:sz w:val="32"/>
              </w:rPr>
              <w:t>第十批</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（一）上游医药中间体与原料</w:t>
      </w:r>
    </w:p>
    <w:p>
      <w:pPr>
        <w:spacing w:lineRule="exact" w:line="600" w:before="0" w:after="0"/>
        <w:ind w:firstLine="420"/>
        <w:jc w:val="both"/>
      </w:pPr>
      <w:r>
        <w:rPr>
          <w:rFonts w:ascii="仿宋_GB2312" w:hAnsi="仿宋_GB2312" w:eastAsia="仿宋_GB2312"/>
          <w:b w:val="0"/>
          <w:color w:val="000000"/>
          <w:sz w:val="32"/>
        </w:rPr>
        <w:t>上游为化工原料、医药中间体。新华制药医药中间体及其他2024年收入16.58亿元、同比增长23.56%，占总营收19.59%（来源：新华制药2024年报）。高新区形成从特色化工、医药中间体、原（辅）料药到高端制剂的完备产业链（来源：淄博高新区官网）。金城医药头孢克肟侧链酸活性酯全球市占率95%，千汇生物环糊精系列全球市占率第三（来源：淄博高新区官网，2026）。</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上游环节</w:t>
            </w:r>
          </w:p>
        </w:tc>
        <w:tc>
          <w:tcPr>
            <w:tcW w:type="dxa" w:w="3118"/>
          </w:tcPr>
          <w:p>
            <w:pPr>
              <w:spacing w:lineRule="exact" w:line="600"/>
              <w:jc w:val="center"/>
            </w:pPr>
            <w:r/>
            <w:r>
              <w:rPr>
                <w:rFonts w:ascii="黑体" w:hAnsi="黑体" w:eastAsia="黑体"/>
                <w:b/>
                <w:color w:val="000000"/>
                <w:sz w:val="32"/>
              </w:rPr>
              <w:t>代表企业</w:t>
            </w:r>
          </w:p>
        </w:tc>
        <w:tc>
          <w:tcPr>
            <w:tcW w:type="dxa" w:w="3685"/>
          </w:tcPr>
          <w:p>
            <w:pPr>
              <w:spacing w:lineRule="exact" w:line="600"/>
              <w:jc w:val="center"/>
            </w:pPr>
            <w:r/>
            <w:r>
              <w:rPr>
                <w:rFonts w:ascii="黑体" w:hAnsi="黑体" w:eastAsia="黑体"/>
                <w:b/>
                <w:color w:val="000000"/>
                <w:sz w:val="32"/>
              </w:rPr>
              <w:t>规模/地位</w:t>
            </w:r>
          </w:p>
        </w:tc>
      </w:tr>
      <w:tr>
        <w:tc>
          <w:tcPr>
            <w:tcW w:type="dxa" w:w="1984"/>
          </w:tcPr>
          <w:p>
            <w:pPr>
              <w:spacing w:lineRule="exact" w:line="600"/>
              <w:jc w:val="center"/>
            </w:pPr>
            <w:r/>
            <w:r>
              <w:rPr>
                <w:rFonts w:ascii="仿宋_GB2312" w:hAnsi="仿宋_GB2312" w:eastAsia="仿宋_GB2312"/>
                <w:b w:val="0"/>
                <w:color w:val="000000"/>
                <w:sz w:val="32"/>
              </w:rPr>
              <w:t>医药中间体</w:t>
            </w:r>
          </w:p>
        </w:tc>
        <w:tc>
          <w:tcPr>
            <w:tcW w:type="dxa" w:w="3118"/>
          </w:tcPr>
          <w:p>
            <w:pPr>
              <w:spacing w:lineRule="exact" w:line="600"/>
              <w:jc w:val="center"/>
            </w:pPr>
            <w:r/>
            <w:r>
              <w:rPr>
                <w:rFonts w:ascii="仿宋_GB2312" w:hAnsi="仿宋_GB2312" w:eastAsia="仿宋_GB2312"/>
                <w:b w:val="0"/>
                <w:color w:val="000000"/>
                <w:sz w:val="32"/>
              </w:rPr>
              <w:t>新华制药</w:t>
            </w:r>
          </w:p>
        </w:tc>
        <w:tc>
          <w:tcPr>
            <w:tcW w:type="dxa" w:w="3685"/>
          </w:tcPr>
          <w:p>
            <w:pPr>
              <w:spacing w:lineRule="exact" w:line="600"/>
              <w:jc w:val="center"/>
            </w:pPr>
            <w:r/>
            <w:r>
              <w:rPr>
                <w:rFonts w:ascii="仿宋_GB2312" w:hAnsi="仿宋_GB2312" w:eastAsia="仿宋_GB2312"/>
                <w:b w:val="0"/>
                <w:color w:val="000000"/>
                <w:sz w:val="32"/>
              </w:rPr>
              <w:t>16.58亿元(+23.56%)</w:t>
            </w:r>
          </w:p>
        </w:tc>
      </w:tr>
      <w:tr>
        <w:tc>
          <w:tcPr>
            <w:tcW w:type="dxa" w:w="1984"/>
          </w:tcPr>
          <w:p>
            <w:pPr>
              <w:spacing w:lineRule="exact" w:line="600"/>
              <w:jc w:val="center"/>
            </w:pPr>
            <w:r/>
            <w:r>
              <w:rPr>
                <w:rFonts w:ascii="仿宋_GB2312" w:hAnsi="仿宋_GB2312" w:eastAsia="仿宋_GB2312"/>
                <w:b w:val="0"/>
                <w:color w:val="000000"/>
                <w:sz w:val="32"/>
              </w:rPr>
              <w:t>头孢侧链</w:t>
            </w:r>
          </w:p>
        </w:tc>
        <w:tc>
          <w:tcPr>
            <w:tcW w:type="dxa" w:w="3118"/>
          </w:tcPr>
          <w:p>
            <w:pPr>
              <w:spacing w:lineRule="exact" w:line="600"/>
              <w:jc w:val="center"/>
            </w:pPr>
            <w:r/>
            <w:r>
              <w:rPr>
                <w:rFonts w:ascii="仿宋_GB2312" w:hAnsi="仿宋_GB2312" w:eastAsia="仿宋_GB2312"/>
                <w:b w:val="0"/>
                <w:color w:val="000000"/>
                <w:sz w:val="32"/>
              </w:rPr>
              <w:t>金城医药</w:t>
            </w:r>
          </w:p>
        </w:tc>
        <w:tc>
          <w:tcPr>
            <w:tcW w:type="dxa" w:w="3685"/>
          </w:tcPr>
          <w:p>
            <w:pPr>
              <w:spacing w:lineRule="exact" w:line="600"/>
              <w:jc w:val="center"/>
            </w:pPr>
            <w:r/>
            <w:r>
              <w:rPr>
                <w:rFonts w:ascii="仿宋_GB2312" w:hAnsi="仿宋_GB2312" w:eastAsia="仿宋_GB2312"/>
                <w:b w:val="0"/>
                <w:color w:val="000000"/>
                <w:sz w:val="32"/>
              </w:rPr>
              <w:t>全球市占95%</w:t>
            </w:r>
          </w:p>
        </w:tc>
      </w:tr>
      <w:tr>
        <w:tc>
          <w:tcPr>
            <w:tcW w:type="dxa" w:w="1984"/>
          </w:tcPr>
          <w:p>
            <w:pPr>
              <w:spacing w:lineRule="exact" w:line="600"/>
              <w:jc w:val="center"/>
            </w:pPr>
            <w:r/>
            <w:r>
              <w:rPr>
                <w:rFonts w:ascii="仿宋_GB2312" w:hAnsi="仿宋_GB2312" w:eastAsia="仿宋_GB2312"/>
                <w:b w:val="0"/>
                <w:color w:val="000000"/>
                <w:sz w:val="32"/>
              </w:rPr>
              <w:t>环糊精</w:t>
            </w:r>
          </w:p>
        </w:tc>
        <w:tc>
          <w:tcPr>
            <w:tcW w:type="dxa" w:w="3118"/>
          </w:tcPr>
          <w:p>
            <w:pPr>
              <w:spacing w:lineRule="exact" w:line="600"/>
              <w:jc w:val="center"/>
            </w:pPr>
            <w:r/>
            <w:r>
              <w:rPr>
                <w:rFonts w:ascii="仿宋_GB2312" w:hAnsi="仿宋_GB2312" w:eastAsia="仿宋_GB2312"/>
                <w:b w:val="0"/>
                <w:color w:val="000000"/>
                <w:sz w:val="32"/>
              </w:rPr>
              <w:t>千汇生物</w:t>
            </w:r>
          </w:p>
        </w:tc>
        <w:tc>
          <w:tcPr>
            <w:tcW w:type="dxa" w:w="3685"/>
          </w:tcPr>
          <w:p>
            <w:pPr>
              <w:spacing w:lineRule="exact" w:line="600"/>
              <w:jc w:val="center"/>
            </w:pPr>
            <w:r/>
            <w:r>
              <w:rPr>
                <w:rFonts w:ascii="仿宋_GB2312" w:hAnsi="仿宋_GB2312" w:eastAsia="仿宋_GB2312"/>
                <w:b w:val="0"/>
                <w:color w:val="000000"/>
                <w:sz w:val="32"/>
              </w:rPr>
              <w:t>全球第三</w:t>
            </w:r>
          </w:p>
        </w:tc>
      </w:tr>
      <w:tr>
        <w:tc>
          <w:tcPr>
            <w:tcW w:type="dxa" w:w="1984"/>
          </w:tcPr>
          <w:p>
            <w:pPr>
              <w:spacing w:lineRule="exact" w:line="600"/>
              <w:jc w:val="center"/>
            </w:pPr>
            <w:r/>
            <w:r>
              <w:rPr>
                <w:rFonts w:ascii="仿宋_GB2312" w:hAnsi="仿宋_GB2312" w:eastAsia="仿宋_GB2312"/>
                <w:b w:val="0"/>
                <w:color w:val="000000"/>
                <w:sz w:val="32"/>
              </w:rPr>
              <w:t>特色化工</w:t>
            </w:r>
          </w:p>
        </w:tc>
        <w:tc>
          <w:tcPr>
            <w:tcW w:type="dxa" w:w="3118"/>
          </w:tcPr>
          <w:p>
            <w:pPr>
              <w:spacing w:lineRule="exact" w:line="600"/>
              <w:jc w:val="center"/>
            </w:pPr>
            <w:r/>
            <w:r>
              <w:rPr>
                <w:rFonts w:ascii="仿宋_GB2312" w:hAnsi="仿宋_GB2312" w:eastAsia="仿宋_GB2312"/>
                <w:b w:val="0"/>
                <w:color w:val="000000"/>
                <w:sz w:val="32"/>
              </w:rPr>
              <w:t>园区配套</w:t>
            </w:r>
          </w:p>
        </w:tc>
        <w:tc>
          <w:tcPr>
            <w:tcW w:type="dxa" w:w="3685"/>
          </w:tcPr>
          <w:p>
            <w:pPr>
              <w:spacing w:lineRule="exact" w:line="600"/>
              <w:jc w:val="center"/>
            </w:pPr>
            <w:r/>
            <w:r>
              <w:rPr>
                <w:rFonts w:ascii="仿宋_GB2312" w:hAnsi="仿宋_GB2312" w:eastAsia="仿宋_GB2312"/>
                <w:b w:val="0"/>
                <w:color w:val="000000"/>
                <w:sz w:val="32"/>
              </w:rPr>
              <w:t>完备链</w:t>
            </w:r>
          </w:p>
        </w:tc>
      </w:tr>
    </w:tbl>
    <w:p>
      <w:pPr>
        <w:spacing w:lineRule="exact" w:line="600" w:before="120" w:after="120"/>
        <w:ind w:firstLine="420"/>
        <w:jc w:val="left"/>
      </w:pPr>
      <w:r>
        <w:rPr>
          <w:rFonts w:ascii="楷体_GB2312" w:hAnsi="楷体_GB2312" w:eastAsia="楷体_GB2312"/>
          <w:b w:val="0"/>
          <w:color w:val="000000"/>
          <w:sz w:val="32"/>
        </w:rPr>
        <w:t>（二）中游化学原料药与制剂</w:t>
      </w:r>
    </w:p>
    <w:p>
      <w:pPr>
        <w:spacing w:lineRule="exact" w:line="600" w:before="0" w:after="0"/>
        <w:ind w:firstLine="420"/>
        <w:jc w:val="both"/>
      </w:pPr>
      <w:r>
        <w:rPr>
          <w:rFonts w:ascii="仿宋_GB2312" w:hAnsi="仿宋_GB2312" w:eastAsia="仿宋_GB2312"/>
          <w:b w:val="0"/>
          <w:color w:val="000000"/>
          <w:sz w:val="32"/>
        </w:rPr>
        <w:t>中游为化学原料药与制剂制造。新华制药化学原料药年产能5万吨、固体制剂320亿片（粒）、注射剂15亿支（来源：新华制药2024年报）。2024年解热镇痛类等原料药收入27.36亿元（占32.32%）、制剂收入40.72亿元（占48.10%）（来源：新华制药年报）。公司是新中国第一家化学合成制药企业，阿司匹林、布洛芬生产能力居全球第一（来源：淄博高新区官网）。</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中游产品</w:t>
            </w:r>
          </w:p>
        </w:tc>
        <w:tc>
          <w:tcPr>
            <w:tcW w:type="dxa" w:w="3685"/>
          </w:tcPr>
          <w:p>
            <w:pPr>
              <w:spacing w:lineRule="exact" w:line="600"/>
              <w:jc w:val="center"/>
            </w:pPr>
            <w:r/>
            <w:r>
              <w:rPr>
                <w:rFonts w:ascii="黑体" w:hAnsi="黑体" w:eastAsia="黑体"/>
                <w:b/>
                <w:color w:val="000000"/>
                <w:sz w:val="32"/>
              </w:rPr>
              <w:t>产能/收入</w:t>
            </w:r>
          </w:p>
        </w:tc>
        <w:tc>
          <w:tcPr>
            <w:tcW w:type="dxa" w:w="3402"/>
          </w:tcPr>
          <w:p>
            <w:pPr>
              <w:spacing w:lineRule="exact" w:line="600"/>
              <w:jc w:val="center"/>
            </w:pPr>
            <w:r/>
            <w:r>
              <w:rPr>
                <w:rFonts w:ascii="黑体" w:hAnsi="黑体" w:eastAsia="黑体"/>
                <w:b/>
                <w:color w:val="000000"/>
                <w:sz w:val="32"/>
              </w:rPr>
              <w:t>地位</w:t>
            </w:r>
          </w:p>
        </w:tc>
      </w:tr>
      <w:tr>
        <w:tc>
          <w:tcPr>
            <w:tcW w:type="dxa" w:w="1701"/>
          </w:tcPr>
          <w:p>
            <w:pPr>
              <w:spacing w:lineRule="exact" w:line="600"/>
              <w:jc w:val="center"/>
            </w:pPr>
            <w:r/>
            <w:r>
              <w:rPr>
                <w:rFonts w:ascii="仿宋_GB2312" w:hAnsi="仿宋_GB2312" w:eastAsia="仿宋_GB2312"/>
                <w:b w:val="0"/>
                <w:color w:val="000000"/>
                <w:sz w:val="32"/>
              </w:rPr>
              <w:t>化学原料药</w:t>
            </w:r>
          </w:p>
        </w:tc>
        <w:tc>
          <w:tcPr>
            <w:tcW w:type="dxa" w:w="3685"/>
          </w:tcPr>
          <w:p>
            <w:pPr>
              <w:spacing w:lineRule="exact" w:line="600"/>
              <w:jc w:val="center"/>
            </w:pPr>
            <w:r/>
            <w:r>
              <w:rPr>
                <w:rFonts w:ascii="仿宋_GB2312" w:hAnsi="仿宋_GB2312" w:eastAsia="仿宋_GB2312"/>
                <w:b w:val="0"/>
                <w:color w:val="000000"/>
                <w:sz w:val="32"/>
              </w:rPr>
              <w:t>27.36亿元/5万吨产能</w:t>
            </w:r>
          </w:p>
        </w:tc>
        <w:tc>
          <w:tcPr>
            <w:tcW w:type="dxa" w:w="3402"/>
          </w:tcPr>
          <w:p>
            <w:pPr>
              <w:spacing w:lineRule="exact" w:line="600"/>
              <w:jc w:val="center"/>
            </w:pPr>
            <w:r/>
            <w:r>
              <w:rPr>
                <w:rFonts w:ascii="仿宋_GB2312" w:hAnsi="仿宋_GB2312" w:eastAsia="仿宋_GB2312"/>
                <w:b w:val="0"/>
                <w:color w:val="000000"/>
                <w:sz w:val="32"/>
              </w:rPr>
              <w:t>阿司匹林布洛芬全球第一</w:t>
            </w:r>
          </w:p>
        </w:tc>
      </w:tr>
      <w:tr>
        <w:tc>
          <w:tcPr>
            <w:tcW w:type="dxa" w:w="1701"/>
          </w:tcPr>
          <w:p>
            <w:pPr>
              <w:spacing w:lineRule="exact" w:line="600"/>
              <w:jc w:val="center"/>
            </w:pPr>
            <w:r/>
            <w:r>
              <w:rPr>
                <w:rFonts w:ascii="仿宋_GB2312" w:hAnsi="仿宋_GB2312" w:eastAsia="仿宋_GB2312"/>
                <w:b w:val="0"/>
                <w:color w:val="000000"/>
                <w:sz w:val="32"/>
              </w:rPr>
              <w:t>制剂</w:t>
            </w:r>
          </w:p>
        </w:tc>
        <w:tc>
          <w:tcPr>
            <w:tcW w:type="dxa" w:w="3685"/>
          </w:tcPr>
          <w:p>
            <w:pPr>
              <w:spacing w:lineRule="exact" w:line="600"/>
              <w:jc w:val="center"/>
            </w:pPr>
            <w:r/>
            <w:r>
              <w:rPr>
                <w:rFonts w:ascii="仿宋_GB2312" w:hAnsi="仿宋_GB2312" w:eastAsia="仿宋_GB2312"/>
                <w:b w:val="0"/>
                <w:color w:val="000000"/>
                <w:sz w:val="32"/>
              </w:rPr>
              <w:t>40.72亿元/320亿片</w:t>
            </w:r>
          </w:p>
        </w:tc>
        <w:tc>
          <w:tcPr>
            <w:tcW w:type="dxa" w:w="3402"/>
          </w:tcPr>
          <w:p>
            <w:pPr>
              <w:spacing w:lineRule="exact" w:line="600"/>
              <w:jc w:val="center"/>
            </w:pPr>
            <w:r/>
            <w:r>
              <w:rPr>
                <w:rFonts w:ascii="仿宋_GB2312" w:hAnsi="仿宋_GB2312" w:eastAsia="仿宋_GB2312"/>
                <w:b w:val="0"/>
                <w:color w:val="000000"/>
                <w:sz w:val="32"/>
              </w:rPr>
              <w:t>48.1%营收</w:t>
            </w:r>
          </w:p>
        </w:tc>
      </w:tr>
      <w:tr>
        <w:tc>
          <w:tcPr>
            <w:tcW w:type="dxa" w:w="1701"/>
          </w:tcPr>
          <w:p>
            <w:pPr>
              <w:spacing w:lineRule="exact" w:line="600"/>
              <w:jc w:val="center"/>
            </w:pPr>
            <w:r/>
            <w:r>
              <w:rPr>
                <w:rFonts w:ascii="仿宋_GB2312" w:hAnsi="仿宋_GB2312" w:eastAsia="仿宋_GB2312"/>
                <w:b w:val="0"/>
                <w:color w:val="000000"/>
                <w:sz w:val="32"/>
              </w:rPr>
              <w:t>注射剂</w:t>
            </w:r>
          </w:p>
        </w:tc>
        <w:tc>
          <w:tcPr>
            <w:tcW w:type="dxa" w:w="3685"/>
          </w:tcPr>
          <w:p>
            <w:pPr>
              <w:spacing w:lineRule="exact" w:line="600"/>
              <w:jc w:val="center"/>
            </w:pPr>
            <w:r/>
            <w:r>
              <w:rPr>
                <w:rFonts w:ascii="仿宋_GB2312" w:hAnsi="仿宋_GB2312" w:eastAsia="仿宋_GB2312"/>
                <w:b w:val="0"/>
                <w:color w:val="000000"/>
                <w:sz w:val="32"/>
              </w:rPr>
              <w:t>15亿支/年</w:t>
            </w:r>
          </w:p>
        </w:tc>
        <w:tc>
          <w:tcPr>
            <w:tcW w:type="dxa" w:w="3402"/>
          </w:tcPr>
          <w:p>
            <w:pPr>
              <w:spacing w:lineRule="exact" w:line="600"/>
              <w:jc w:val="center"/>
            </w:pPr>
            <w:r/>
            <w:r>
              <w:rPr>
                <w:rFonts w:ascii="仿宋_GB2312" w:hAnsi="仿宋_GB2312" w:eastAsia="仿宋_GB2312"/>
                <w:b w:val="0"/>
                <w:color w:val="000000"/>
                <w:sz w:val="32"/>
              </w:rPr>
              <w:t>规模供应</w:t>
            </w:r>
          </w:p>
        </w:tc>
      </w:tr>
      <w:tr>
        <w:tc>
          <w:tcPr>
            <w:tcW w:type="dxa" w:w="1701"/>
          </w:tcPr>
          <w:p>
            <w:pPr>
              <w:spacing w:lineRule="exact" w:line="600"/>
              <w:jc w:val="center"/>
            </w:pPr>
            <w:r/>
            <w:r>
              <w:rPr>
                <w:rFonts w:ascii="仿宋_GB2312" w:hAnsi="仿宋_GB2312" w:eastAsia="仿宋_GB2312"/>
                <w:b w:val="0"/>
                <w:color w:val="000000"/>
                <w:sz w:val="32"/>
              </w:rPr>
              <w:t>独家品种</w:t>
            </w:r>
          </w:p>
        </w:tc>
        <w:tc>
          <w:tcPr>
            <w:tcW w:type="dxa" w:w="3685"/>
          </w:tcPr>
          <w:p>
            <w:pPr>
              <w:spacing w:lineRule="exact" w:line="600"/>
              <w:jc w:val="center"/>
            </w:pPr>
            <w:r/>
            <w:r>
              <w:rPr>
                <w:rFonts w:ascii="仿宋_GB2312" w:hAnsi="仿宋_GB2312" w:eastAsia="仿宋_GB2312"/>
                <w:b w:val="0"/>
                <w:color w:val="000000"/>
                <w:sz w:val="32"/>
              </w:rPr>
              <w:t>26个市占率第一/独家</w:t>
            </w:r>
          </w:p>
        </w:tc>
        <w:tc>
          <w:tcPr>
            <w:tcW w:type="dxa" w:w="3402"/>
          </w:tcPr>
          <w:p>
            <w:pPr>
              <w:spacing w:lineRule="exact" w:line="600"/>
              <w:jc w:val="center"/>
            </w:pPr>
            <w:r/>
            <w:r>
              <w:rPr>
                <w:rFonts w:ascii="仿宋_GB2312" w:hAnsi="仿宋_GB2312" w:eastAsia="仿宋_GB2312"/>
                <w:b w:val="0"/>
                <w:color w:val="000000"/>
                <w:sz w:val="32"/>
              </w:rPr>
              <w:t>产品矩阵</w:t>
            </w:r>
          </w:p>
        </w:tc>
      </w:tr>
    </w:tbl>
    <w:p>
      <w:pPr>
        <w:spacing w:lineRule="exact" w:line="600" w:before="120" w:after="120"/>
        <w:ind w:firstLine="420"/>
        <w:jc w:val="left"/>
      </w:pPr>
      <w:r>
        <w:rPr>
          <w:rFonts w:ascii="楷体_GB2312" w:hAnsi="楷体_GB2312" w:eastAsia="楷体_GB2312"/>
          <w:b w:val="0"/>
          <w:color w:val="000000"/>
          <w:sz w:val="32"/>
        </w:rPr>
        <w:t>（三）下游流通与服务</w:t>
      </w:r>
    </w:p>
    <w:p>
      <w:pPr>
        <w:spacing w:lineRule="exact" w:line="600" w:before="0" w:after="0"/>
        <w:ind w:firstLine="420"/>
        <w:jc w:val="both"/>
      </w:pPr>
      <w:r>
        <w:rPr>
          <w:rFonts w:ascii="仿宋_GB2312" w:hAnsi="仿宋_GB2312" w:eastAsia="仿宋_GB2312"/>
          <w:b w:val="0"/>
          <w:color w:val="000000"/>
          <w:sz w:val="32"/>
        </w:rPr>
        <w:t>下游为医药流通、商贸与医疗服务。新华制药现代医药物流项目、口服液生产线建设进展顺利（来源：新华制药2024年报）；商业板块与头部企业战略合作加深。高新区布局医药包材与CRO服务，形成「医药制药—医疗装备—医药包材—CRO」完善体系（来源：淄博高新区官网）。医药国际合作中心引进百利高、默克、罗氏等开展OEM合作（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下游环节</w:t>
            </w:r>
          </w:p>
        </w:tc>
        <w:tc>
          <w:tcPr>
            <w:tcW w:type="dxa" w:w="3118"/>
          </w:tcPr>
          <w:p>
            <w:pPr>
              <w:spacing w:lineRule="exact" w:line="600"/>
              <w:jc w:val="center"/>
            </w:pPr>
            <w:r/>
            <w:r>
              <w:rPr>
                <w:rFonts w:ascii="黑体" w:hAnsi="黑体" w:eastAsia="黑体"/>
                <w:b/>
                <w:color w:val="000000"/>
                <w:sz w:val="32"/>
              </w:rPr>
              <w:t>主体/项目</w:t>
            </w:r>
          </w:p>
        </w:tc>
        <w:tc>
          <w:tcPr>
            <w:tcW w:type="dxa" w:w="3685"/>
          </w:tcPr>
          <w:p>
            <w:pPr>
              <w:spacing w:lineRule="exact" w:line="600"/>
              <w:jc w:val="center"/>
            </w:pPr>
            <w:r/>
            <w:r>
              <w:rPr>
                <w:rFonts w:ascii="黑体" w:hAnsi="黑体" w:eastAsia="黑体"/>
                <w:b/>
                <w:color w:val="000000"/>
                <w:sz w:val="32"/>
              </w:rPr>
              <w:t>功能</w:t>
            </w:r>
          </w:p>
        </w:tc>
      </w:tr>
      <w:tr>
        <w:tc>
          <w:tcPr>
            <w:tcW w:type="dxa" w:w="1984"/>
          </w:tcPr>
          <w:p>
            <w:pPr>
              <w:spacing w:lineRule="exact" w:line="600"/>
              <w:jc w:val="center"/>
            </w:pPr>
            <w:r/>
            <w:r>
              <w:rPr>
                <w:rFonts w:ascii="仿宋_GB2312" w:hAnsi="仿宋_GB2312" w:eastAsia="仿宋_GB2312"/>
                <w:b w:val="0"/>
                <w:color w:val="000000"/>
                <w:sz w:val="32"/>
              </w:rPr>
              <w:t>医药物流</w:t>
            </w:r>
          </w:p>
        </w:tc>
        <w:tc>
          <w:tcPr>
            <w:tcW w:type="dxa" w:w="3118"/>
          </w:tcPr>
          <w:p>
            <w:pPr>
              <w:spacing w:lineRule="exact" w:line="600"/>
              <w:jc w:val="center"/>
            </w:pPr>
            <w:r/>
            <w:r>
              <w:rPr>
                <w:rFonts w:ascii="仿宋_GB2312" w:hAnsi="仿宋_GB2312" w:eastAsia="仿宋_GB2312"/>
                <w:b w:val="0"/>
                <w:color w:val="000000"/>
                <w:sz w:val="32"/>
              </w:rPr>
              <w:t>新华制药现代医药物流</w:t>
            </w:r>
          </w:p>
        </w:tc>
        <w:tc>
          <w:tcPr>
            <w:tcW w:type="dxa" w:w="3685"/>
          </w:tcPr>
          <w:p>
            <w:pPr>
              <w:spacing w:lineRule="exact" w:line="600"/>
              <w:jc w:val="center"/>
            </w:pPr>
            <w:r/>
            <w:r>
              <w:rPr>
                <w:rFonts w:ascii="仿宋_GB2312" w:hAnsi="仿宋_GB2312" w:eastAsia="仿宋_GB2312"/>
                <w:b w:val="0"/>
                <w:color w:val="000000"/>
                <w:sz w:val="32"/>
              </w:rPr>
              <w:t>流通</w:t>
            </w:r>
          </w:p>
        </w:tc>
      </w:tr>
      <w:tr>
        <w:tc>
          <w:tcPr>
            <w:tcW w:type="dxa" w:w="1984"/>
          </w:tcPr>
          <w:p>
            <w:pPr>
              <w:spacing w:lineRule="exact" w:line="600"/>
              <w:jc w:val="center"/>
            </w:pPr>
            <w:r/>
            <w:r>
              <w:rPr>
                <w:rFonts w:ascii="仿宋_GB2312" w:hAnsi="仿宋_GB2312" w:eastAsia="仿宋_GB2312"/>
                <w:b w:val="0"/>
                <w:color w:val="000000"/>
                <w:sz w:val="32"/>
              </w:rPr>
              <w:t>国际合作</w:t>
            </w:r>
          </w:p>
        </w:tc>
        <w:tc>
          <w:tcPr>
            <w:tcW w:type="dxa" w:w="3118"/>
          </w:tcPr>
          <w:p>
            <w:pPr>
              <w:spacing w:lineRule="exact" w:line="600"/>
              <w:jc w:val="center"/>
            </w:pPr>
            <w:r/>
            <w:r>
              <w:rPr>
                <w:rFonts w:ascii="仿宋_GB2312" w:hAnsi="仿宋_GB2312" w:eastAsia="仿宋_GB2312"/>
                <w:b w:val="0"/>
                <w:color w:val="000000"/>
                <w:sz w:val="32"/>
              </w:rPr>
              <w:t>百利高/默克/罗氏 OEM</w:t>
            </w:r>
          </w:p>
        </w:tc>
        <w:tc>
          <w:tcPr>
            <w:tcW w:type="dxa" w:w="3685"/>
          </w:tcPr>
          <w:p>
            <w:pPr>
              <w:spacing w:lineRule="exact" w:line="600"/>
              <w:jc w:val="center"/>
            </w:pPr>
            <w:r/>
            <w:r>
              <w:rPr>
                <w:rFonts w:ascii="仿宋_GB2312" w:hAnsi="仿宋_GB2312" w:eastAsia="仿宋_GB2312"/>
                <w:b w:val="0"/>
                <w:color w:val="000000"/>
                <w:sz w:val="32"/>
              </w:rPr>
              <w:t>国际化</w:t>
            </w:r>
          </w:p>
        </w:tc>
      </w:tr>
      <w:tr>
        <w:tc>
          <w:tcPr>
            <w:tcW w:type="dxa" w:w="1984"/>
          </w:tcPr>
          <w:p>
            <w:pPr>
              <w:spacing w:lineRule="exact" w:line="600"/>
              <w:jc w:val="center"/>
            </w:pPr>
            <w:r/>
            <w:r>
              <w:rPr>
                <w:rFonts w:ascii="仿宋_GB2312" w:hAnsi="仿宋_GB2312" w:eastAsia="仿宋_GB2312"/>
                <w:b w:val="0"/>
                <w:color w:val="000000"/>
                <w:sz w:val="32"/>
              </w:rPr>
              <w:t>医药包材</w:t>
            </w:r>
          </w:p>
        </w:tc>
        <w:tc>
          <w:tcPr>
            <w:tcW w:type="dxa" w:w="3118"/>
          </w:tcPr>
          <w:p>
            <w:pPr>
              <w:spacing w:lineRule="exact" w:line="600"/>
              <w:jc w:val="center"/>
            </w:pPr>
            <w:r/>
            <w:r>
              <w:rPr>
                <w:rFonts w:ascii="仿宋_GB2312" w:hAnsi="仿宋_GB2312" w:eastAsia="仿宋_GB2312"/>
                <w:b w:val="0"/>
                <w:color w:val="000000"/>
                <w:sz w:val="32"/>
              </w:rPr>
              <w:t>药用玻璃等</w:t>
            </w:r>
          </w:p>
        </w:tc>
        <w:tc>
          <w:tcPr>
            <w:tcW w:type="dxa" w:w="3685"/>
          </w:tcPr>
          <w:p>
            <w:pPr>
              <w:spacing w:lineRule="exact" w:line="600"/>
              <w:jc w:val="center"/>
            </w:pPr>
            <w:r/>
            <w:r>
              <w:rPr>
                <w:rFonts w:ascii="仿宋_GB2312" w:hAnsi="仿宋_GB2312" w:eastAsia="仿宋_GB2312"/>
                <w:b w:val="0"/>
                <w:color w:val="000000"/>
                <w:sz w:val="32"/>
              </w:rPr>
              <w:t>配套</w:t>
            </w:r>
          </w:p>
        </w:tc>
      </w:tr>
      <w:tr>
        <w:tc>
          <w:tcPr>
            <w:tcW w:type="dxa" w:w="1984"/>
          </w:tcPr>
          <w:p>
            <w:pPr>
              <w:spacing w:lineRule="exact" w:line="600"/>
              <w:jc w:val="center"/>
            </w:pPr>
            <w:r/>
            <w:r>
              <w:rPr>
                <w:rFonts w:ascii="仿宋_GB2312" w:hAnsi="仿宋_GB2312" w:eastAsia="仿宋_GB2312"/>
                <w:b w:val="0"/>
                <w:color w:val="000000"/>
                <w:sz w:val="32"/>
              </w:rPr>
              <w:t>CRO服务</w:t>
            </w:r>
          </w:p>
        </w:tc>
        <w:tc>
          <w:tcPr>
            <w:tcW w:type="dxa" w:w="3118"/>
          </w:tcPr>
          <w:p>
            <w:pPr>
              <w:spacing w:lineRule="exact" w:line="600"/>
              <w:jc w:val="center"/>
            </w:pPr>
            <w:r/>
            <w:r>
              <w:rPr>
                <w:rFonts w:ascii="仿宋_GB2312" w:hAnsi="仿宋_GB2312" w:eastAsia="仿宋_GB2312"/>
                <w:b w:val="0"/>
                <w:color w:val="000000"/>
                <w:sz w:val="32"/>
              </w:rPr>
              <w:t>园区平台</w:t>
            </w:r>
          </w:p>
        </w:tc>
        <w:tc>
          <w:tcPr>
            <w:tcW w:type="dxa" w:w="3685"/>
          </w:tcPr>
          <w:p>
            <w:pPr>
              <w:spacing w:lineRule="exact" w:line="600"/>
              <w:jc w:val="center"/>
            </w:pPr>
            <w:r/>
            <w:r>
              <w:rPr>
                <w:rFonts w:ascii="仿宋_GB2312" w:hAnsi="仿宋_GB2312" w:eastAsia="仿宋_GB2312"/>
                <w:b w:val="0"/>
                <w:color w:val="000000"/>
                <w:sz w:val="32"/>
              </w:rPr>
              <w:t>研发服务</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（一）供给格局与产能</w:t>
      </w:r>
    </w:p>
    <w:p>
      <w:pPr>
        <w:spacing w:lineRule="exact" w:line="600" w:before="0" w:after="0"/>
        <w:ind w:firstLine="420"/>
        <w:jc w:val="both"/>
      </w:pPr>
      <w:r>
        <w:rPr>
          <w:rFonts w:ascii="仿宋_GB2312" w:hAnsi="仿宋_GB2312" w:eastAsia="仿宋_GB2312"/>
          <w:b w:val="0"/>
          <w:color w:val="000000"/>
          <w:sz w:val="32"/>
        </w:rPr>
        <w:t>供给端新华制药为绝对龙头，2024年营收84.66亿元，占全国化学制药工业百强之列；原料药产能5万吨、固体制剂320亿片（来源：新华制药年报）。高新区聚集新华制药、新达制药、金城柯瑞等骨干，形成亚洲最大解热镇痛药生产出口基地（来源：淄博高新区官网）。供给充足但同质化竞争明显，部分主导产品价格下行。</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供给主体</w:t>
            </w:r>
          </w:p>
        </w:tc>
        <w:tc>
          <w:tcPr>
            <w:tcW w:type="dxa" w:w="3118"/>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地位</w:t>
            </w:r>
          </w:p>
        </w:tc>
      </w:tr>
      <w:tr>
        <w:tc>
          <w:tcPr>
            <w:tcW w:type="dxa" w:w="1984"/>
          </w:tcPr>
          <w:p>
            <w:pPr>
              <w:spacing w:lineRule="exact" w:line="600"/>
              <w:jc w:val="center"/>
            </w:pPr>
            <w:r/>
            <w:r>
              <w:rPr>
                <w:rFonts w:ascii="仿宋_GB2312" w:hAnsi="仿宋_GB2312" w:eastAsia="仿宋_GB2312"/>
                <w:b w:val="0"/>
                <w:color w:val="000000"/>
                <w:sz w:val="32"/>
              </w:rPr>
              <w:t>新华制药</w:t>
            </w:r>
          </w:p>
        </w:tc>
        <w:tc>
          <w:tcPr>
            <w:tcW w:type="dxa" w:w="3118"/>
          </w:tcPr>
          <w:p>
            <w:pPr>
              <w:spacing w:lineRule="exact" w:line="600"/>
              <w:jc w:val="center"/>
            </w:pPr>
            <w:r/>
            <w:r>
              <w:rPr>
                <w:rFonts w:ascii="仿宋_GB2312" w:hAnsi="仿宋_GB2312" w:eastAsia="仿宋_GB2312"/>
                <w:b w:val="0"/>
                <w:color w:val="000000"/>
                <w:sz w:val="32"/>
              </w:rPr>
              <w:t>84.66亿元营收</w:t>
            </w:r>
          </w:p>
        </w:tc>
        <w:tc>
          <w:tcPr>
            <w:tcW w:type="dxa" w:w="3685"/>
          </w:tcPr>
          <w:p>
            <w:pPr>
              <w:spacing w:lineRule="exact" w:line="600"/>
              <w:jc w:val="center"/>
            </w:pPr>
            <w:r/>
            <w:r>
              <w:rPr>
                <w:rFonts w:ascii="仿宋_GB2312" w:hAnsi="仿宋_GB2312" w:eastAsia="仿宋_GB2312"/>
                <w:b w:val="0"/>
                <w:color w:val="000000"/>
                <w:sz w:val="32"/>
              </w:rPr>
              <w:t>亚洲最大解热镇痛基地</w:t>
            </w:r>
          </w:p>
        </w:tc>
      </w:tr>
      <w:tr>
        <w:tc>
          <w:tcPr>
            <w:tcW w:type="dxa" w:w="1984"/>
          </w:tcPr>
          <w:p>
            <w:pPr>
              <w:spacing w:lineRule="exact" w:line="600"/>
              <w:jc w:val="center"/>
            </w:pPr>
            <w:r/>
            <w:r>
              <w:rPr>
                <w:rFonts w:ascii="仿宋_GB2312" w:hAnsi="仿宋_GB2312" w:eastAsia="仿宋_GB2312"/>
                <w:b w:val="0"/>
                <w:color w:val="000000"/>
                <w:sz w:val="32"/>
              </w:rPr>
              <w:t>新达制药</w:t>
            </w:r>
          </w:p>
        </w:tc>
        <w:tc>
          <w:tcPr>
            <w:tcW w:type="dxa" w:w="3118"/>
          </w:tcPr>
          <w:p>
            <w:pPr>
              <w:spacing w:lineRule="exact" w:line="600"/>
              <w:jc w:val="center"/>
            </w:pPr>
            <w:r/>
            <w:r>
              <w:rPr>
                <w:rFonts w:ascii="仿宋_GB2312" w:hAnsi="仿宋_GB2312" w:eastAsia="仿宋_GB2312"/>
                <w:b w:val="0"/>
                <w:color w:val="000000"/>
                <w:sz w:val="32"/>
              </w:rPr>
              <w:t>骨干</w:t>
            </w:r>
          </w:p>
        </w:tc>
        <w:tc>
          <w:tcPr>
            <w:tcW w:type="dxa" w:w="3685"/>
          </w:tcPr>
          <w:p>
            <w:pPr>
              <w:spacing w:lineRule="exact" w:line="600"/>
              <w:jc w:val="center"/>
            </w:pPr>
            <w:r/>
            <w:r>
              <w:rPr>
                <w:rFonts w:ascii="仿宋_GB2312" w:hAnsi="仿宋_GB2312" w:eastAsia="仿宋_GB2312"/>
                <w:b w:val="0"/>
                <w:color w:val="000000"/>
                <w:sz w:val="32"/>
              </w:rPr>
              <w:t>衍生企业</w:t>
            </w:r>
          </w:p>
        </w:tc>
      </w:tr>
      <w:tr>
        <w:tc>
          <w:tcPr>
            <w:tcW w:type="dxa" w:w="1984"/>
          </w:tcPr>
          <w:p>
            <w:pPr>
              <w:spacing w:lineRule="exact" w:line="600"/>
              <w:jc w:val="center"/>
            </w:pPr>
            <w:r/>
            <w:r>
              <w:rPr>
                <w:rFonts w:ascii="仿宋_GB2312" w:hAnsi="仿宋_GB2312" w:eastAsia="仿宋_GB2312"/>
                <w:b w:val="0"/>
                <w:color w:val="000000"/>
                <w:sz w:val="32"/>
              </w:rPr>
              <w:t>金城柯瑞</w:t>
            </w:r>
          </w:p>
        </w:tc>
        <w:tc>
          <w:tcPr>
            <w:tcW w:type="dxa" w:w="3118"/>
          </w:tcPr>
          <w:p>
            <w:pPr>
              <w:spacing w:lineRule="exact" w:line="600"/>
              <w:jc w:val="center"/>
            </w:pPr>
            <w:r/>
            <w:r>
              <w:rPr>
                <w:rFonts w:ascii="仿宋_GB2312" w:hAnsi="仿宋_GB2312" w:eastAsia="仿宋_GB2312"/>
                <w:b w:val="0"/>
                <w:color w:val="000000"/>
                <w:sz w:val="32"/>
              </w:rPr>
              <w:t>骨干</w:t>
            </w:r>
          </w:p>
        </w:tc>
        <w:tc>
          <w:tcPr>
            <w:tcW w:type="dxa" w:w="3685"/>
          </w:tcPr>
          <w:p>
            <w:pPr>
              <w:spacing w:lineRule="exact" w:line="600"/>
              <w:jc w:val="center"/>
            </w:pPr>
            <w:r/>
            <w:r>
              <w:rPr>
                <w:rFonts w:ascii="仿宋_GB2312" w:hAnsi="仿宋_GB2312" w:eastAsia="仿宋_GB2312"/>
                <w:b w:val="0"/>
                <w:color w:val="000000"/>
                <w:sz w:val="32"/>
              </w:rPr>
              <w:t>特色原料</w:t>
            </w:r>
          </w:p>
        </w:tc>
      </w:tr>
      <w:tr>
        <w:tc>
          <w:tcPr>
            <w:tcW w:type="dxa" w:w="1984"/>
          </w:tcPr>
          <w:p>
            <w:pPr>
              <w:spacing w:lineRule="exact" w:line="600"/>
              <w:jc w:val="center"/>
            </w:pPr>
            <w:r/>
            <w:r>
              <w:rPr>
                <w:rFonts w:ascii="仿宋_GB2312" w:hAnsi="仿宋_GB2312" w:eastAsia="仿宋_GB2312"/>
                <w:b w:val="0"/>
                <w:color w:val="000000"/>
                <w:sz w:val="32"/>
              </w:rPr>
              <w:t>高新区整体</w:t>
            </w:r>
          </w:p>
        </w:tc>
        <w:tc>
          <w:tcPr>
            <w:tcW w:type="dxa" w:w="3118"/>
          </w:tcPr>
          <w:p>
            <w:pPr>
              <w:spacing w:lineRule="exact" w:line="600"/>
              <w:jc w:val="center"/>
            </w:pPr>
            <w:r/>
            <w:r>
              <w:rPr>
                <w:rFonts w:ascii="仿宋_GB2312" w:hAnsi="仿宋_GB2312" w:eastAsia="仿宋_GB2312"/>
                <w:b w:val="0"/>
                <w:color w:val="000000"/>
                <w:sz w:val="32"/>
              </w:rPr>
              <w:t>130家企业</w:t>
            </w:r>
          </w:p>
        </w:tc>
        <w:tc>
          <w:tcPr>
            <w:tcW w:type="dxa" w:w="3685"/>
          </w:tcPr>
          <w:p>
            <w:pPr>
              <w:spacing w:lineRule="exact" w:line="600"/>
              <w:jc w:val="center"/>
            </w:pPr>
            <w:r/>
            <w:r>
              <w:rPr>
                <w:rFonts w:ascii="仿宋_GB2312" w:hAnsi="仿宋_GB2312" w:eastAsia="仿宋_GB2312"/>
                <w:b w:val="0"/>
                <w:color w:val="000000"/>
                <w:sz w:val="32"/>
              </w:rPr>
              <w:t>集群</w:t>
            </w:r>
          </w:p>
        </w:tc>
      </w:tr>
    </w:tbl>
    <w:p>
      <w:pPr>
        <w:spacing w:lineRule="exact" w:line="600" w:before="120" w:after="120"/>
        <w:ind w:firstLine="420"/>
        <w:jc w:val="left"/>
      </w:pPr>
      <w:r>
        <w:rPr>
          <w:rFonts w:ascii="楷体_GB2312" w:hAnsi="楷体_GB2312" w:eastAsia="楷体_GB2312"/>
          <w:b w:val="0"/>
          <w:color w:val="000000"/>
          <w:sz w:val="32"/>
        </w:rPr>
        <w:t>（二）需求结构</w:t>
      </w:r>
    </w:p>
    <w:p>
      <w:pPr>
        <w:spacing w:lineRule="exact" w:line="600" w:before="0" w:after="0"/>
        <w:ind w:firstLine="420"/>
        <w:jc w:val="both"/>
      </w:pPr>
      <w:r>
        <w:rPr>
          <w:rFonts w:ascii="仿宋_GB2312" w:hAnsi="仿宋_GB2312" w:eastAsia="仿宋_GB2312"/>
          <w:b w:val="0"/>
          <w:color w:val="000000"/>
          <w:sz w:val="32"/>
        </w:rPr>
        <w:t>需求由集采放量、慢病用药与出口构成。新华制药制剂收入同比增长11.91%，雷贝拉唑等5产品过亿元、集采中选9规格，显示集采带动需求（来源：新华制药年报）。原料药出口近4亿美元，解热镇痛类全球需求稳定（来源：新华制药年报）。需求结构「内销集采+出口原料药」双轮，但价格承压。</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需求</w:t>
            </w:r>
          </w:p>
        </w:tc>
        <w:tc>
          <w:tcPr>
            <w:tcW w:type="dxa" w:w="3118"/>
          </w:tcPr>
          <w:p>
            <w:pPr>
              <w:spacing w:lineRule="exact" w:line="600"/>
              <w:jc w:val="center"/>
            </w:pPr>
            <w:r/>
            <w:r>
              <w:rPr>
                <w:rFonts w:ascii="黑体" w:hAnsi="黑体" w:eastAsia="黑体"/>
                <w:b/>
                <w:color w:val="000000"/>
                <w:sz w:val="32"/>
              </w:rPr>
              <w:t>数据</w:t>
            </w:r>
          </w:p>
        </w:tc>
        <w:tc>
          <w:tcPr>
            <w:tcW w:type="dxa" w:w="3685"/>
          </w:tcPr>
          <w:p>
            <w:pPr>
              <w:spacing w:lineRule="exact" w:line="600"/>
              <w:jc w:val="center"/>
            </w:pPr>
            <w:r/>
            <w:r>
              <w:rPr>
                <w:rFonts w:ascii="黑体" w:hAnsi="黑体" w:eastAsia="黑体"/>
                <w:b/>
                <w:color w:val="000000"/>
                <w:sz w:val="32"/>
              </w:rPr>
              <w:t>驱动</w:t>
            </w:r>
          </w:p>
        </w:tc>
      </w:tr>
      <w:tr>
        <w:tc>
          <w:tcPr>
            <w:tcW w:type="dxa" w:w="1984"/>
          </w:tcPr>
          <w:p>
            <w:pPr>
              <w:spacing w:lineRule="exact" w:line="600"/>
              <w:jc w:val="center"/>
            </w:pPr>
            <w:r/>
            <w:r>
              <w:rPr>
                <w:rFonts w:ascii="仿宋_GB2312" w:hAnsi="仿宋_GB2312" w:eastAsia="仿宋_GB2312"/>
                <w:b w:val="0"/>
                <w:color w:val="000000"/>
                <w:sz w:val="32"/>
              </w:rPr>
              <w:t>制剂</w:t>
            </w:r>
          </w:p>
        </w:tc>
        <w:tc>
          <w:tcPr>
            <w:tcW w:type="dxa" w:w="3118"/>
          </w:tcPr>
          <w:p>
            <w:pPr>
              <w:spacing w:lineRule="exact" w:line="600"/>
              <w:jc w:val="center"/>
            </w:pPr>
            <w:r/>
            <w:r>
              <w:rPr>
                <w:rFonts w:ascii="仿宋_GB2312" w:hAnsi="仿宋_GB2312" w:eastAsia="仿宋_GB2312"/>
                <w:b w:val="0"/>
                <w:color w:val="000000"/>
                <w:sz w:val="32"/>
              </w:rPr>
              <w:t>40.72亿(+11.91%)</w:t>
            </w:r>
          </w:p>
        </w:tc>
        <w:tc>
          <w:tcPr>
            <w:tcW w:type="dxa" w:w="3685"/>
          </w:tcPr>
          <w:p>
            <w:pPr>
              <w:spacing w:lineRule="exact" w:line="600"/>
              <w:jc w:val="center"/>
            </w:pPr>
            <w:r/>
            <w:r>
              <w:rPr>
                <w:rFonts w:ascii="仿宋_GB2312" w:hAnsi="仿宋_GB2312" w:eastAsia="仿宋_GB2312"/>
                <w:b w:val="0"/>
                <w:color w:val="000000"/>
                <w:sz w:val="32"/>
              </w:rPr>
              <w:t>集采放量</w:t>
            </w:r>
          </w:p>
        </w:tc>
      </w:tr>
      <w:tr>
        <w:tc>
          <w:tcPr>
            <w:tcW w:type="dxa" w:w="1984"/>
          </w:tcPr>
          <w:p>
            <w:pPr>
              <w:spacing w:lineRule="exact" w:line="600"/>
              <w:jc w:val="center"/>
            </w:pPr>
            <w:r/>
            <w:r>
              <w:rPr>
                <w:rFonts w:ascii="仿宋_GB2312" w:hAnsi="仿宋_GB2312" w:eastAsia="仿宋_GB2312"/>
                <w:b w:val="0"/>
                <w:color w:val="000000"/>
                <w:sz w:val="32"/>
              </w:rPr>
              <w:t>原料药出口</w:t>
            </w:r>
          </w:p>
        </w:tc>
        <w:tc>
          <w:tcPr>
            <w:tcW w:type="dxa" w:w="3118"/>
          </w:tcPr>
          <w:p>
            <w:pPr>
              <w:spacing w:lineRule="exact" w:line="600"/>
              <w:jc w:val="center"/>
            </w:pPr>
            <w:r/>
            <w:r>
              <w:rPr>
                <w:rFonts w:ascii="仿宋_GB2312" w:hAnsi="仿宋_GB2312" w:eastAsia="仿宋_GB2312"/>
                <w:b w:val="0"/>
                <w:color w:val="000000"/>
                <w:sz w:val="32"/>
              </w:rPr>
              <w:t>近4亿美元</w:t>
            </w:r>
          </w:p>
        </w:tc>
        <w:tc>
          <w:tcPr>
            <w:tcW w:type="dxa" w:w="3685"/>
          </w:tcPr>
          <w:p>
            <w:pPr>
              <w:spacing w:lineRule="exact" w:line="600"/>
              <w:jc w:val="center"/>
            </w:pPr>
            <w:r/>
            <w:r>
              <w:rPr>
                <w:rFonts w:ascii="仿宋_GB2312" w:hAnsi="仿宋_GB2312" w:eastAsia="仿宋_GB2312"/>
                <w:b w:val="0"/>
                <w:color w:val="000000"/>
                <w:sz w:val="32"/>
              </w:rPr>
              <w:t>全球需求</w:t>
            </w:r>
          </w:p>
        </w:tc>
      </w:tr>
      <w:tr>
        <w:tc>
          <w:tcPr>
            <w:tcW w:type="dxa" w:w="1984"/>
          </w:tcPr>
          <w:p>
            <w:pPr>
              <w:spacing w:lineRule="exact" w:line="600"/>
              <w:jc w:val="center"/>
            </w:pPr>
            <w:r/>
            <w:r>
              <w:rPr>
                <w:rFonts w:ascii="仿宋_GB2312" w:hAnsi="仿宋_GB2312" w:eastAsia="仿宋_GB2312"/>
                <w:b w:val="0"/>
                <w:color w:val="000000"/>
                <w:sz w:val="32"/>
              </w:rPr>
              <w:t>过亿单品</w:t>
            </w:r>
          </w:p>
        </w:tc>
        <w:tc>
          <w:tcPr>
            <w:tcW w:type="dxa" w:w="3118"/>
          </w:tcPr>
          <w:p>
            <w:pPr>
              <w:spacing w:lineRule="exact" w:line="600"/>
              <w:jc w:val="center"/>
            </w:pPr>
            <w:r/>
            <w:r>
              <w:rPr>
                <w:rFonts w:ascii="仿宋_GB2312" w:hAnsi="仿宋_GB2312" w:eastAsia="仿宋_GB2312"/>
                <w:b w:val="0"/>
                <w:color w:val="000000"/>
                <w:sz w:val="32"/>
              </w:rPr>
              <w:t>5个</w:t>
            </w:r>
          </w:p>
        </w:tc>
        <w:tc>
          <w:tcPr>
            <w:tcW w:type="dxa" w:w="3685"/>
          </w:tcPr>
          <w:p>
            <w:pPr>
              <w:spacing w:lineRule="exact" w:line="600"/>
              <w:jc w:val="center"/>
            </w:pPr>
            <w:r/>
            <w:r>
              <w:rPr>
                <w:rFonts w:ascii="仿宋_GB2312" w:hAnsi="仿宋_GB2312" w:eastAsia="仿宋_GB2312"/>
                <w:b w:val="0"/>
                <w:color w:val="000000"/>
                <w:sz w:val="32"/>
              </w:rPr>
              <w:t>大品种</w:t>
            </w:r>
          </w:p>
        </w:tc>
      </w:tr>
      <w:tr>
        <w:tc>
          <w:tcPr>
            <w:tcW w:type="dxa" w:w="1984"/>
          </w:tcPr>
          <w:p>
            <w:pPr>
              <w:spacing w:lineRule="exact" w:line="600"/>
              <w:jc w:val="center"/>
            </w:pPr>
            <w:r/>
            <w:r>
              <w:rPr>
                <w:rFonts w:ascii="仿宋_GB2312" w:hAnsi="仿宋_GB2312" w:eastAsia="仿宋_GB2312"/>
                <w:b w:val="0"/>
                <w:color w:val="000000"/>
                <w:sz w:val="32"/>
              </w:rPr>
              <w:t>集采中选</w:t>
            </w:r>
          </w:p>
        </w:tc>
        <w:tc>
          <w:tcPr>
            <w:tcW w:type="dxa" w:w="3118"/>
          </w:tcPr>
          <w:p>
            <w:pPr>
              <w:spacing w:lineRule="exact" w:line="600"/>
              <w:jc w:val="center"/>
            </w:pPr>
            <w:r/>
            <w:r>
              <w:rPr>
                <w:rFonts w:ascii="仿宋_GB2312" w:hAnsi="仿宋_GB2312" w:eastAsia="仿宋_GB2312"/>
                <w:b w:val="0"/>
                <w:color w:val="000000"/>
                <w:sz w:val="32"/>
              </w:rPr>
              <w:t>9规格</w:t>
            </w:r>
          </w:p>
        </w:tc>
        <w:tc>
          <w:tcPr>
            <w:tcW w:type="dxa" w:w="3685"/>
          </w:tcPr>
          <w:p>
            <w:pPr>
              <w:spacing w:lineRule="exact" w:line="600"/>
              <w:jc w:val="center"/>
            </w:pPr>
            <w:r/>
            <w:r>
              <w:rPr>
                <w:rFonts w:ascii="仿宋_GB2312" w:hAnsi="仿宋_GB2312" w:eastAsia="仿宋_GB2312"/>
                <w:b w:val="0"/>
                <w:color w:val="000000"/>
                <w:sz w:val="32"/>
              </w:rPr>
              <w:t>以价换量</w:t>
            </w:r>
          </w:p>
        </w:tc>
      </w:tr>
    </w:tbl>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新华制药在解热镇痛类（阿司匹林、布洛芬、左旋多巴等）具全球定价与份额优势，26个品种市占率第一或独家（来源：新华制药年报）。但面临恒瑞、石药、华海等综合药企及原料药同行竞争；2024年部分主导产品价格下降致「增收不增利」（来源：经济参考报）。竞争焦点由产能规模转向制剂国际化、创新药与成本管控。</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企业</w:t>
            </w:r>
          </w:p>
        </w:tc>
        <w:tc>
          <w:tcPr>
            <w:tcW w:type="dxa" w:w="3402"/>
          </w:tcPr>
          <w:p>
            <w:pPr>
              <w:spacing w:lineRule="exact" w:line="600"/>
              <w:jc w:val="center"/>
            </w:pPr>
            <w:r/>
            <w:r>
              <w:rPr>
                <w:rFonts w:ascii="黑体" w:hAnsi="黑体" w:eastAsia="黑体"/>
                <w:b/>
                <w:color w:val="000000"/>
                <w:sz w:val="32"/>
              </w:rPr>
              <w:t>优势</w:t>
            </w:r>
          </w:p>
        </w:tc>
        <w:tc>
          <w:tcPr>
            <w:tcW w:type="dxa" w:w="3685"/>
          </w:tcPr>
          <w:p>
            <w:pPr>
              <w:spacing w:lineRule="exact" w:line="600"/>
              <w:jc w:val="center"/>
            </w:pPr>
            <w:r/>
            <w:r>
              <w:rPr>
                <w:rFonts w:ascii="黑体" w:hAnsi="黑体" w:eastAsia="黑体"/>
                <w:b/>
                <w:color w:val="000000"/>
                <w:sz w:val="32"/>
              </w:rPr>
              <w:t>格局</w:t>
            </w:r>
          </w:p>
        </w:tc>
      </w:tr>
      <w:tr>
        <w:tc>
          <w:tcPr>
            <w:tcW w:type="dxa" w:w="1701"/>
          </w:tcPr>
          <w:p>
            <w:pPr>
              <w:spacing w:lineRule="exact" w:line="600"/>
              <w:jc w:val="center"/>
            </w:pPr>
            <w:r/>
            <w:r>
              <w:rPr>
                <w:rFonts w:ascii="仿宋_GB2312" w:hAnsi="仿宋_GB2312" w:eastAsia="仿宋_GB2312"/>
                <w:b w:val="0"/>
                <w:color w:val="000000"/>
                <w:sz w:val="32"/>
              </w:rPr>
              <w:t>新华制药</w:t>
            </w:r>
          </w:p>
        </w:tc>
        <w:tc>
          <w:tcPr>
            <w:tcW w:type="dxa" w:w="3402"/>
          </w:tcPr>
          <w:p>
            <w:pPr>
              <w:spacing w:lineRule="exact" w:line="600"/>
              <w:jc w:val="center"/>
            </w:pPr>
            <w:r/>
            <w:r>
              <w:rPr>
                <w:rFonts w:ascii="仿宋_GB2312" w:hAnsi="仿宋_GB2312" w:eastAsia="仿宋_GB2312"/>
                <w:b w:val="0"/>
                <w:color w:val="000000"/>
                <w:sz w:val="32"/>
              </w:rPr>
              <w:t>26个第一/独家</w:t>
            </w:r>
          </w:p>
        </w:tc>
        <w:tc>
          <w:tcPr>
            <w:tcW w:type="dxa" w:w="3685"/>
          </w:tcPr>
          <w:p>
            <w:pPr>
              <w:spacing w:lineRule="exact" w:line="600"/>
              <w:jc w:val="center"/>
            </w:pPr>
            <w:r/>
            <w:r>
              <w:rPr>
                <w:rFonts w:ascii="仿宋_GB2312" w:hAnsi="仿宋_GB2312" w:eastAsia="仿宋_GB2312"/>
                <w:b w:val="0"/>
                <w:color w:val="000000"/>
                <w:sz w:val="32"/>
              </w:rPr>
              <w:t>解热镇痛龙头</w:t>
            </w:r>
          </w:p>
        </w:tc>
      </w:tr>
      <w:tr>
        <w:tc>
          <w:tcPr>
            <w:tcW w:type="dxa" w:w="1701"/>
          </w:tcPr>
          <w:p>
            <w:pPr>
              <w:spacing w:lineRule="exact" w:line="600"/>
              <w:jc w:val="center"/>
            </w:pPr>
            <w:r/>
            <w:r>
              <w:rPr>
                <w:rFonts w:ascii="仿宋_GB2312" w:hAnsi="仿宋_GB2312" w:eastAsia="仿宋_GB2312"/>
                <w:b w:val="0"/>
                <w:color w:val="000000"/>
                <w:sz w:val="32"/>
              </w:rPr>
              <w:t>恒瑞/石药</w:t>
            </w:r>
          </w:p>
        </w:tc>
        <w:tc>
          <w:tcPr>
            <w:tcW w:type="dxa" w:w="3402"/>
          </w:tcPr>
          <w:p>
            <w:pPr>
              <w:spacing w:lineRule="exact" w:line="600"/>
              <w:jc w:val="center"/>
            </w:pPr>
            <w:r/>
            <w:r>
              <w:rPr>
                <w:rFonts w:ascii="仿宋_GB2312" w:hAnsi="仿宋_GB2312" w:eastAsia="仿宋_GB2312"/>
                <w:b w:val="0"/>
                <w:color w:val="000000"/>
                <w:sz w:val="32"/>
              </w:rPr>
              <w:t>综合创新</w:t>
            </w:r>
          </w:p>
        </w:tc>
        <w:tc>
          <w:tcPr>
            <w:tcW w:type="dxa" w:w="3685"/>
          </w:tcPr>
          <w:p>
            <w:pPr>
              <w:spacing w:lineRule="exact" w:line="600"/>
              <w:jc w:val="center"/>
            </w:pPr>
            <w:r/>
            <w:r>
              <w:rPr>
                <w:rFonts w:ascii="仿宋_GB2312" w:hAnsi="仿宋_GB2312" w:eastAsia="仿宋_GB2312"/>
                <w:b w:val="0"/>
                <w:color w:val="000000"/>
                <w:sz w:val="32"/>
              </w:rPr>
              <w:t>全国竞争</w:t>
            </w:r>
          </w:p>
        </w:tc>
      </w:tr>
      <w:tr>
        <w:tc>
          <w:tcPr>
            <w:tcW w:type="dxa" w:w="1701"/>
          </w:tcPr>
          <w:p>
            <w:pPr>
              <w:spacing w:lineRule="exact" w:line="600"/>
              <w:jc w:val="center"/>
            </w:pPr>
            <w:r/>
            <w:r>
              <w:rPr>
                <w:rFonts w:ascii="仿宋_GB2312" w:hAnsi="仿宋_GB2312" w:eastAsia="仿宋_GB2312"/>
                <w:b w:val="0"/>
                <w:color w:val="000000"/>
                <w:sz w:val="32"/>
              </w:rPr>
              <w:t>华海药业</w:t>
            </w:r>
          </w:p>
        </w:tc>
        <w:tc>
          <w:tcPr>
            <w:tcW w:type="dxa" w:w="3402"/>
          </w:tcPr>
          <w:p>
            <w:pPr>
              <w:spacing w:lineRule="exact" w:line="600"/>
              <w:jc w:val="center"/>
            </w:pPr>
            <w:r/>
            <w:r>
              <w:rPr>
                <w:rFonts w:ascii="仿宋_GB2312" w:hAnsi="仿宋_GB2312" w:eastAsia="仿宋_GB2312"/>
                <w:b w:val="0"/>
                <w:color w:val="000000"/>
                <w:sz w:val="32"/>
              </w:rPr>
              <w:t>原料药出口</w:t>
            </w:r>
          </w:p>
        </w:tc>
        <w:tc>
          <w:tcPr>
            <w:tcW w:type="dxa" w:w="3685"/>
          </w:tcPr>
          <w:p>
            <w:pPr>
              <w:spacing w:lineRule="exact" w:line="600"/>
              <w:jc w:val="center"/>
            </w:pPr>
            <w:r/>
            <w:r>
              <w:rPr>
                <w:rFonts w:ascii="仿宋_GB2312" w:hAnsi="仿宋_GB2312" w:eastAsia="仿宋_GB2312"/>
                <w:b w:val="0"/>
                <w:color w:val="000000"/>
                <w:sz w:val="32"/>
              </w:rPr>
              <w:t>出口竞争</w:t>
            </w:r>
          </w:p>
        </w:tc>
      </w:tr>
      <w:tr>
        <w:tc>
          <w:tcPr>
            <w:tcW w:type="dxa" w:w="1701"/>
          </w:tcPr>
          <w:p>
            <w:pPr>
              <w:spacing w:lineRule="exact" w:line="600"/>
              <w:jc w:val="center"/>
            </w:pPr>
            <w:r/>
            <w:r>
              <w:rPr>
                <w:rFonts w:ascii="仿宋_GB2312" w:hAnsi="仿宋_GB2312" w:eastAsia="仿宋_GB2312"/>
                <w:b w:val="0"/>
                <w:color w:val="000000"/>
                <w:sz w:val="32"/>
              </w:rPr>
              <w:t>行业</w:t>
            </w:r>
          </w:p>
        </w:tc>
        <w:tc>
          <w:tcPr>
            <w:tcW w:type="dxa" w:w="3402"/>
          </w:tcPr>
          <w:p>
            <w:pPr>
              <w:spacing w:lineRule="exact" w:line="600"/>
              <w:jc w:val="center"/>
            </w:pPr>
            <w:r/>
            <w:r>
              <w:rPr>
                <w:rFonts w:ascii="仿宋_GB2312" w:hAnsi="仿宋_GB2312" w:eastAsia="仿宋_GB2312"/>
                <w:b w:val="0"/>
                <w:color w:val="000000"/>
                <w:sz w:val="32"/>
              </w:rPr>
              <w:t>价格下行</w:t>
            </w:r>
          </w:p>
        </w:tc>
        <w:tc>
          <w:tcPr>
            <w:tcW w:type="dxa" w:w="3685"/>
          </w:tcPr>
          <w:p>
            <w:pPr>
              <w:spacing w:lineRule="exact" w:line="600"/>
              <w:jc w:val="center"/>
            </w:pPr>
            <w:r/>
            <w:r>
              <w:rPr>
                <w:rFonts w:ascii="仿宋_GB2312" w:hAnsi="仿宋_GB2312" w:eastAsia="仿宋_GB2312"/>
                <w:b w:val="0"/>
                <w:color w:val="000000"/>
                <w:sz w:val="32"/>
              </w:rPr>
              <w:t>增收不增利</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（一）集群规模与集聚度</w:t>
      </w:r>
    </w:p>
    <w:p>
      <w:pPr>
        <w:spacing w:lineRule="exact" w:line="600" w:before="0" w:after="0"/>
        <w:ind w:firstLine="420"/>
        <w:jc w:val="both"/>
      </w:pPr>
      <w:r>
        <w:rPr>
          <w:rFonts w:ascii="仿宋_GB2312" w:hAnsi="仿宋_GB2312" w:eastAsia="仿宋_GB2312"/>
          <w:b w:val="0"/>
          <w:color w:val="000000"/>
          <w:sz w:val="32"/>
        </w:rPr>
        <w:t>淄博高新区大健康产业集聚企业130家、高新技术企业65家、营收过亿元企业36家，2023年实现营业收入480亿元；2024年高新区大健康产业企业实现营收186亿元（口径不同，为规上/主导企业口径）（来源：淄博高新区官网、淄博市政府，2024—2026）。生物医药与生物医学工程创新型产业集群入选国家创新型产业集群试点（培育），园区综合竞争力全国第27位（来源：淄博高新区官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685"/>
          </w:tcPr>
          <w:p>
            <w:pPr>
              <w:spacing w:lineRule="exact" w:line="600"/>
              <w:jc w:val="center"/>
            </w:pPr>
            <w:r/>
            <w:r>
              <w:rPr>
                <w:rFonts w:ascii="黑体" w:hAnsi="黑体" w:eastAsia="黑体"/>
                <w:b/>
                <w:color w:val="000000"/>
                <w:sz w:val="32"/>
              </w:rPr>
              <w:t>年份/来源</w:t>
            </w:r>
          </w:p>
        </w:tc>
      </w:tr>
      <w:tr>
        <w:tc>
          <w:tcPr>
            <w:tcW w:type="dxa" w:w="1984"/>
          </w:tcPr>
          <w:p>
            <w:pPr>
              <w:spacing w:lineRule="exact" w:line="600"/>
              <w:jc w:val="center"/>
            </w:pPr>
            <w:r/>
            <w:r>
              <w:rPr>
                <w:rFonts w:ascii="仿宋_GB2312" w:hAnsi="仿宋_GB2312" w:eastAsia="仿宋_GB2312"/>
                <w:b w:val="0"/>
                <w:color w:val="000000"/>
                <w:sz w:val="32"/>
              </w:rPr>
              <w:t>集聚企业</w:t>
            </w:r>
          </w:p>
        </w:tc>
        <w:tc>
          <w:tcPr>
            <w:tcW w:type="dxa" w:w="3118"/>
          </w:tcPr>
          <w:p>
            <w:pPr>
              <w:spacing w:lineRule="exact" w:line="600"/>
              <w:jc w:val="center"/>
            </w:pPr>
            <w:r/>
            <w:r>
              <w:rPr>
                <w:rFonts w:ascii="仿宋_GB2312" w:hAnsi="仿宋_GB2312" w:eastAsia="仿宋_GB2312"/>
                <w:b w:val="0"/>
                <w:color w:val="000000"/>
                <w:sz w:val="32"/>
              </w:rPr>
              <w:t>130家</w:t>
            </w:r>
          </w:p>
        </w:tc>
        <w:tc>
          <w:tcPr>
            <w:tcW w:type="dxa" w:w="3685"/>
          </w:tcPr>
          <w:p>
            <w:pPr>
              <w:spacing w:lineRule="exact" w:line="600"/>
              <w:jc w:val="center"/>
            </w:pPr>
            <w:r/>
            <w:r>
              <w:rPr>
                <w:rFonts w:ascii="仿宋_GB2312" w:hAnsi="仿宋_GB2312" w:eastAsia="仿宋_GB2312"/>
                <w:b w:val="0"/>
                <w:color w:val="000000"/>
                <w:sz w:val="32"/>
              </w:rPr>
              <w:t>2023，高新区</w:t>
            </w:r>
          </w:p>
        </w:tc>
      </w:tr>
      <w:tr>
        <w:tc>
          <w:tcPr>
            <w:tcW w:type="dxa" w:w="1984"/>
          </w:tcPr>
          <w:p>
            <w:pPr>
              <w:spacing w:lineRule="exact" w:line="600"/>
              <w:jc w:val="center"/>
            </w:pPr>
            <w:r/>
            <w:r>
              <w:rPr>
                <w:rFonts w:ascii="仿宋_GB2312" w:hAnsi="仿宋_GB2312" w:eastAsia="仿宋_GB2312"/>
                <w:b w:val="0"/>
                <w:color w:val="000000"/>
                <w:sz w:val="32"/>
              </w:rPr>
              <w:t>高新技术企业</w:t>
            </w:r>
          </w:p>
        </w:tc>
        <w:tc>
          <w:tcPr>
            <w:tcW w:type="dxa" w:w="3118"/>
          </w:tcPr>
          <w:p>
            <w:pPr>
              <w:spacing w:lineRule="exact" w:line="600"/>
              <w:jc w:val="center"/>
            </w:pPr>
            <w:r/>
            <w:r>
              <w:rPr>
                <w:rFonts w:ascii="仿宋_GB2312" w:hAnsi="仿宋_GB2312" w:eastAsia="仿宋_GB2312"/>
                <w:b w:val="0"/>
                <w:color w:val="000000"/>
                <w:sz w:val="32"/>
              </w:rPr>
              <w:t>65家</w:t>
            </w:r>
          </w:p>
        </w:tc>
        <w:tc>
          <w:tcPr>
            <w:tcW w:type="dxa" w:w="3685"/>
          </w:tcPr>
          <w:p>
            <w:pPr>
              <w:spacing w:lineRule="exact" w:line="600"/>
              <w:jc w:val="center"/>
            </w:pPr>
            <w:r/>
            <w:r>
              <w:rPr>
                <w:rFonts w:ascii="仿宋_GB2312" w:hAnsi="仿宋_GB2312" w:eastAsia="仿宋_GB2312"/>
                <w:b w:val="0"/>
                <w:color w:val="000000"/>
                <w:sz w:val="32"/>
              </w:rPr>
              <w:t>2023，高新区</w:t>
            </w:r>
          </w:p>
        </w:tc>
      </w:tr>
      <w:tr>
        <w:tc>
          <w:tcPr>
            <w:tcW w:type="dxa" w:w="1984"/>
          </w:tcPr>
          <w:p>
            <w:pPr>
              <w:spacing w:lineRule="exact" w:line="600"/>
              <w:jc w:val="center"/>
            </w:pPr>
            <w:r/>
            <w:r>
              <w:rPr>
                <w:rFonts w:ascii="仿宋_GB2312" w:hAnsi="仿宋_GB2312" w:eastAsia="仿宋_GB2312"/>
                <w:b w:val="0"/>
                <w:color w:val="000000"/>
                <w:sz w:val="32"/>
              </w:rPr>
              <w:t>营收过亿企业</w:t>
            </w:r>
          </w:p>
        </w:tc>
        <w:tc>
          <w:tcPr>
            <w:tcW w:type="dxa" w:w="3118"/>
          </w:tcPr>
          <w:p>
            <w:pPr>
              <w:spacing w:lineRule="exact" w:line="600"/>
              <w:jc w:val="center"/>
            </w:pPr>
            <w:r/>
            <w:r>
              <w:rPr>
                <w:rFonts w:ascii="仿宋_GB2312" w:hAnsi="仿宋_GB2312" w:eastAsia="仿宋_GB2312"/>
                <w:b w:val="0"/>
                <w:color w:val="000000"/>
                <w:sz w:val="32"/>
              </w:rPr>
              <w:t>36家</w:t>
            </w:r>
          </w:p>
        </w:tc>
        <w:tc>
          <w:tcPr>
            <w:tcW w:type="dxa" w:w="3685"/>
          </w:tcPr>
          <w:p>
            <w:pPr>
              <w:spacing w:lineRule="exact" w:line="600"/>
              <w:jc w:val="center"/>
            </w:pPr>
            <w:r/>
            <w:r>
              <w:rPr>
                <w:rFonts w:ascii="仿宋_GB2312" w:hAnsi="仿宋_GB2312" w:eastAsia="仿宋_GB2312"/>
                <w:b w:val="0"/>
                <w:color w:val="000000"/>
                <w:sz w:val="32"/>
              </w:rPr>
              <w:t>2023，高新区</w:t>
            </w:r>
          </w:p>
        </w:tc>
      </w:tr>
      <w:tr>
        <w:tc>
          <w:tcPr>
            <w:tcW w:type="dxa" w:w="1984"/>
          </w:tcPr>
          <w:p>
            <w:pPr>
              <w:spacing w:lineRule="exact" w:line="600"/>
              <w:jc w:val="center"/>
            </w:pPr>
            <w:r/>
            <w:r>
              <w:rPr>
                <w:rFonts w:ascii="仿宋_GB2312" w:hAnsi="仿宋_GB2312" w:eastAsia="仿宋_GB2312"/>
                <w:b w:val="0"/>
                <w:color w:val="000000"/>
                <w:sz w:val="32"/>
              </w:rPr>
              <w:t>大健康营收</w:t>
            </w:r>
          </w:p>
        </w:tc>
        <w:tc>
          <w:tcPr>
            <w:tcW w:type="dxa" w:w="3118"/>
          </w:tcPr>
          <w:p>
            <w:pPr>
              <w:spacing w:lineRule="exact" w:line="600"/>
              <w:jc w:val="center"/>
            </w:pPr>
            <w:r/>
            <w:r>
              <w:rPr>
                <w:rFonts w:ascii="仿宋_GB2312" w:hAnsi="仿宋_GB2312" w:eastAsia="仿宋_GB2312"/>
                <w:b w:val="0"/>
                <w:color w:val="000000"/>
                <w:sz w:val="32"/>
              </w:rPr>
              <w:t>186亿元</w:t>
            </w:r>
          </w:p>
        </w:tc>
        <w:tc>
          <w:tcPr>
            <w:tcW w:type="dxa" w:w="3685"/>
          </w:tcPr>
          <w:p>
            <w:pPr>
              <w:spacing w:lineRule="exact" w:line="600"/>
              <w:jc w:val="center"/>
            </w:pPr>
            <w:r/>
            <w:r>
              <w:rPr>
                <w:rFonts w:ascii="仿宋_GB2312" w:hAnsi="仿宋_GB2312" w:eastAsia="仿宋_GB2312"/>
                <w:b w:val="0"/>
                <w:color w:val="000000"/>
                <w:sz w:val="32"/>
              </w:rPr>
              <w:t>2024，市政府</w:t>
            </w:r>
          </w:p>
        </w:tc>
      </w:tr>
      <w:tr>
        <w:tc>
          <w:tcPr>
            <w:tcW w:type="dxa" w:w="1984"/>
          </w:tcPr>
          <w:p>
            <w:pPr>
              <w:spacing w:lineRule="exact" w:line="600"/>
              <w:jc w:val="center"/>
            </w:pPr>
            <w:r/>
            <w:r>
              <w:rPr>
                <w:rFonts w:ascii="仿宋_GB2312" w:hAnsi="仿宋_GB2312" w:eastAsia="仿宋_GB2312"/>
                <w:b w:val="0"/>
                <w:color w:val="000000"/>
                <w:sz w:val="32"/>
              </w:rPr>
              <w:t>全国排名</w:t>
            </w:r>
          </w:p>
        </w:tc>
        <w:tc>
          <w:tcPr>
            <w:tcW w:type="dxa" w:w="3118"/>
          </w:tcPr>
          <w:p>
            <w:pPr>
              <w:spacing w:lineRule="exact" w:line="600"/>
              <w:jc w:val="center"/>
            </w:pPr>
            <w:r/>
            <w:r>
              <w:rPr>
                <w:rFonts w:ascii="仿宋_GB2312" w:hAnsi="仿宋_GB2312" w:eastAsia="仿宋_GB2312"/>
                <w:b w:val="0"/>
                <w:color w:val="000000"/>
                <w:sz w:val="32"/>
              </w:rPr>
              <w:t>第27位</w:t>
            </w:r>
          </w:p>
        </w:tc>
        <w:tc>
          <w:tcPr>
            <w:tcW w:type="dxa" w:w="3685"/>
          </w:tcPr>
          <w:p>
            <w:pPr>
              <w:spacing w:lineRule="exact" w:line="600"/>
              <w:jc w:val="center"/>
            </w:pPr>
            <w:r/>
            <w:r>
              <w:rPr>
                <w:rFonts w:ascii="仿宋_GB2312" w:hAnsi="仿宋_GB2312" w:eastAsia="仿宋_GB2312"/>
                <w:b w:val="0"/>
                <w:color w:val="000000"/>
                <w:sz w:val="32"/>
              </w:rPr>
              <w:t>竞争力榜</w:t>
            </w:r>
          </w:p>
        </w:tc>
      </w:tr>
    </w:tbl>
    <w:p>
      <w:pPr>
        <w:spacing w:lineRule="exact" w:line="600" w:before="120" w:after="120"/>
        <w:ind w:firstLine="420"/>
        <w:jc w:val="left"/>
      </w:pPr>
      <w:r>
        <w:rPr>
          <w:rFonts w:ascii="楷体_GB2312" w:hAnsi="楷体_GB2312" w:eastAsia="楷体_GB2312"/>
          <w:b w:val="0"/>
          <w:color w:val="000000"/>
          <w:sz w:val="32"/>
        </w:rPr>
        <w:t>（二）链主企业与带动</w:t>
      </w:r>
    </w:p>
    <w:p>
      <w:pPr>
        <w:spacing w:lineRule="exact" w:line="600" w:before="0" w:after="0"/>
        <w:ind w:firstLine="420"/>
        <w:jc w:val="both"/>
      </w:pPr>
      <w:r>
        <w:rPr>
          <w:rFonts w:ascii="仿宋_GB2312" w:hAnsi="仿宋_GB2312" w:eastAsia="仿宋_GB2312"/>
          <w:b w:val="0"/>
          <w:color w:val="000000"/>
          <w:sz w:val="32"/>
        </w:rPr>
        <w:t>新华制药、新华医疗、荣昌制药为三大链主。新华制药衍生、孵化、培育出新华医疗、新达制药、金城柯瑞等骨干（来源：淄博高新区官网）。新华制药入选国务院国资委「双百企业」， ibuprofen原料药列为第八批国家制造业单项冠军（来源：新华制药2024年报）。链主带动形成「龙头—配套—生态圈」格局。</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链主</w:t>
            </w:r>
          </w:p>
        </w:tc>
        <w:tc>
          <w:tcPr>
            <w:tcW w:type="dxa" w:w="3118"/>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带动</w:t>
            </w:r>
          </w:p>
        </w:tc>
      </w:tr>
      <w:tr>
        <w:tc>
          <w:tcPr>
            <w:tcW w:type="dxa" w:w="1701"/>
          </w:tcPr>
          <w:p>
            <w:pPr>
              <w:spacing w:lineRule="exact" w:line="600"/>
              <w:jc w:val="center"/>
            </w:pPr>
            <w:r/>
            <w:r>
              <w:rPr>
                <w:rFonts w:ascii="仿宋_GB2312" w:hAnsi="仿宋_GB2312" w:eastAsia="仿宋_GB2312"/>
                <w:b w:val="0"/>
                <w:color w:val="000000"/>
                <w:sz w:val="32"/>
              </w:rPr>
              <w:t>新华制药</w:t>
            </w:r>
          </w:p>
        </w:tc>
        <w:tc>
          <w:tcPr>
            <w:tcW w:type="dxa" w:w="3118"/>
          </w:tcPr>
          <w:p>
            <w:pPr>
              <w:spacing w:lineRule="exact" w:line="600"/>
              <w:jc w:val="center"/>
            </w:pPr>
            <w:r/>
            <w:r>
              <w:rPr>
                <w:rFonts w:ascii="仿宋_GB2312" w:hAnsi="仿宋_GB2312" w:eastAsia="仿宋_GB2312"/>
                <w:b w:val="0"/>
                <w:color w:val="000000"/>
                <w:sz w:val="32"/>
              </w:rPr>
              <w:t>化学药链主</w:t>
            </w:r>
          </w:p>
        </w:tc>
        <w:tc>
          <w:tcPr>
            <w:tcW w:type="dxa" w:w="3685"/>
          </w:tcPr>
          <w:p>
            <w:pPr>
              <w:spacing w:lineRule="exact" w:line="600"/>
              <w:jc w:val="center"/>
            </w:pPr>
            <w:r/>
            <w:r>
              <w:rPr>
                <w:rFonts w:ascii="仿宋_GB2312" w:hAnsi="仿宋_GB2312" w:eastAsia="仿宋_GB2312"/>
                <w:b w:val="0"/>
                <w:color w:val="000000"/>
                <w:sz w:val="32"/>
              </w:rPr>
              <w:t>衍生新达/金城柯瑞</w:t>
            </w:r>
          </w:p>
        </w:tc>
      </w:tr>
      <w:tr>
        <w:tc>
          <w:tcPr>
            <w:tcW w:type="dxa" w:w="1701"/>
          </w:tcPr>
          <w:p>
            <w:pPr>
              <w:spacing w:lineRule="exact" w:line="600"/>
              <w:jc w:val="center"/>
            </w:pPr>
            <w:r/>
            <w:r>
              <w:rPr>
                <w:rFonts w:ascii="仿宋_GB2312" w:hAnsi="仿宋_GB2312" w:eastAsia="仿宋_GB2312"/>
                <w:b w:val="0"/>
                <w:color w:val="000000"/>
                <w:sz w:val="32"/>
              </w:rPr>
              <w:t>新华医疗</w:t>
            </w:r>
          </w:p>
        </w:tc>
        <w:tc>
          <w:tcPr>
            <w:tcW w:type="dxa" w:w="3118"/>
          </w:tcPr>
          <w:p>
            <w:pPr>
              <w:spacing w:lineRule="exact" w:line="600"/>
              <w:jc w:val="center"/>
            </w:pPr>
            <w:r/>
            <w:r>
              <w:rPr>
                <w:rFonts w:ascii="仿宋_GB2312" w:hAnsi="仿宋_GB2312" w:eastAsia="仿宋_GB2312"/>
                <w:b w:val="0"/>
                <w:color w:val="000000"/>
                <w:sz w:val="32"/>
              </w:rPr>
              <w:t>器械链主</w:t>
            </w:r>
          </w:p>
        </w:tc>
        <w:tc>
          <w:tcPr>
            <w:tcW w:type="dxa" w:w="3685"/>
          </w:tcPr>
          <w:p>
            <w:pPr>
              <w:spacing w:lineRule="exact" w:line="600"/>
              <w:jc w:val="center"/>
            </w:pPr>
            <w:r/>
            <w:r>
              <w:rPr>
                <w:rFonts w:ascii="仿宋_GB2312" w:hAnsi="仿宋_GB2312" w:eastAsia="仿宋_GB2312"/>
                <w:b w:val="0"/>
                <w:color w:val="000000"/>
                <w:sz w:val="32"/>
              </w:rPr>
              <w:t>辐射装备</w:t>
            </w:r>
          </w:p>
        </w:tc>
      </w:tr>
      <w:tr>
        <w:tc>
          <w:tcPr>
            <w:tcW w:type="dxa" w:w="1701"/>
          </w:tcPr>
          <w:p>
            <w:pPr>
              <w:spacing w:lineRule="exact" w:line="600"/>
              <w:jc w:val="center"/>
            </w:pPr>
            <w:r/>
            <w:r>
              <w:rPr>
                <w:rFonts w:ascii="仿宋_GB2312" w:hAnsi="仿宋_GB2312" w:eastAsia="仿宋_GB2312"/>
                <w:b w:val="0"/>
                <w:color w:val="000000"/>
                <w:sz w:val="32"/>
              </w:rPr>
              <w:t>荣昌制药</w:t>
            </w:r>
          </w:p>
        </w:tc>
        <w:tc>
          <w:tcPr>
            <w:tcW w:type="dxa" w:w="3118"/>
          </w:tcPr>
          <w:p>
            <w:pPr>
              <w:spacing w:lineRule="exact" w:line="600"/>
              <w:jc w:val="center"/>
            </w:pPr>
            <w:r/>
            <w:r>
              <w:rPr>
                <w:rFonts w:ascii="仿宋_GB2312" w:hAnsi="仿宋_GB2312" w:eastAsia="仿宋_GB2312"/>
                <w:b w:val="0"/>
                <w:color w:val="000000"/>
                <w:sz w:val="32"/>
              </w:rPr>
              <w:t>中药/制剂</w:t>
            </w:r>
          </w:p>
        </w:tc>
        <w:tc>
          <w:tcPr>
            <w:tcW w:type="dxa" w:w="3685"/>
          </w:tcPr>
          <w:p>
            <w:pPr>
              <w:spacing w:lineRule="exact" w:line="600"/>
              <w:jc w:val="center"/>
            </w:pPr>
            <w:r/>
            <w:r>
              <w:rPr>
                <w:rFonts w:ascii="仿宋_GB2312" w:hAnsi="仿宋_GB2312" w:eastAsia="仿宋_GB2312"/>
                <w:b w:val="0"/>
                <w:color w:val="000000"/>
                <w:sz w:val="32"/>
              </w:rPr>
              <w:t>小儿定喘口服液</w:t>
            </w:r>
          </w:p>
        </w:tc>
      </w:tr>
      <w:tr>
        <w:tc>
          <w:tcPr>
            <w:tcW w:type="dxa" w:w="1701"/>
          </w:tcPr>
          <w:p>
            <w:pPr>
              <w:spacing w:lineRule="exact" w:line="600"/>
              <w:jc w:val="center"/>
            </w:pPr>
            <w:r/>
            <w:r>
              <w:rPr>
                <w:rFonts w:ascii="仿宋_GB2312" w:hAnsi="仿宋_GB2312" w:eastAsia="仿宋_GB2312"/>
                <w:b w:val="0"/>
                <w:color w:val="000000"/>
                <w:sz w:val="32"/>
              </w:rPr>
              <w:t>双百企业</w:t>
            </w:r>
          </w:p>
        </w:tc>
        <w:tc>
          <w:tcPr>
            <w:tcW w:type="dxa" w:w="3118"/>
          </w:tcPr>
          <w:p>
            <w:pPr>
              <w:spacing w:lineRule="exact" w:line="600"/>
              <w:jc w:val="center"/>
            </w:pPr>
            <w:r/>
            <w:r>
              <w:rPr>
                <w:rFonts w:ascii="仿宋_GB2312" w:hAnsi="仿宋_GB2312" w:eastAsia="仿宋_GB2312"/>
                <w:b w:val="0"/>
                <w:color w:val="000000"/>
                <w:sz w:val="32"/>
              </w:rPr>
              <w:t>新华制药</w:t>
            </w:r>
          </w:p>
        </w:tc>
        <w:tc>
          <w:tcPr>
            <w:tcW w:type="dxa" w:w="3685"/>
          </w:tcPr>
          <w:p>
            <w:pPr>
              <w:spacing w:lineRule="exact" w:line="600"/>
              <w:jc w:val="center"/>
            </w:pPr>
            <w:r/>
            <w:r>
              <w:rPr>
                <w:rFonts w:ascii="仿宋_GB2312" w:hAnsi="仿宋_GB2312" w:eastAsia="仿宋_GB2312"/>
                <w:b w:val="0"/>
                <w:color w:val="000000"/>
                <w:sz w:val="32"/>
              </w:rPr>
              <w:t>单项冠军</w:t>
            </w:r>
          </w:p>
        </w:tc>
      </w:tr>
    </w:tbl>
    <w:p>
      <w:pPr>
        <w:spacing w:lineRule="exact" w:line="600" w:before="120" w:after="120"/>
        <w:ind w:firstLine="420"/>
        <w:jc w:val="left"/>
      </w:pPr>
      <w:r>
        <w:rPr>
          <w:rFonts w:ascii="楷体_GB2312" w:hAnsi="楷体_GB2312" w:eastAsia="楷体_GB2312"/>
          <w:b w:val="0"/>
          <w:color w:val="000000"/>
          <w:sz w:val="32"/>
        </w:rPr>
        <w:t>（三）中小企业与专精特新</w:t>
      </w:r>
    </w:p>
    <w:p>
      <w:pPr>
        <w:spacing w:lineRule="exact" w:line="600" w:before="0" w:after="0"/>
        <w:ind w:firstLine="420"/>
        <w:jc w:val="both"/>
      </w:pPr>
      <w:r>
        <w:rPr>
          <w:rFonts w:ascii="仿宋_GB2312" w:hAnsi="仿宋_GB2312" w:eastAsia="仿宋_GB2312"/>
          <w:b w:val="0"/>
          <w:color w:val="000000"/>
          <w:sz w:val="32"/>
        </w:rPr>
        <w:t>金城医药、千汇生物、新马药机、安得医疗、华润圣海、灿盛制药等中小企业构成专精特新梯队：金城医药头孢侧链全球市占95%，千汇生物环糊精全球第三、全国第一，新马药机固体制剂装备国内市占70%，安得医疗TPE输液器技术全球领先（来源：淄博高新区官网，2026）。中小企业在特色辅料、装备、耗材环节形成差异化优势。</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中小企业</w:t>
            </w:r>
          </w:p>
        </w:tc>
        <w:tc>
          <w:tcPr>
            <w:tcW w:type="dxa" w:w="3402"/>
          </w:tcPr>
          <w:p>
            <w:pPr>
              <w:spacing w:lineRule="exact" w:line="600"/>
              <w:jc w:val="center"/>
            </w:pPr>
            <w:r/>
            <w:r>
              <w:rPr>
                <w:rFonts w:ascii="黑体" w:hAnsi="黑体" w:eastAsia="黑体"/>
                <w:b/>
                <w:color w:val="000000"/>
                <w:sz w:val="32"/>
              </w:rPr>
              <w:t>资质/地位</w:t>
            </w:r>
          </w:p>
        </w:tc>
        <w:tc>
          <w:tcPr>
            <w:tcW w:type="dxa" w:w="3685"/>
          </w:tcPr>
          <w:p>
            <w:pPr>
              <w:spacing w:lineRule="exact" w:line="600"/>
              <w:jc w:val="center"/>
            </w:pPr>
            <w:r/>
            <w:r>
              <w:rPr>
                <w:rFonts w:ascii="黑体" w:hAnsi="黑体" w:eastAsia="黑体"/>
                <w:b/>
                <w:color w:val="000000"/>
                <w:sz w:val="32"/>
              </w:rPr>
              <w:t>环节</w:t>
            </w:r>
          </w:p>
        </w:tc>
      </w:tr>
      <w:tr>
        <w:tc>
          <w:tcPr>
            <w:tcW w:type="dxa" w:w="1701"/>
          </w:tcPr>
          <w:p>
            <w:pPr>
              <w:spacing w:lineRule="exact" w:line="600"/>
              <w:jc w:val="center"/>
            </w:pPr>
            <w:r/>
            <w:r>
              <w:rPr>
                <w:rFonts w:ascii="仿宋_GB2312" w:hAnsi="仿宋_GB2312" w:eastAsia="仿宋_GB2312"/>
                <w:b w:val="0"/>
                <w:color w:val="000000"/>
                <w:sz w:val="32"/>
              </w:rPr>
              <w:t>金城医药</w:t>
            </w:r>
          </w:p>
        </w:tc>
        <w:tc>
          <w:tcPr>
            <w:tcW w:type="dxa" w:w="3402"/>
          </w:tcPr>
          <w:p>
            <w:pPr>
              <w:spacing w:lineRule="exact" w:line="600"/>
              <w:jc w:val="center"/>
            </w:pPr>
            <w:r/>
            <w:r>
              <w:rPr>
                <w:rFonts w:ascii="仿宋_GB2312" w:hAnsi="仿宋_GB2312" w:eastAsia="仿宋_GB2312"/>
                <w:b w:val="0"/>
                <w:color w:val="000000"/>
                <w:sz w:val="32"/>
              </w:rPr>
              <w:t>头孢侧链全球95%</w:t>
            </w:r>
          </w:p>
        </w:tc>
        <w:tc>
          <w:tcPr>
            <w:tcW w:type="dxa" w:w="3685"/>
          </w:tcPr>
          <w:p>
            <w:pPr>
              <w:spacing w:lineRule="exact" w:line="600"/>
              <w:jc w:val="center"/>
            </w:pPr>
            <w:r/>
            <w:r>
              <w:rPr>
                <w:rFonts w:ascii="仿宋_GB2312" w:hAnsi="仿宋_GB2312" w:eastAsia="仿宋_GB2312"/>
                <w:b w:val="0"/>
                <w:color w:val="000000"/>
                <w:sz w:val="32"/>
              </w:rPr>
              <w:t>特色辅料</w:t>
            </w:r>
          </w:p>
        </w:tc>
      </w:tr>
      <w:tr>
        <w:tc>
          <w:tcPr>
            <w:tcW w:type="dxa" w:w="1701"/>
          </w:tcPr>
          <w:p>
            <w:pPr>
              <w:spacing w:lineRule="exact" w:line="600"/>
              <w:jc w:val="center"/>
            </w:pPr>
            <w:r/>
            <w:r>
              <w:rPr>
                <w:rFonts w:ascii="仿宋_GB2312" w:hAnsi="仿宋_GB2312" w:eastAsia="仿宋_GB2312"/>
                <w:b w:val="0"/>
                <w:color w:val="000000"/>
                <w:sz w:val="32"/>
              </w:rPr>
              <w:t>千汇生物</w:t>
            </w:r>
          </w:p>
        </w:tc>
        <w:tc>
          <w:tcPr>
            <w:tcW w:type="dxa" w:w="3402"/>
          </w:tcPr>
          <w:p>
            <w:pPr>
              <w:spacing w:lineRule="exact" w:line="600"/>
              <w:jc w:val="center"/>
            </w:pPr>
            <w:r/>
            <w:r>
              <w:rPr>
                <w:rFonts w:ascii="仿宋_GB2312" w:hAnsi="仿宋_GB2312" w:eastAsia="仿宋_GB2312"/>
                <w:b w:val="0"/>
                <w:color w:val="000000"/>
                <w:sz w:val="32"/>
              </w:rPr>
              <w:t>环糊精全球第三</w:t>
            </w:r>
          </w:p>
        </w:tc>
        <w:tc>
          <w:tcPr>
            <w:tcW w:type="dxa" w:w="3685"/>
          </w:tcPr>
          <w:p>
            <w:pPr>
              <w:spacing w:lineRule="exact" w:line="600"/>
              <w:jc w:val="center"/>
            </w:pPr>
            <w:r/>
            <w:r>
              <w:rPr>
                <w:rFonts w:ascii="仿宋_GB2312" w:hAnsi="仿宋_GB2312" w:eastAsia="仿宋_GB2312"/>
                <w:b w:val="0"/>
                <w:color w:val="000000"/>
                <w:sz w:val="32"/>
              </w:rPr>
              <w:t>辅料</w:t>
            </w:r>
          </w:p>
        </w:tc>
      </w:tr>
      <w:tr>
        <w:tc>
          <w:tcPr>
            <w:tcW w:type="dxa" w:w="1701"/>
          </w:tcPr>
          <w:p>
            <w:pPr>
              <w:spacing w:lineRule="exact" w:line="600"/>
              <w:jc w:val="center"/>
            </w:pPr>
            <w:r/>
            <w:r>
              <w:rPr>
                <w:rFonts w:ascii="仿宋_GB2312" w:hAnsi="仿宋_GB2312" w:eastAsia="仿宋_GB2312"/>
                <w:b w:val="0"/>
                <w:color w:val="000000"/>
                <w:sz w:val="32"/>
              </w:rPr>
              <w:t>新马药机</w:t>
            </w:r>
          </w:p>
        </w:tc>
        <w:tc>
          <w:tcPr>
            <w:tcW w:type="dxa" w:w="3402"/>
          </w:tcPr>
          <w:p>
            <w:pPr>
              <w:spacing w:lineRule="exact" w:line="600"/>
              <w:jc w:val="center"/>
            </w:pPr>
            <w:r/>
            <w:r>
              <w:rPr>
                <w:rFonts w:ascii="仿宋_GB2312" w:hAnsi="仿宋_GB2312" w:eastAsia="仿宋_GB2312"/>
                <w:b w:val="0"/>
                <w:color w:val="000000"/>
                <w:sz w:val="32"/>
              </w:rPr>
              <w:t>固体制剂装备70%</w:t>
            </w:r>
          </w:p>
        </w:tc>
        <w:tc>
          <w:tcPr>
            <w:tcW w:type="dxa" w:w="3685"/>
          </w:tcPr>
          <w:p>
            <w:pPr>
              <w:spacing w:lineRule="exact" w:line="600"/>
              <w:jc w:val="center"/>
            </w:pPr>
            <w:r/>
            <w:r>
              <w:rPr>
                <w:rFonts w:ascii="仿宋_GB2312" w:hAnsi="仿宋_GB2312" w:eastAsia="仿宋_GB2312"/>
                <w:b w:val="0"/>
                <w:color w:val="000000"/>
                <w:sz w:val="32"/>
              </w:rPr>
              <w:t>制药装备</w:t>
            </w:r>
          </w:p>
        </w:tc>
      </w:tr>
      <w:tr>
        <w:tc>
          <w:tcPr>
            <w:tcW w:type="dxa" w:w="1701"/>
          </w:tcPr>
          <w:p>
            <w:pPr>
              <w:spacing w:lineRule="exact" w:line="600"/>
              <w:jc w:val="center"/>
            </w:pPr>
            <w:r/>
            <w:r>
              <w:rPr>
                <w:rFonts w:ascii="仿宋_GB2312" w:hAnsi="仿宋_GB2312" w:eastAsia="仿宋_GB2312"/>
                <w:b w:val="0"/>
                <w:color w:val="000000"/>
                <w:sz w:val="32"/>
              </w:rPr>
              <w:t>安得医疗</w:t>
            </w:r>
          </w:p>
        </w:tc>
        <w:tc>
          <w:tcPr>
            <w:tcW w:type="dxa" w:w="3402"/>
          </w:tcPr>
          <w:p>
            <w:pPr>
              <w:spacing w:lineRule="exact" w:line="600"/>
              <w:jc w:val="center"/>
            </w:pPr>
            <w:r/>
            <w:r>
              <w:rPr>
                <w:rFonts w:ascii="仿宋_GB2312" w:hAnsi="仿宋_GB2312" w:eastAsia="仿宋_GB2312"/>
                <w:b w:val="0"/>
                <w:color w:val="000000"/>
                <w:sz w:val="32"/>
              </w:rPr>
              <w:t>TPE输液器全球领先</w:t>
            </w:r>
          </w:p>
        </w:tc>
        <w:tc>
          <w:tcPr>
            <w:tcW w:type="dxa" w:w="3685"/>
          </w:tcPr>
          <w:p>
            <w:pPr>
              <w:spacing w:lineRule="exact" w:line="600"/>
              <w:jc w:val="center"/>
            </w:pPr>
            <w:r/>
            <w:r>
              <w:rPr>
                <w:rFonts w:ascii="仿宋_GB2312" w:hAnsi="仿宋_GB2312" w:eastAsia="仿宋_GB2312"/>
                <w:b w:val="0"/>
                <w:color w:val="000000"/>
                <w:sz w:val="32"/>
              </w:rPr>
              <w:t>耗材</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（一）原料药工艺与绿色制造</w:t>
      </w:r>
    </w:p>
    <w:p>
      <w:pPr>
        <w:spacing w:lineRule="exact" w:line="600" w:before="0" w:after="0"/>
        <w:ind w:firstLine="420"/>
        <w:jc w:val="both"/>
      </w:pPr>
      <w:r>
        <w:rPr>
          <w:rFonts w:ascii="仿宋_GB2312" w:hAnsi="仿宋_GB2312" w:eastAsia="仿宋_GB2312"/>
          <w:b w:val="0"/>
          <w:color w:val="000000"/>
          <w:sz w:val="32"/>
        </w:rPr>
        <w:t>新华制药化学原料药年产能5万吨，布洛芬原料药列为第八批国家制造业单项冠军（来源：新华制药2024年报）。公司完成3个园区碳核查、5个产品碳足迹报告，二分厂认定为山东省智能工厂，通过FDA现场审计及加拿大、巴西、德国BJV现场审计（来源：新华制药年报）。绿色制造与国际化认证构筑技术与合规壁垒。</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工艺/认证</w:t>
            </w:r>
          </w:p>
        </w:tc>
        <w:tc>
          <w:tcPr>
            <w:tcW w:type="dxa" w:w="3118"/>
          </w:tcPr>
          <w:p>
            <w:pPr>
              <w:spacing w:lineRule="exact" w:line="600"/>
              <w:jc w:val="center"/>
            </w:pPr>
            <w:r/>
            <w:r>
              <w:rPr>
                <w:rFonts w:ascii="黑体" w:hAnsi="黑体" w:eastAsia="黑体"/>
                <w:b/>
                <w:color w:val="000000"/>
                <w:sz w:val="32"/>
              </w:rPr>
              <w:t>水平</w:t>
            </w:r>
          </w:p>
        </w:tc>
        <w:tc>
          <w:tcPr>
            <w:tcW w:type="dxa" w:w="3685"/>
          </w:tcPr>
          <w:p>
            <w:pPr>
              <w:spacing w:lineRule="exact" w:line="600"/>
              <w:jc w:val="center"/>
            </w:pPr>
            <w:r/>
            <w:r>
              <w:rPr>
                <w:rFonts w:ascii="黑体" w:hAnsi="黑体" w:eastAsia="黑体"/>
                <w:b/>
                <w:color w:val="000000"/>
                <w:sz w:val="32"/>
              </w:rPr>
              <w:t>效果</w:t>
            </w:r>
          </w:p>
        </w:tc>
      </w:tr>
      <w:tr>
        <w:tc>
          <w:tcPr>
            <w:tcW w:type="dxa" w:w="1984"/>
          </w:tcPr>
          <w:p>
            <w:pPr>
              <w:spacing w:lineRule="exact" w:line="600"/>
              <w:jc w:val="center"/>
            </w:pPr>
            <w:r/>
            <w:r>
              <w:rPr>
                <w:rFonts w:ascii="仿宋_GB2312" w:hAnsi="仿宋_GB2312" w:eastAsia="仿宋_GB2312"/>
                <w:b w:val="0"/>
                <w:color w:val="000000"/>
                <w:sz w:val="32"/>
              </w:rPr>
              <w:t>布洛芬原料</w:t>
            </w:r>
          </w:p>
        </w:tc>
        <w:tc>
          <w:tcPr>
            <w:tcW w:type="dxa" w:w="3118"/>
          </w:tcPr>
          <w:p>
            <w:pPr>
              <w:spacing w:lineRule="exact" w:line="600"/>
              <w:jc w:val="center"/>
            </w:pPr>
            <w:r/>
            <w:r>
              <w:rPr>
                <w:rFonts w:ascii="仿宋_GB2312" w:hAnsi="仿宋_GB2312" w:eastAsia="仿宋_GB2312"/>
                <w:b w:val="0"/>
                <w:color w:val="000000"/>
                <w:sz w:val="32"/>
              </w:rPr>
              <w:t>国家单项冠军</w:t>
            </w:r>
          </w:p>
        </w:tc>
        <w:tc>
          <w:tcPr>
            <w:tcW w:type="dxa" w:w="3685"/>
          </w:tcPr>
          <w:p>
            <w:pPr>
              <w:spacing w:lineRule="exact" w:line="600"/>
              <w:jc w:val="center"/>
            </w:pPr>
            <w:r/>
            <w:r>
              <w:rPr>
                <w:rFonts w:ascii="仿宋_GB2312" w:hAnsi="仿宋_GB2312" w:eastAsia="仿宋_GB2312"/>
                <w:b w:val="0"/>
                <w:color w:val="000000"/>
                <w:sz w:val="32"/>
              </w:rPr>
              <w:t>第八批</w:t>
            </w:r>
          </w:p>
        </w:tc>
      </w:tr>
      <w:tr>
        <w:tc>
          <w:tcPr>
            <w:tcW w:type="dxa" w:w="1984"/>
          </w:tcPr>
          <w:p>
            <w:pPr>
              <w:spacing w:lineRule="exact" w:line="600"/>
              <w:jc w:val="center"/>
            </w:pPr>
            <w:r/>
            <w:r>
              <w:rPr>
                <w:rFonts w:ascii="仿宋_GB2312" w:hAnsi="仿宋_GB2312" w:eastAsia="仿宋_GB2312"/>
                <w:b w:val="0"/>
                <w:color w:val="000000"/>
                <w:sz w:val="32"/>
              </w:rPr>
              <w:t>智能工厂</w:t>
            </w:r>
          </w:p>
        </w:tc>
        <w:tc>
          <w:tcPr>
            <w:tcW w:type="dxa" w:w="3118"/>
          </w:tcPr>
          <w:p>
            <w:pPr>
              <w:spacing w:lineRule="exact" w:line="600"/>
              <w:jc w:val="center"/>
            </w:pPr>
            <w:r/>
            <w:r>
              <w:rPr>
                <w:rFonts w:ascii="仿宋_GB2312" w:hAnsi="仿宋_GB2312" w:eastAsia="仿宋_GB2312"/>
                <w:b w:val="0"/>
                <w:color w:val="000000"/>
                <w:sz w:val="32"/>
              </w:rPr>
              <w:t>二分厂</w:t>
            </w:r>
          </w:p>
        </w:tc>
        <w:tc>
          <w:tcPr>
            <w:tcW w:type="dxa" w:w="3685"/>
          </w:tcPr>
          <w:p>
            <w:pPr>
              <w:spacing w:lineRule="exact" w:line="600"/>
              <w:jc w:val="center"/>
            </w:pPr>
            <w:r/>
            <w:r>
              <w:rPr>
                <w:rFonts w:ascii="仿宋_GB2312" w:hAnsi="仿宋_GB2312" w:eastAsia="仿宋_GB2312"/>
                <w:b w:val="0"/>
                <w:color w:val="000000"/>
                <w:sz w:val="32"/>
              </w:rPr>
              <w:t>山东省认定</w:t>
            </w:r>
          </w:p>
        </w:tc>
      </w:tr>
      <w:tr>
        <w:tc>
          <w:tcPr>
            <w:tcW w:type="dxa" w:w="1984"/>
          </w:tcPr>
          <w:p>
            <w:pPr>
              <w:spacing w:lineRule="exact" w:line="600"/>
              <w:jc w:val="center"/>
            </w:pPr>
            <w:r/>
            <w:r>
              <w:rPr>
                <w:rFonts w:ascii="仿宋_GB2312" w:hAnsi="仿宋_GB2312" w:eastAsia="仿宋_GB2312"/>
                <w:b w:val="0"/>
                <w:color w:val="000000"/>
                <w:sz w:val="32"/>
              </w:rPr>
              <w:t>FDA审计</w:t>
            </w:r>
          </w:p>
        </w:tc>
        <w:tc>
          <w:tcPr>
            <w:tcW w:type="dxa" w:w="3118"/>
          </w:tcPr>
          <w:p>
            <w:pPr>
              <w:spacing w:lineRule="exact" w:line="600"/>
              <w:jc w:val="center"/>
            </w:pPr>
            <w:r/>
            <w:r>
              <w:rPr>
                <w:rFonts w:ascii="仿宋_GB2312" w:hAnsi="仿宋_GB2312" w:eastAsia="仿宋_GB2312"/>
                <w:b w:val="0"/>
                <w:color w:val="000000"/>
                <w:sz w:val="32"/>
              </w:rPr>
              <w:t>通过</w:t>
            </w:r>
          </w:p>
        </w:tc>
        <w:tc>
          <w:tcPr>
            <w:tcW w:type="dxa" w:w="3685"/>
          </w:tcPr>
          <w:p>
            <w:pPr>
              <w:spacing w:lineRule="exact" w:line="600"/>
              <w:jc w:val="center"/>
            </w:pPr>
            <w:r/>
            <w:r>
              <w:rPr>
                <w:rFonts w:ascii="仿宋_GB2312" w:hAnsi="仿宋_GB2312" w:eastAsia="仿宋_GB2312"/>
                <w:b w:val="0"/>
                <w:color w:val="000000"/>
                <w:sz w:val="32"/>
              </w:rPr>
              <w:t>国际合规</w:t>
            </w:r>
          </w:p>
        </w:tc>
      </w:tr>
      <w:tr>
        <w:tc>
          <w:tcPr>
            <w:tcW w:type="dxa" w:w="1984"/>
          </w:tcPr>
          <w:p>
            <w:pPr>
              <w:spacing w:lineRule="exact" w:line="600"/>
              <w:jc w:val="center"/>
            </w:pPr>
            <w:r/>
            <w:r>
              <w:rPr>
                <w:rFonts w:ascii="仿宋_GB2312" w:hAnsi="仿宋_GB2312" w:eastAsia="仿宋_GB2312"/>
                <w:b w:val="0"/>
                <w:color w:val="000000"/>
                <w:sz w:val="32"/>
              </w:rPr>
              <w:t>碳足迹</w:t>
            </w:r>
          </w:p>
        </w:tc>
        <w:tc>
          <w:tcPr>
            <w:tcW w:type="dxa" w:w="3118"/>
          </w:tcPr>
          <w:p>
            <w:pPr>
              <w:spacing w:lineRule="exact" w:line="600"/>
              <w:jc w:val="center"/>
            </w:pPr>
            <w:r/>
            <w:r>
              <w:rPr>
                <w:rFonts w:ascii="仿宋_GB2312" w:hAnsi="仿宋_GB2312" w:eastAsia="仿宋_GB2312"/>
                <w:b w:val="0"/>
                <w:color w:val="000000"/>
                <w:sz w:val="32"/>
              </w:rPr>
              <w:t>5产品报告</w:t>
            </w:r>
          </w:p>
        </w:tc>
        <w:tc>
          <w:tcPr>
            <w:tcW w:type="dxa" w:w="3685"/>
          </w:tcPr>
          <w:p>
            <w:pPr>
              <w:spacing w:lineRule="exact" w:line="600"/>
              <w:jc w:val="center"/>
            </w:pPr>
            <w:r/>
            <w:r>
              <w:rPr>
                <w:rFonts w:ascii="仿宋_GB2312" w:hAnsi="仿宋_GB2312" w:eastAsia="仿宋_GB2312"/>
                <w:b w:val="0"/>
                <w:color w:val="000000"/>
                <w:sz w:val="32"/>
              </w:rPr>
              <w:t>绿色</w:t>
            </w:r>
          </w:p>
        </w:tc>
      </w:tr>
    </w:tbl>
    <w:p>
      <w:pPr>
        <w:spacing w:lineRule="exact" w:line="600" w:before="120" w:after="120"/>
        <w:ind w:firstLine="420"/>
        <w:jc w:val="left"/>
      </w:pPr>
      <w:r>
        <w:rPr>
          <w:rFonts w:ascii="楷体_GB2312" w:hAnsi="楷体_GB2312" w:eastAsia="楷体_GB2312"/>
          <w:b w:val="0"/>
          <w:color w:val="000000"/>
          <w:sz w:val="32"/>
        </w:rPr>
        <w:t>（二）创新药与研发体系</w:t>
      </w:r>
    </w:p>
    <w:p>
      <w:pPr>
        <w:spacing w:lineRule="exact" w:line="600" w:before="0" w:after="0"/>
        <w:ind w:firstLine="420"/>
        <w:jc w:val="both"/>
      </w:pPr>
      <w:r>
        <w:rPr>
          <w:rFonts w:ascii="仿宋_GB2312" w:hAnsi="仿宋_GB2312" w:eastAsia="仿宋_GB2312"/>
          <w:b w:val="0"/>
          <w:color w:val="000000"/>
          <w:sz w:val="32"/>
        </w:rPr>
        <w:t>新华制药2024年取得药品批件36个（制剂22、原料药5、一致性评价9）、国际注册文号20个、兽药批件23个，申请专利109件、授权57件（来源：新华制药年报）。研发投入3.97亿元、占营收4.69%（来源：新华制药年报）。OAB-14等重大创新药物研发加快推进，近两年50余个新产品投放市场。建有国家级企业技术中心等平台。</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研发指标</w:t>
            </w:r>
          </w:p>
        </w:tc>
        <w:tc>
          <w:tcPr>
            <w:tcW w:type="dxa" w:w="3118"/>
          </w:tcPr>
          <w:p>
            <w:pPr>
              <w:spacing w:lineRule="exact" w:line="600"/>
              <w:jc w:val="center"/>
            </w:pPr>
            <w:r/>
            <w:r>
              <w:rPr>
                <w:rFonts w:ascii="黑体" w:hAnsi="黑体" w:eastAsia="黑体"/>
                <w:b/>
                <w:color w:val="000000"/>
                <w:sz w:val="32"/>
              </w:rPr>
              <w:t>2024年</w:t>
            </w:r>
          </w:p>
        </w:tc>
        <w:tc>
          <w:tcPr>
            <w:tcW w:type="dxa" w:w="3685"/>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药品批件</w:t>
            </w:r>
          </w:p>
        </w:tc>
        <w:tc>
          <w:tcPr>
            <w:tcW w:type="dxa" w:w="3118"/>
          </w:tcPr>
          <w:p>
            <w:pPr>
              <w:spacing w:lineRule="exact" w:line="600"/>
              <w:jc w:val="center"/>
            </w:pPr>
            <w:r/>
            <w:r>
              <w:rPr>
                <w:rFonts w:ascii="仿宋_GB2312" w:hAnsi="仿宋_GB2312" w:eastAsia="仿宋_GB2312"/>
                <w:b w:val="0"/>
                <w:color w:val="000000"/>
                <w:sz w:val="32"/>
              </w:rPr>
              <w:t>36个</w:t>
            </w:r>
          </w:p>
        </w:tc>
        <w:tc>
          <w:tcPr>
            <w:tcW w:type="dxa" w:w="3685"/>
          </w:tcPr>
          <w:p>
            <w:pPr>
              <w:spacing w:lineRule="exact" w:line="600"/>
              <w:jc w:val="center"/>
            </w:pPr>
            <w:r/>
            <w:r>
              <w:rPr>
                <w:rFonts w:ascii="仿宋_GB2312" w:hAnsi="仿宋_GB2312" w:eastAsia="仿宋_GB2312"/>
                <w:b w:val="0"/>
                <w:color w:val="000000"/>
                <w:sz w:val="32"/>
              </w:rPr>
              <w:t>制剂22/原料5</w:t>
            </w:r>
          </w:p>
        </w:tc>
      </w:tr>
      <w:tr>
        <w:tc>
          <w:tcPr>
            <w:tcW w:type="dxa" w:w="1984"/>
          </w:tcPr>
          <w:p>
            <w:pPr>
              <w:spacing w:lineRule="exact" w:line="600"/>
              <w:jc w:val="center"/>
            </w:pPr>
            <w:r/>
            <w:r>
              <w:rPr>
                <w:rFonts w:ascii="仿宋_GB2312" w:hAnsi="仿宋_GB2312" w:eastAsia="仿宋_GB2312"/>
                <w:b w:val="0"/>
                <w:color w:val="000000"/>
                <w:sz w:val="32"/>
              </w:rPr>
              <w:t>国际注册</w:t>
            </w:r>
          </w:p>
        </w:tc>
        <w:tc>
          <w:tcPr>
            <w:tcW w:type="dxa" w:w="3118"/>
          </w:tcPr>
          <w:p>
            <w:pPr>
              <w:spacing w:lineRule="exact" w:line="600"/>
              <w:jc w:val="center"/>
            </w:pPr>
            <w:r/>
            <w:r>
              <w:rPr>
                <w:rFonts w:ascii="仿宋_GB2312" w:hAnsi="仿宋_GB2312" w:eastAsia="仿宋_GB2312"/>
                <w:b w:val="0"/>
                <w:color w:val="000000"/>
                <w:sz w:val="32"/>
              </w:rPr>
              <w:t>20个</w:t>
            </w:r>
          </w:p>
        </w:tc>
        <w:tc>
          <w:tcPr>
            <w:tcW w:type="dxa" w:w="3685"/>
          </w:tcPr>
          <w:p>
            <w:pPr>
              <w:spacing w:lineRule="exact" w:line="600"/>
              <w:jc w:val="center"/>
            </w:pPr>
            <w:r/>
            <w:r>
              <w:rPr>
                <w:rFonts w:ascii="仿宋_GB2312" w:hAnsi="仿宋_GB2312" w:eastAsia="仿宋_GB2312"/>
                <w:b w:val="0"/>
                <w:color w:val="000000"/>
                <w:sz w:val="32"/>
              </w:rPr>
              <w:t>出海</w:t>
            </w:r>
          </w:p>
        </w:tc>
      </w:tr>
      <w:tr>
        <w:tc>
          <w:tcPr>
            <w:tcW w:type="dxa" w:w="1984"/>
          </w:tcPr>
          <w:p>
            <w:pPr>
              <w:spacing w:lineRule="exact" w:line="600"/>
              <w:jc w:val="center"/>
            </w:pPr>
            <w:r/>
            <w:r>
              <w:rPr>
                <w:rFonts w:ascii="仿宋_GB2312" w:hAnsi="仿宋_GB2312" w:eastAsia="仿宋_GB2312"/>
                <w:b w:val="0"/>
                <w:color w:val="000000"/>
                <w:sz w:val="32"/>
              </w:rPr>
              <w:t>专利申请</w:t>
            </w:r>
          </w:p>
        </w:tc>
        <w:tc>
          <w:tcPr>
            <w:tcW w:type="dxa" w:w="3118"/>
          </w:tcPr>
          <w:p>
            <w:pPr>
              <w:spacing w:lineRule="exact" w:line="600"/>
              <w:jc w:val="center"/>
            </w:pPr>
            <w:r/>
            <w:r>
              <w:rPr>
                <w:rFonts w:ascii="仿宋_GB2312" w:hAnsi="仿宋_GB2312" w:eastAsia="仿宋_GB2312"/>
                <w:b w:val="0"/>
                <w:color w:val="000000"/>
                <w:sz w:val="32"/>
              </w:rPr>
              <w:t>109件/授权57</w:t>
            </w:r>
          </w:p>
        </w:tc>
        <w:tc>
          <w:tcPr>
            <w:tcW w:type="dxa" w:w="3685"/>
          </w:tcPr>
          <w:p>
            <w:pPr>
              <w:spacing w:lineRule="exact" w:line="600"/>
              <w:jc w:val="center"/>
            </w:pPr>
            <w:r/>
            <w:r>
              <w:rPr>
                <w:rFonts w:ascii="仿宋_GB2312" w:hAnsi="仿宋_GB2312" w:eastAsia="仿宋_GB2312"/>
                <w:b w:val="0"/>
                <w:color w:val="000000"/>
                <w:sz w:val="32"/>
              </w:rPr>
              <w:t>新高</w:t>
            </w:r>
          </w:p>
        </w:tc>
      </w:tr>
      <w:tr>
        <w:tc>
          <w:tcPr>
            <w:tcW w:type="dxa" w:w="1984"/>
          </w:tcPr>
          <w:p>
            <w:pPr>
              <w:spacing w:lineRule="exact" w:line="600"/>
              <w:jc w:val="center"/>
            </w:pPr>
            <w:r/>
            <w:r>
              <w:rPr>
                <w:rFonts w:ascii="仿宋_GB2312" w:hAnsi="仿宋_GB2312" w:eastAsia="仿宋_GB2312"/>
                <w:b w:val="0"/>
                <w:color w:val="000000"/>
                <w:sz w:val="32"/>
              </w:rPr>
              <w:t>研发投入</w:t>
            </w:r>
          </w:p>
        </w:tc>
        <w:tc>
          <w:tcPr>
            <w:tcW w:type="dxa" w:w="3118"/>
          </w:tcPr>
          <w:p>
            <w:pPr>
              <w:spacing w:lineRule="exact" w:line="600"/>
              <w:jc w:val="center"/>
            </w:pPr>
            <w:r/>
            <w:r>
              <w:rPr>
                <w:rFonts w:ascii="仿宋_GB2312" w:hAnsi="仿宋_GB2312" w:eastAsia="仿宋_GB2312"/>
                <w:b w:val="0"/>
                <w:color w:val="000000"/>
                <w:sz w:val="32"/>
              </w:rPr>
              <w:t>3.97亿元(4.69%)</w:t>
            </w:r>
          </w:p>
        </w:tc>
        <w:tc>
          <w:tcPr>
            <w:tcW w:type="dxa" w:w="3685"/>
          </w:tcPr>
          <w:p>
            <w:pPr>
              <w:spacing w:lineRule="exact" w:line="600"/>
              <w:jc w:val="center"/>
            </w:pPr>
            <w:r/>
            <w:r>
              <w:rPr>
                <w:rFonts w:ascii="仿宋_GB2312" w:hAnsi="仿宋_GB2312" w:eastAsia="仿宋_GB2312"/>
                <w:b w:val="0"/>
                <w:color w:val="000000"/>
                <w:sz w:val="32"/>
              </w:rPr>
              <w:t>创新药</w:t>
            </w:r>
          </w:p>
        </w:tc>
      </w:tr>
    </w:tbl>
    <w:p>
      <w:pPr>
        <w:spacing w:lineRule="exact" w:line="600" w:before="120" w:after="120"/>
        <w:ind w:firstLine="420"/>
        <w:jc w:val="left"/>
      </w:pPr>
      <w:r>
        <w:rPr>
          <w:rFonts w:ascii="楷体_GB2312" w:hAnsi="楷体_GB2312" w:eastAsia="楷体_GB2312"/>
          <w:b w:val="0"/>
          <w:color w:val="000000"/>
          <w:sz w:val="32"/>
        </w:rPr>
        <w:t>（三）产学研与平台</w:t>
      </w:r>
    </w:p>
    <w:p>
      <w:pPr>
        <w:spacing w:lineRule="exact" w:line="600" w:before="0" w:after="0"/>
        <w:ind w:firstLine="420"/>
        <w:jc w:val="both"/>
      </w:pPr>
      <w:r>
        <w:rPr>
          <w:rFonts w:ascii="仿宋_GB2312" w:hAnsi="仿宋_GB2312" w:eastAsia="仿宋_GB2312"/>
          <w:b w:val="0"/>
          <w:color w:val="000000"/>
          <w:sz w:val="32"/>
        </w:rPr>
        <w:t>高新区建有新华制药、新华医疗等国家级企业技术中心6家、省级研发平台37家（来源：淄博高新区官网）。与清华大学、上海交大、南开、山东大学共建14家研究院、8家技术转移中心；无机非金属材料、生物医药等五大公共技术服务平台年均提供服务3万余家次（来源：淄博市政府，2026）。科创载体体系支撑成果转化。</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平台</w:t>
            </w:r>
          </w:p>
        </w:tc>
        <w:tc>
          <w:tcPr>
            <w:tcW w:type="dxa" w:w="3118"/>
          </w:tcPr>
          <w:p>
            <w:pPr>
              <w:spacing w:lineRule="exact" w:line="600"/>
              <w:jc w:val="center"/>
            </w:pPr>
            <w:r/>
            <w:r>
              <w:rPr>
                <w:rFonts w:ascii="黑体" w:hAnsi="黑体" w:eastAsia="黑体"/>
                <w:b/>
                <w:color w:val="000000"/>
                <w:sz w:val="32"/>
              </w:rPr>
              <w:t>数量</w:t>
            </w:r>
          </w:p>
        </w:tc>
        <w:tc>
          <w:tcPr>
            <w:tcW w:type="dxa" w:w="3685"/>
          </w:tcPr>
          <w:p>
            <w:pPr>
              <w:spacing w:lineRule="exact" w:line="600"/>
              <w:jc w:val="center"/>
            </w:pPr>
            <w:r/>
            <w:r>
              <w:rPr>
                <w:rFonts w:ascii="黑体" w:hAnsi="黑体" w:eastAsia="黑体"/>
                <w:b/>
                <w:color w:val="000000"/>
                <w:sz w:val="32"/>
              </w:rPr>
              <w:t>功能</w:t>
            </w:r>
          </w:p>
        </w:tc>
      </w:tr>
      <w:tr>
        <w:tc>
          <w:tcPr>
            <w:tcW w:type="dxa" w:w="1984"/>
          </w:tcPr>
          <w:p>
            <w:pPr>
              <w:spacing w:lineRule="exact" w:line="600"/>
              <w:jc w:val="center"/>
            </w:pPr>
            <w:r/>
            <w:r>
              <w:rPr>
                <w:rFonts w:ascii="仿宋_GB2312" w:hAnsi="仿宋_GB2312" w:eastAsia="仿宋_GB2312"/>
                <w:b w:val="0"/>
                <w:color w:val="000000"/>
                <w:sz w:val="32"/>
              </w:rPr>
              <w:t>国家级技术中心</w:t>
            </w:r>
          </w:p>
        </w:tc>
        <w:tc>
          <w:tcPr>
            <w:tcW w:type="dxa" w:w="3118"/>
          </w:tcPr>
          <w:p>
            <w:pPr>
              <w:spacing w:lineRule="exact" w:line="600"/>
              <w:jc w:val="center"/>
            </w:pPr>
            <w:r/>
            <w:r>
              <w:rPr>
                <w:rFonts w:ascii="仿宋_GB2312" w:hAnsi="仿宋_GB2312" w:eastAsia="仿宋_GB2312"/>
                <w:b w:val="0"/>
                <w:color w:val="000000"/>
                <w:sz w:val="32"/>
              </w:rPr>
              <w:t>6家</w:t>
            </w:r>
          </w:p>
        </w:tc>
        <w:tc>
          <w:tcPr>
            <w:tcW w:type="dxa" w:w="3685"/>
          </w:tcPr>
          <w:p>
            <w:pPr>
              <w:spacing w:lineRule="exact" w:line="600"/>
              <w:jc w:val="center"/>
            </w:pPr>
            <w:r/>
            <w:r>
              <w:rPr>
                <w:rFonts w:ascii="仿宋_GB2312" w:hAnsi="仿宋_GB2312" w:eastAsia="仿宋_GB2312"/>
                <w:b w:val="0"/>
                <w:color w:val="000000"/>
                <w:sz w:val="32"/>
              </w:rPr>
              <w:t>企业创新</w:t>
            </w:r>
          </w:p>
        </w:tc>
      </w:tr>
      <w:tr>
        <w:tc>
          <w:tcPr>
            <w:tcW w:type="dxa" w:w="1984"/>
          </w:tcPr>
          <w:p>
            <w:pPr>
              <w:spacing w:lineRule="exact" w:line="600"/>
              <w:jc w:val="center"/>
            </w:pPr>
            <w:r/>
            <w:r>
              <w:rPr>
                <w:rFonts w:ascii="仿宋_GB2312" w:hAnsi="仿宋_GB2312" w:eastAsia="仿宋_GB2312"/>
                <w:b w:val="0"/>
                <w:color w:val="000000"/>
                <w:sz w:val="32"/>
              </w:rPr>
              <w:t>省级平台</w:t>
            </w:r>
          </w:p>
        </w:tc>
        <w:tc>
          <w:tcPr>
            <w:tcW w:type="dxa" w:w="3118"/>
          </w:tcPr>
          <w:p>
            <w:pPr>
              <w:spacing w:lineRule="exact" w:line="600"/>
              <w:jc w:val="center"/>
            </w:pPr>
            <w:r/>
            <w:r>
              <w:rPr>
                <w:rFonts w:ascii="仿宋_GB2312" w:hAnsi="仿宋_GB2312" w:eastAsia="仿宋_GB2312"/>
                <w:b w:val="0"/>
                <w:color w:val="000000"/>
                <w:sz w:val="32"/>
              </w:rPr>
              <w:t>37家</w:t>
            </w:r>
          </w:p>
        </w:tc>
        <w:tc>
          <w:tcPr>
            <w:tcW w:type="dxa" w:w="3685"/>
          </w:tcPr>
          <w:p>
            <w:pPr>
              <w:spacing w:lineRule="exact" w:line="600"/>
              <w:jc w:val="center"/>
            </w:pPr>
            <w:r/>
            <w:r>
              <w:rPr>
                <w:rFonts w:ascii="仿宋_GB2312" w:hAnsi="仿宋_GB2312" w:eastAsia="仿宋_GB2312"/>
                <w:b w:val="0"/>
                <w:color w:val="000000"/>
                <w:sz w:val="32"/>
              </w:rPr>
              <w:t>研发</w:t>
            </w:r>
          </w:p>
        </w:tc>
      </w:tr>
      <w:tr>
        <w:tc>
          <w:tcPr>
            <w:tcW w:type="dxa" w:w="1984"/>
          </w:tcPr>
          <w:p>
            <w:pPr>
              <w:spacing w:lineRule="exact" w:line="600"/>
              <w:jc w:val="center"/>
            </w:pPr>
            <w:r/>
            <w:r>
              <w:rPr>
                <w:rFonts w:ascii="仿宋_GB2312" w:hAnsi="仿宋_GB2312" w:eastAsia="仿宋_GB2312"/>
                <w:b w:val="0"/>
                <w:color w:val="000000"/>
                <w:sz w:val="32"/>
              </w:rPr>
              <w:t>高校研究院</w:t>
            </w:r>
          </w:p>
        </w:tc>
        <w:tc>
          <w:tcPr>
            <w:tcW w:type="dxa" w:w="3118"/>
          </w:tcPr>
          <w:p>
            <w:pPr>
              <w:spacing w:lineRule="exact" w:line="600"/>
              <w:jc w:val="center"/>
            </w:pPr>
            <w:r/>
            <w:r>
              <w:rPr>
                <w:rFonts w:ascii="仿宋_GB2312" w:hAnsi="仿宋_GB2312" w:eastAsia="仿宋_GB2312"/>
                <w:b w:val="0"/>
                <w:color w:val="000000"/>
                <w:sz w:val="32"/>
              </w:rPr>
              <w:t>14家</w:t>
            </w:r>
          </w:p>
        </w:tc>
        <w:tc>
          <w:tcPr>
            <w:tcW w:type="dxa" w:w="3685"/>
          </w:tcPr>
          <w:p>
            <w:pPr>
              <w:spacing w:lineRule="exact" w:line="600"/>
              <w:jc w:val="center"/>
            </w:pPr>
            <w:r/>
            <w:r>
              <w:rPr>
                <w:rFonts w:ascii="仿宋_GB2312" w:hAnsi="仿宋_GB2312" w:eastAsia="仿宋_GB2312"/>
                <w:b w:val="0"/>
                <w:color w:val="000000"/>
                <w:sz w:val="32"/>
              </w:rPr>
              <w:t>产学研</w:t>
            </w:r>
          </w:p>
        </w:tc>
      </w:tr>
      <w:tr>
        <w:tc>
          <w:tcPr>
            <w:tcW w:type="dxa" w:w="1984"/>
          </w:tcPr>
          <w:p>
            <w:pPr>
              <w:spacing w:lineRule="exact" w:line="600"/>
              <w:jc w:val="center"/>
            </w:pPr>
            <w:r/>
            <w:r>
              <w:rPr>
                <w:rFonts w:ascii="仿宋_GB2312" w:hAnsi="仿宋_GB2312" w:eastAsia="仿宋_GB2312"/>
                <w:b w:val="0"/>
                <w:color w:val="000000"/>
                <w:sz w:val="32"/>
              </w:rPr>
              <w:t>公共技术平台</w:t>
            </w:r>
          </w:p>
        </w:tc>
        <w:tc>
          <w:tcPr>
            <w:tcW w:type="dxa" w:w="3118"/>
          </w:tcPr>
          <w:p>
            <w:pPr>
              <w:spacing w:lineRule="exact" w:line="600"/>
              <w:jc w:val="center"/>
            </w:pPr>
            <w:r/>
            <w:r>
              <w:rPr>
                <w:rFonts w:ascii="仿宋_GB2312" w:hAnsi="仿宋_GB2312" w:eastAsia="仿宋_GB2312"/>
                <w:b w:val="0"/>
                <w:color w:val="000000"/>
                <w:sz w:val="32"/>
              </w:rPr>
              <w:t>5大</w:t>
            </w:r>
          </w:p>
        </w:tc>
        <w:tc>
          <w:tcPr>
            <w:tcW w:type="dxa" w:w="3685"/>
          </w:tcPr>
          <w:p>
            <w:pPr>
              <w:spacing w:lineRule="exact" w:line="600"/>
              <w:jc w:val="center"/>
            </w:pPr>
            <w:r/>
            <w:r>
              <w:rPr>
                <w:rFonts w:ascii="仿宋_GB2312" w:hAnsi="仿宋_GB2312" w:eastAsia="仿宋_GB2312"/>
                <w:b w:val="0"/>
                <w:color w:val="000000"/>
                <w:sz w:val="32"/>
              </w:rPr>
              <w:t>3万家次/年</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（一）要素成本</w:t>
      </w:r>
    </w:p>
    <w:p>
      <w:pPr>
        <w:spacing w:lineRule="exact" w:line="600" w:before="0" w:after="0"/>
        <w:ind w:firstLine="420"/>
        <w:jc w:val="both"/>
      </w:pPr>
      <w:r>
        <w:rPr>
          <w:rFonts w:ascii="仿宋_GB2312" w:hAnsi="仿宋_GB2312" w:eastAsia="仿宋_GB2312"/>
          <w:b w:val="0"/>
          <w:color w:val="000000"/>
          <w:sz w:val="32"/>
        </w:rPr>
        <w:t>淄博高新区面积225.06平方公里、常住人口35万，被授予生物医药等6个国家级产业基地、国家级绿色工业园区（来源：淄博市政府，2026）。拥有36家科技孵化载体（国家级10家）、生物医药产业创新园等国家级孵化器（来源：淄博市政府）。要素成本低于一线城市，人才方面引育国家重点人才63人、泰山系列102人（来源：淄博市政府）。</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规模</w:t>
            </w:r>
          </w:p>
        </w:tc>
        <w:tc>
          <w:tcPr>
            <w:tcW w:type="dxa" w:w="3685"/>
          </w:tcPr>
          <w:p>
            <w:pPr>
              <w:spacing w:lineRule="exact" w:line="600"/>
              <w:jc w:val="center"/>
            </w:pPr>
            <w:r/>
            <w:r>
              <w:rPr>
                <w:rFonts w:ascii="黑体" w:hAnsi="黑体" w:eastAsia="黑体"/>
                <w:b/>
                <w:color w:val="000000"/>
                <w:sz w:val="32"/>
              </w:rPr>
              <w:t>保障</w:t>
            </w:r>
          </w:p>
        </w:tc>
      </w:tr>
      <w:tr>
        <w:tc>
          <w:tcPr>
            <w:tcW w:type="dxa" w:w="1701"/>
          </w:tcPr>
          <w:p>
            <w:pPr>
              <w:spacing w:lineRule="exact" w:line="600"/>
              <w:jc w:val="center"/>
            </w:pPr>
            <w:r/>
            <w:r>
              <w:rPr>
                <w:rFonts w:ascii="仿宋_GB2312" w:hAnsi="仿宋_GB2312" w:eastAsia="仿宋_GB2312"/>
                <w:b w:val="0"/>
                <w:color w:val="000000"/>
                <w:sz w:val="32"/>
              </w:rPr>
              <w:t>面积</w:t>
            </w:r>
          </w:p>
        </w:tc>
        <w:tc>
          <w:tcPr>
            <w:tcW w:type="dxa" w:w="3402"/>
          </w:tcPr>
          <w:p>
            <w:pPr>
              <w:spacing w:lineRule="exact" w:line="600"/>
              <w:jc w:val="center"/>
            </w:pPr>
            <w:r/>
            <w:r>
              <w:rPr>
                <w:rFonts w:ascii="仿宋_GB2312" w:hAnsi="仿宋_GB2312" w:eastAsia="仿宋_GB2312"/>
                <w:b w:val="0"/>
                <w:color w:val="000000"/>
                <w:sz w:val="32"/>
              </w:rPr>
              <w:t>225.06平方公里</w:t>
            </w:r>
          </w:p>
        </w:tc>
        <w:tc>
          <w:tcPr>
            <w:tcW w:type="dxa" w:w="3685"/>
          </w:tcPr>
          <w:p>
            <w:pPr>
              <w:spacing w:lineRule="exact" w:line="600"/>
              <w:jc w:val="center"/>
            </w:pPr>
            <w:r/>
            <w:r>
              <w:rPr>
                <w:rFonts w:ascii="仿宋_GB2312" w:hAnsi="仿宋_GB2312" w:eastAsia="仿宋_GB2312"/>
                <w:b w:val="0"/>
                <w:color w:val="000000"/>
                <w:sz w:val="32"/>
              </w:rPr>
              <w:t>国家级高新区</w:t>
            </w:r>
          </w:p>
        </w:tc>
      </w:tr>
      <w:tr>
        <w:tc>
          <w:tcPr>
            <w:tcW w:type="dxa" w:w="1701"/>
          </w:tcPr>
          <w:p>
            <w:pPr>
              <w:spacing w:lineRule="exact" w:line="600"/>
              <w:jc w:val="center"/>
            </w:pPr>
            <w:r/>
            <w:r>
              <w:rPr>
                <w:rFonts w:ascii="仿宋_GB2312" w:hAnsi="仿宋_GB2312" w:eastAsia="仿宋_GB2312"/>
                <w:b w:val="0"/>
                <w:color w:val="000000"/>
                <w:sz w:val="32"/>
              </w:rPr>
              <w:t>孵化载体</w:t>
            </w:r>
          </w:p>
        </w:tc>
        <w:tc>
          <w:tcPr>
            <w:tcW w:type="dxa" w:w="3402"/>
          </w:tcPr>
          <w:p>
            <w:pPr>
              <w:spacing w:lineRule="exact" w:line="600"/>
              <w:jc w:val="center"/>
            </w:pPr>
            <w:r/>
            <w:r>
              <w:rPr>
                <w:rFonts w:ascii="仿宋_GB2312" w:hAnsi="仿宋_GB2312" w:eastAsia="仿宋_GB2312"/>
                <w:b w:val="0"/>
                <w:color w:val="000000"/>
                <w:sz w:val="32"/>
              </w:rPr>
              <w:t>36家(国家级10)</w:t>
            </w:r>
          </w:p>
        </w:tc>
        <w:tc>
          <w:tcPr>
            <w:tcW w:type="dxa" w:w="3685"/>
          </w:tcPr>
          <w:p>
            <w:pPr>
              <w:spacing w:lineRule="exact" w:line="600"/>
              <w:jc w:val="center"/>
            </w:pPr>
            <w:r/>
            <w:r>
              <w:rPr>
                <w:rFonts w:ascii="仿宋_GB2312" w:hAnsi="仿宋_GB2312" w:eastAsia="仿宋_GB2312"/>
                <w:b w:val="0"/>
                <w:color w:val="000000"/>
                <w:sz w:val="32"/>
              </w:rPr>
              <w:t>创新孵化</w:t>
            </w:r>
          </w:p>
        </w:tc>
      </w:tr>
      <w:tr>
        <w:tc>
          <w:tcPr>
            <w:tcW w:type="dxa" w:w="1701"/>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国家重点63/泰山102</w:t>
            </w:r>
          </w:p>
        </w:tc>
        <w:tc>
          <w:tcPr>
            <w:tcW w:type="dxa" w:w="3685"/>
          </w:tcPr>
          <w:p>
            <w:pPr>
              <w:spacing w:lineRule="exact" w:line="600"/>
              <w:jc w:val="center"/>
            </w:pPr>
            <w:r/>
            <w:r>
              <w:rPr>
                <w:rFonts w:ascii="仿宋_GB2312" w:hAnsi="仿宋_GB2312" w:eastAsia="仿宋_GB2312"/>
                <w:b w:val="0"/>
                <w:color w:val="000000"/>
                <w:sz w:val="32"/>
              </w:rPr>
              <w:t>智力</w:t>
            </w:r>
          </w:p>
        </w:tc>
      </w:tr>
      <w:tr>
        <w:tc>
          <w:tcPr>
            <w:tcW w:type="dxa" w:w="1701"/>
          </w:tcPr>
          <w:p>
            <w:pPr>
              <w:spacing w:lineRule="exact" w:line="600"/>
              <w:jc w:val="center"/>
            </w:pPr>
            <w:r/>
            <w:r>
              <w:rPr>
                <w:rFonts w:ascii="仿宋_GB2312" w:hAnsi="仿宋_GB2312" w:eastAsia="仿宋_GB2312"/>
                <w:b w:val="0"/>
                <w:color w:val="000000"/>
                <w:sz w:val="32"/>
              </w:rPr>
              <w:t>产业基地</w:t>
            </w:r>
          </w:p>
        </w:tc>
        <w:tc>
          <w:tcPr>
            <w:tcW w:type="dxa" w:w="3402"/>
          </w:tcPr>
          <w:p>
            <w:pPr>
              <w:spacing w:lineRule="exact" w:line="600"/>
              <w:jc w:val="center"/>
            </w:pPr>
            <w:r/>
            <w:r>
              <w:rPr>
                <w:rFonts w:ascii="仿宋_GB2312" w:hAnsi="仿宋_GB2312" w:eastAsia="仿宋_GB2312"/>
                <w:b w:val="0"/>
                <w:color w:val="000000"/>
                <w:sz w:val="32"/>
              </w:rPr>
              <w:t>6个国家级</w:t>
            </w:r>
          </w:p>
        </w:tc>
        <w:tc>
          <w:tcPr>
            <w:tcW w:type="dxa" w:w="3685"/>
          </w:tcPr>
          <w:p>
            <w:pPr>
              <w:spacing w:lineRule="exact" w:line="600"/>
              <w:jc w:val="center"/>
            </w:pPr>
            <w:r/>
            <w:r>
              <w:rPr>
                <w:rFonts w:ascii="仿宋_GB2312" w:hAnsi="仿宋_GB2312" w:eastAsia="仿宋_GB2312"/>
                <w:b w:val="0"/>
                <w:color w:val="000000"/>
                <w:sz w:val="32"/>
              </w:rPr>
              <w:t>配套</w:t>
            </w:r>
          </w:p>
        </w:tc>
      </w:tr>
    </w:tbl>
    <w:p>
      <w:pPr>
        <w:spacing w:lineRule="exact" w:line="600" w:before="120" w:after="120"/>
        <w:ind w:firstLine="420"/>
        <w:jc w:val="left"/>
      </w:pPr>
      <w:r>
        <w:rPr>
          <w:rFonts w:ascii="楷体_GB2312" w:hAnsi="楷体_GB2312" w:eastAsia="楷体_GB2312"/>
          <w:b w:val="0"/>
          <w:color w:val="000000"/>
          <w:sz w:val="32"/>
        </w:rPr>
        <w:t>（二）企业盈利状况</w:t>
      </w:r>
    </w:p>
    <w:p>
      <w:pPr>
        <w:spacing w:lineRule="exact" w:line="600" w:before="0" w:after="0"/>
        <w:ind w:firstLine="420"/>
        <w:jc w:val="both"/>
      </w:pPr>
      <w:r>
        <w:rPr>
          <w:rFonts w:ascii="仿宋_GB2312" w:hAnsi="仿宋_GB2312" w:eastAsia="仿宋_GB2312"/>
          <w:b w:val="0"/>
          <w:color w:val="000000"/>
          <w:sz w:val="32"/>
        </w:rPr>
        <w:t>新华制药2024年营收84.66亿元（+4.51%）、归母净利润4.70亿元（-5.33%），呈「增收不增利」；毛利率24.11%、同比下降5.41个百分点，主因部分主导产品价格下降（来源：新华制药2024年报）。分产品毛利率：制剂26.27%、原料药34.61%、中间体1.5%（来源：新华制药年报）。盈利能力受价格竞争与出口挑战挤压。</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新华制药指标</w:t>
            </w:r>
          </w:p>
        </w:tc>
        <w:tc>
          <w:tcPr>
            <w:tcW w:type="dxa" w:w="3118"/>
          </w:tcPr>
          <w:p>
            <w:pPr>
              <w:spacing w:lineRule="exact" w:line="600"/>
              <w:jc w:val="center"/>
            </w:pPr>
            <w:r/>
            <w:r>
              <w:rPr>
                <w:rFonts w:ascii="黑体" w:hAnsi="黑体" w:eastAsia="黑体"/>
                <w:b/>
                <w:color w:val="000000"/>
                <w:sz w:val="32"/>
              </w:rPr>
              <w:t>2024年</w:t>
            </w:r>
          </w:p>
        </w:tc>
        <w:tc>
          <w:tcPr>
            <w:tcW w:type="dxa" w:w="3402"/>
          </w:tcPr>
          <w:p>
            <w:pPr>
              <w:spacing w:lineRule="exact" w:line="600"/>
              <w:jc w:val="center"/>
            </w:pPr>
            <w:r/>
            <w:r>
              <w:rPr>
                <w:rFonts w:ascii="黑体" w:hAnsi="黑体" w:eastAsia="黑体"/>
                <w:b/>
                <w:color w:val="000000"/>
                <w:sz w:val="32"/>
              </w:rPr>
              <w:t>同比</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118"/>
          </w:tcPr>
          <w:p>
            <w:pPr>
              <w:spacing w:lineRule="exact" w:line="600"/>
              <w:jc w:val="center"/>
            </w:pPr>
            <w:r/>
            <w:r>
              <w:rPr>
                <w:rFonts w:ascii="仿宋_GB2312" w:hAnsi="仿宋_GB2312" w:eastAsia="仿宋_GB2312"/>
                <w:b w:val="0"/>
                <w:color w:val="000000"/>
                <w:sz w:val="32"/>
              </w:rPr>
              <w:t>84.66亿元</w:t>
            </w:r>
          </w:p>
        </w:tc>
        <w:tc>
          <w:tcPr>
            <w:tcW w:type="dxa" w:w="3402"/>
          </w:tcPr>
          <w:p>
            <w:pPr>
              <w:spacing w:lineRule="exact" w:line="600"/>
              <w:jc w:val="center"/>
            </w:pPr>
            <w:r/>
            <w:r>
              <w:rPr>
                <w:rFonts w:ascii="仿宋_GB2312" w:hAnsi="仿宋_GB2312" w:eastAsia="仿宋_GB2312"/>
                <w:b w:val="0"/>
                <w:color w:val="000000"/>
                <w:sz w:val="32"/>
              </w:rPr>
              <w:t>+4.51%</w:t>
            </w:r>
          </w:p>
        </w:tc>
      </w:tr>
      <w:tr>
        <w:tc>
          <w:tcPr>
            <w:tcW w:type="dxa" w:w="1984"/>
          </w:tcPr>
          <w:p>
            <w:pPr>
              <w:spacing w:lineRule="exact" w:line="600"/>
              <w:jc w:val="center"/>
            </w:pPr>
            <w:r/>
            <w:r>
              <w:rPr>
                <w:rFonts w:ascii="仿宋_GB2312" w:hAnsi="仿宋_GB2312" w:eastAsia="仿宋_GB2312"/>
                <w:b w:val="0"/>
                <w:color w:val="000000"/>
                <w:sz w:val="32"/>
              </w:rPr>
              <w:t>归母净利润</w:t>
            </w:r>
          </w:p>
        </w:tc>
        <w:tc>
          <w:tcPr>
            <w:tcW w:type="dxa" w:w="3118"/>
          </w:tcPr>
          <w:p>
            <w:pPr>
              <w:spacing w:lineRule="exact" w:line="600"/>
              <w:jc w:val="center"/>
            </w:pPr>
            <w:r/>
            <w:r>
              <w:rPr>
                <w:rFonts w:ascii="仿宋_GB2312" w:hAnsi="仿宋_GB2312" w:eastAsia="仿宋_GB2312"/>
                <w:b w:val="0"/>
                <w:color w:val="000000"/>
                <w:sz w:val="32"/>
              </w:rPr>
              <w:t>4.70亿元</w:t>
            </w:r>
          </w:p>
        </w:tc>
        <w:tc>
          <w:tcPr>
            <w:tcW w:type="dxa" w:w="3402"/>
          </w:tcPr>
          <w:p>
            <w:pPr>
              <w:spacing w:lineRule="exact" w:line="600"/>
              <w:jc w:val="center"/>
            </w:pPr>
            <w:r/>
            <w:r>
              <w:rPr>
                <w:rFonts w:ascii="仿宋_GB2312" w:hAnsi="仿宋_GB2312" w:eastAsia="仿宋_GB2312"/>
                <w:b w:val="0"/>
                <w:color w:val="000000"/>
                <w:sz w:val="32"/>
              </w:rPr>
              <w:t>-5.33%</w:t>
            </w:r>
          </w:p>
        </w:tc>
      </w:tr>
      <w:tr>
        <w:tc>
          <w:tcPr>
            <w:tcW w:type="dxa" w:w="1984"/>
          </w:tcPr>
          <w:p>
            <w:pPr>
              <w:spacing w:lineRule="exact" w:line="600"/>
              <w:jc w:val="center"/>
            </w:pPr>
            <w:r/>
            <w:r>
              <w:rPr>
                <w:rFonts w:ascii="仿宋_GB2312" w:hAnsi="仿宋_GB2312" w:eastAsia="仿宋_GB2312"/>
                <w:b w:val="0"/>
                <w:color w:val="000000"/>
                <w:sz w:val="32"/>
              </w:rPr>
              <w:t>毛利率</w:t>
            </w:r>
          </w:p>
        </w:tc>
        <w:tc>
          <w:tcPr>
            <w:tcW w:type="dxa" w:w="3118"/>
          </w:tcPr>
          <w:p>
            <w:pPr>
              <w:spacing w:lineRule="exact" w:line="600"/>
              <w:jc w:val="center"/>
            </w:pPr>
            <w:r/>
            <w:r>
              <w:rPr>
                <w:rFonts w:ascii="仿宋_GB2312" w:hAnsi="仿宋_GB2312" w:eastAsia="仿宋_GB2312"/>
                <w:b w:val="0"/>
                <w:color w:val="000000"/>
                <w:sz w:val="32"/>
              </w:rPr>
              <w:t>24.11%</w:t>
            </w:r>
          </w:p>
        </w:tc>
        <w:tc>
          <w:tcPr>
            <w:tcW w:type="dxa" w:w="3402"/>
          </w:tcPr>
          <w:p>
            <w:pPr>
              <w:spacing w:lineRule="exact" w:line="600"/>
              <w:jc w:val="center"/>
            </w:pPr>
            <w:r/>
            <w:r>
              <w:rPr>
                <w:rFonts w:ascii="仿宋_GB2312" w:hAnsi="仿宋_GB2312" w:eastAsia="仿宋_GB2312"/>
                <w:b w:val="0"/>
                <w:color w:val="000000"/>
                <w:sz w:val="32"/>
              </w:rPr>
              <w:t>-5.41pct</w:t>
            </w:r>
          </w:p>
        </w:tc>
      </w:tr>
      <w:tr>
        <w:tc>
          <w:tcPr>
            <w:tcW w:type="dxa" w:w="1984"/>
          </w:tcPr>
          <w:p>
            <w:pPr>
              <w:spacing w:lineRule="exact" w:line="600"/>
              <w:jc w:val="center"/>
            </w:pPr>
            <w:r/>
            <w:r>
              <w:rPr>
                <w:rFonts w:ascii="仿宋_GB2312" w:hAnsi="仿宋_GB2312" w:eastAsia="仿宋_GB2312"/>
                <w:b w:val="0"/>
                <w:color w:val="000000"/>
                <w:sz w:val="32"/>
              </w:rPr>
              <w:t>原料药毛利率</w:t>
            </w:r>
          </w:p>
        </w:tc>
        <w:tc>
          <w:tcPr>
            <w:tcW w:type="dxa" w:w="3118"/>
          </w:tcPr>
          <w:p>
            <w:pPr>
              <w:spacing w:lineRule="exact" w:line="600"/>
              <w:jc w:val="center"/>
            </w:pPr>
            <w:r/>
            <w:r>
              <w:rPr>
                <w:rFonts w:ascii="仿宋_GB2312" w:hAnsi="仿宋_GB2312" w:eastAsia="仿宋_GB2312"/>
                <w:b w:val="0"/>
                <w:color w:val="000000"/>
                <w:sz w:val="32"/>
              </w:rPr>
              <w:t>34.61%</w:t>
            </w:r>
          </w:p>
        </w:tc>
        <w:tc>
          <w:tcPr>
            <w:tcW w:type="dxa" w:w="3402"/>
          </w:tcPr>
          <w:p>
            <w:pPr>
              <w:spacing w:lineRule="exact" w:line="600"/>
              <w:jc w:val="center"/>
            </w:pPr>
            <w:r/>
            <w:r>
              <w:rPr>
                <w:rFonts w:ascii="仿宋_GB2312" w:hAnsi="仿宋_GB2312" w:eastAsia="仿宋_GB2312"/>
                <w:b w:val="0"/>
                <w:color w:val="000000"/>
                <w:sz w:val="32"/>
              </w:rPr>
              <w:t>-5.00pct</w:t>
            </w:r>
          </w:p>
        </w:tc>
      </w:tr>
    </w:tbl>
    <w:p>
      <w:pPr>
        <w:spacing w:lineRule="exact" w:line="600" w:before="120" w:after="120"/>
        <w:ind w:firstLine="420"/>
        <w:jc w:val="left"/>
      </w:pPr>
      <w:r>
        <w:rPr>
          <w:rFonts w:ascii="楷体_GB2312" w:hAnsi="楷体_GB2312" w:eastAsia="楷体_GB2312"/>
          <w:b w:val="0"/>
          <w:color w:val="000000"/>
          <w:sz w:val="32"/>
        </w:rPr>
        <w:t>（三）基础设施保障</w:t>
      </w:r>
    </w:p>
    <w:p>
      <w:pPr>
        <w:spacing w:lineRule="exact" w:line="600" w:before="0" w:after="0"/>
        <w:ind w:firstLine="420"/>
        <w:jc w:val="both"/>
      </w:pPr>
      <w:r>
        <w:rPr>
          <w:rFonts w:ascii="仿宋_GB2312" w:hAnsi="仿宋_GB2312" w:eastAsia="仿宋_GB2312"/>
          <w:b w:val="0"/>
          <w:color w:val="000000"/>
          <w:sz w:val="32"/>
        </w:rPr>
        <w:t>高新区高水平规划建设淄博科学城，武汉理工大学先进陶瓷技术研究院等入驻；生物医药产业创新园等国家级孵化器在火炬中心评价中表现优异（来源：淄博市政府，2026）。建有中国育奇谷（25万㎡标准厂房）为创新药、高端制剂、高值耗材提供空间（来源：淄博市政府）。基础设施与公共服务完善，支撑企业落地与扩张。</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保障</w:t>
            </w:r>
          </w:p>
        </w:tc>
        <w:tc>
          <w:tcPr>
            <w:tcW w:type="dxa" w:w="3402"/>
          </w:tcPr>
          <w:p>
            <w:pPr>
              <w:spacing w:lineRule="exact" w:line="600"/>
              <w:jc w:val="center"/>
            </w:pPr>
            <w:r/>
            <w:r>
              <w:rPr>
                <w:rFonts w:ascii="黑体" w:hAnsi="黑体" w:eastAsia="黑体"/>
                <w:b/>
                <w:color w:val="000000"/>
                <w:sz w:val="32"/>
              </w:rPr>
              <w:t>项目</w:t>
            </w:r>
          </w:p>
        </w:tc>
        <w:tc>
          <w:tcPr>
            <w:tcW w:type="dxa" w:w="3685"/>
          </w:tcPr>
          <w:p>
            <w:pPr>
              <w:spacing w:lineRule="exact" w:line="600"/>
              <w:jc w:val="center"/>
            </w:pPr>
            <w:r/>
            <w:r>
              <w:rPr>
                <w:rFonts w:ascii="黑体" w:hAnsi="黑体" w:eastAsia="黑体"/>
                <w:b/>
                <w:color w:val="000000"/>
                <w:sz w:val="32"/>
              </w:rPr>
              <w:t>状态</w:t>
            </w:r>
          </w:p>
        </w:tc>
      </w:tr>
      <w:tr>
        <w:tc>
          <w:tcPr>
            <w:tcW w:type="dxa" w:w="1701"/>
          </w:tcPr>
          <w:p>
            <w:pPr>
              <w:spacing w:lineRule="exact" w:line="600"/>
              <w:jc w:val="center"/>
            </w:pPr>
            <w:r/>
            <w:r>
              <w:rPr>
                <w:rFonts w:ascii="仿宋_GB2312" w:hAnsi="仿宋_GB2312" w:eastAsia="仿宋_GB2312"/>
                <w:b w:val="0"/>
                <w:color w:val="000000"/>
                <w:sz w:val="32"/>
              </w:rPr>
              <w:t>科学城</w:t>
            </w:r>
          </w:p>
        </w:tc>
        <w:tc>
          <w:tcPr>
            <w:tcW w:type="dxa" w:w="3402"/>
          </w:tcPr>
          <w:p>
            <w:pPr>
              <w:spacing w:lineRule="exact" w:line="600"/>
              <w:jc w:val="center"/>
            </w:pPr>
            <w:r/>
            <w:r>
              <w:rPr>
                <w:rFonts w:ascii="仿宋_GB2312" w:hAnsi="仿宋_GB2312" w:eastAsia="仿宋_GB2312"/>
                <w:b w:val="0"/>
                <w:color w:val="000000"/>
                <w:sz w:val="32"/>
              </w:rPr>
              <w:t>淄博科学城</w:t>
            </w:r>
          </w:p>
        </w:tc>
        <w:tc>
          <w:tcPr>
            <w:tcW w:type="dxa" w:w="3685"/>
          </w:tcPr>
          <w:p>
            <w:pPr>
              <w:spacing w:lineRule="exact" w:line="600"/>
              <w:jc w:val="center"/>
            </w:pPr>
            <w:r/>
            <w:r>
              <w:rPr>
                <w:rFonts w:ascii="仿宋_GB2312" w:hAnsi="仿宋_GB2312" w:eastAsia="仿宋_GB2312"/>
                <w:b w:val="0"/>
                <w:color w:val="000000"/>
                <w:sz w:val="32"/>
              </w:rPr>
              <w:t>规划建设中</w:t>
            </w:r>
          </w:p>
        </w:tc>
      </w:tr>
      <w:tr>
        <w:tc>
          <w:tcPr>
            <w:tcW w:type="dxa" w:w="1701"/>
          </w:tcPr>
          <w:p>
            <w:pPr>
              <w:spacing w:lineRule="exact" w:line="600"/>
              <w:jc w:val="center"/>
            </w:pPr>
            <w:r/>
            <w:r>
              <w:rPr>
                <w:rFonts w:ascii="仿宋_GB2312" w:hAnsi="仿宋_GB2312" w:eastAsia="仿宋_GB2312"/>
                <w:b w:val="0"/>
                <w:color w:val="000000"/>
                <w:sz w:val="32"/>
              </w:rPr>
              <w:t>育奇谷</w:t>
            </w:r>
          </w:p>
        </w:tc>
        <w:tc>
          <w:tcPr>
            <w:tcW w:type="dxa" w:w="3402"/>
          </w:tcPr>
          <w:p>
            <w:pPr>
              <w:spacing w:lineRule="exact" w:line="600"/>
              <w:jc w:val="center"/>
            </w:pPr>
            <w:r/>
            <w:r>
              <w:rPr>
                <w:rFonts w:ascii="仿宋_GB2312" w:hAnsi="仿宋_GB2312" w:eastAsia="仿宋_GB2312"/>
                <w:b w:val="0"/>
                <w:color w:val="000000"/>
                <w:sz w:val="32"/>
              </w:rPr>
              <w:t>25万㎡标准厂房</w:t>
            </w:r>
          </w:p>
        </w:tc>
        <w:tc>
          <w:tcPr>
            <w:tcW w:type="dxa" w:w="3685"/>
          </w:tcPr>
          <w:p>
            <w:pPr>
              <w:spacing w:lineRule="exact" w:line="600"/>
              <w:jc w:val="center"/>
            </w:pPr>
            <w:r/>
            <w:r>
              <w:rPr>
                <w:rFonts w:ascii="仿宋_GB2312" w:hAnsi="仿宋_GB2312" w:eastAsia="仿宋_GB2312"/>
                <w:b w:val="0"/>
                <w:color w:val="000000"/>
                <w:sz w:val="32"/>
              </w:rPr>
              <w:t>可提供空间</w:t>
            </w:r>
          </w:p>
        </w:tc>
      </w:tr>
      <w:tr>
        <w:tc>
          <w:tcPr>
            <w:tcW w:type="dxa" w:w="1701"/>
          </w:tcPr>
          <w:p>
            <w:pPr>
              <w:spacing w:lineRule="exact" w:line="600"/>
              <w:jc w:val="center"/>
            </w:pPr>
            <w:r/>
            <w:r>
              <w:rPr>
                <w:rFonts w:ascii="仿宋_GB2312" w:hAnsi="仿宋_GB2312" w:eastAsia="仿宋_GB2312"/>
                <w:b w:val="0"/>
                <w:color w:val="000000"/>
                <w:sz w:val="32"/>
              </w:rPr>
              <w:t>孵化器</w:t>
            </w:r>
          </w:p>
        </w:tc>
        <w:tc>
          <w:tcPr>
            <w:tcW w:type="dxa" w:w="3402"/>
          </w:tcPr>
          <w:p>
            <w:pPr>
              <w:spacing w:lineRule="exact" w:line="600"/>
              <w:jc w:val="center"/>
            </w:pPr>
            <w:r/>
            <w:r>
              <w:rPr>
                <w:rFonts w:ascii="仿宋_GB2312" w:hAnsi="仿宋_GB2312" w:eastAsia="仿宋_GB2312"/>
                <w:b w:val="0"/>
                <w:color w:val="000000"/>
                <w:sz w:val="32"/>
              </w:rPr>
              <w:t>国家级10家</w:t>
            </w:r>
          </w:p>
        </w:tc>
        <w:tc>
          <w:tcPr>
            <w:tcW w:type="dxa" w:w="3685"/>
          </w:tcPr>
          <w:p>
            <w:pPr>
              <w:spacing w:lineRule="exact" w:line="600"/>
              <w:jc w:val="center"/>
            </w:pPr>
            <w:r/>
            <w:r>
              <w:rPr>
                <w:rFonts w:ascii="仿宋_GB2312" w:hAnsi="仿宋_GB2312" w:eastAsia="仿宋_GB2312"/>
                <w:b w:val="0"/>
                <w:color w:val="000000"/>
                <w:sz w:val="32"/>
              </w:rPr>
              <w:t>运营</w:t>
            </w:r>
          </w:p>
        </w:tc>
      </w:tr>
      <w:tr>
        <w:tc>
          <w:tcPr>
            <w:tcW w:type="dxa" w:w="1701"/>
          </w:tcPr>
          <w:p>
            <w:pPr>
              <w:spacing w:lineRule="exact" w:line="600"/>
              <w:jc w:val="center"/>
            </w:pPr>
            <w:r/>
            <w:r>
              <w:rPr>
                <w:rFonts w:ascii="仿宋_GB2312" w:hAnsi="仿宋_GB2312" w:eastAsia="仿宋_GB2312"/>
                <w:b w:val="0"/>
                <w:color w:val="000000"/>
                <w:sz w:val="32"/>
              </w:rPr>
              <w:t>公共平台</w:t>
            </w:r>
          </w:p>
        </w:tc>
        <w:tc>
          <w:tcPr>
            <w:tcW w:type="dxa" w:w="3402"/>
          </w:tcPr>
          <w:p>
            <w:pPr>
              <w:spacing w:lineRule="exact" w:line="600"/>
              <w:jc w:val="center"/>
            </w:pPr>
            <w:r/>
            <w:r>
              <w:rPr>
                <w:rFonts w:ascii="仿宋_GB2312" w:hAnsi="仿宋_GB2312" w:eastAsia="仿宋_GB2312"/>
                <w:b w:val="0"/>
                <w:color w:val="000000"/>
                <w:sz w:val="32"/>
              </w:rPr>
              <w:t>5大技术平台</w:t>
            </w:r>
          </w:p>
        </w:tc>
        <w:tc>
          <w:tcPr>
            <w:tcW w:type="dxa" w:w="3685"/>
          </w:tcPr>
          <w:p>
            <w:pPr>
              <w:spacing w:lineRule="exact" w:line="600"/>
              <w:jc w:val="center"/>
            </w:pPr>
            <w:r/>
            <w:r>
              <w:rPr>
                <w:rFonts w:ascii="仿宋_GB2312" w:hAnsi="仿宋_GB2312" w:eastAsia="仿宋_GB2312"/>
                <w:b w:val="0"/>
                <w:color w:val="000000"/>
                <w:sz w:val="32"/>
              </w:rPr>
              <w:t>服务</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机遇一：老龄化与慢病用药扩大化学药需求，集采以价换量带动制剂放量（新华制药制剂+11.91%）（来源：新华制药年报）。机遇二：制剂国际化与OEM合作（累计出口欧美近100亿片），一带一路市场拓展（来源：新华制药年报）。机遇三：一致性评价与高端辅料需求提升，金城、千汇等细分龙头受益。机遇四：高新区「四链共进」政策与中试平台支持（来源：淄博高新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机遇</w:t>
            </w:r>
          </w:p>
        </w:tc>
        <w:tc>
          <w:tcPr>
            <w:tcW w:type="dxa" w:w="3118"/>
          </w:tcPr>
          <w:p>
            <w:pPr>
              <w:spacing w:lineRule="exact" w:line="600"/>
              <w:jc w:val="center"/>
            </w:pPr>
            <w:r/>
            <w:r>
              <w:rPr>
                <w:rFonts w:ascii="黑体" w:hAnsi="黑体" w:eastAsia="黑体"/>
                <w:b/>
                <w:color w:val="000000"/>
                <w:sz w:val="32"/>
              </w:rPr>
              <w:t>依据</w:t>
            </w:r>
          </w:p>
        </w:tc>
        <w:tc>
          <w:tcPr>
            <w:tcW w:type="dxa" w:w="3402"/>
          </w:tcPr>
          <w:p>
            <w:pPr>
              <w:spacing w:lineRule="exact" w:line="600"/>
              <w:jc w:val="center"/>
            </w:pPr>
            <w:r/>
            <w:r>
              <w:rPr>
                <w:rFonts w:ascii="黑体" w:hAnsi="黑体" w:eastAsia="黑体"/>
                <w:b/>
                <w:color w:val="000000"/>
                <w:sz w:val="32"/>
              </w:rPr>
              <w:t>收益</w:t>
            </w:r>
          </w:p>
        </w:tc>
      </w:tr>
      <w:tr>
        <w:tc>
          <w:tcPr>
            <w:tcW w:type="dxa" w:w="1984"/>
          </w:tcPr>
          <w:p>
            <w:pPr>
              <w:spacing w:lineRule="exact" w:line="600"/>
              <w:jc w:val="center"/>
            </w:pPr>
            <w:r/>
            <w:r>
              <w:rPr>
                <w:rFonts w:ascii="仿宋_GB2312" w:hAnsi="仿宋_GB2312" w:eastAsia="仿宋_GB2312"/>
                <w:b w:val="0"/>
                <w:color w:val="000000"/>
                <w:sz w:val="32"/>
              </w:rPr>
              <w:t>集采放量</w:t>
            </w:r>
          </w:p>
        </w:tc>
        <w:tc>
          <w:tcPr>
            <w:tcW w:type="dxa" w:w="3118"/>
          </w:tcPr>
          <w:p>
            <w:pPr>
              <w:spacing w:lineRule="exact" w:line="600"/>
              <w:jc w:val="center"/>
            </w:pPr>
            <w:r/>
            <w:r>
              <w:rPr>
                <w:rFonts w:ascii="仿宋_GB2312" w:hAnsi="仿宋_GB2312" w:eastAsia="仿宋_GB2312"/>
                <w:b w:val="0"/>
                <w:color w:val="000000"/>
                <w:sz w:val="32"/>
              </w:rPr>
              <w:t>制剂+11.91%</w:t>
            </w:r>
          </w:p>
        </w:tc>
        <w:tc>
          <w:tcPr>
            <w:tcW w:type="dxa" w:w="3402"/>
          </w:tcPr>
          <w:p>
            <w:pPr>
              <w:spacing w:lineRule="exact" w:line="600"/>
              <w:jc w:val="center"/>
            </w:pPr>
            <w:r/>
            <w:r>
              <w:rPr>
                <w:rFonts w:ascii="仿宋_GB2312" w:hAnsi="仿宋_GB2312" w:eastAsia="仿宋_GB2312"/>
                <w:b w:val="0"/>
                <w:color w:val="000000"/>
                <w:sz w:val="32"/>
              </w:rPr>
              <w:t>以价换量</w:t>
            </w:r>
          </w:p>
        </w:tc>
      </w:tr>
      <w:tr>
        <w:tc>
          <w:tcPr>
            <w:tcW w:type="dxa" w:w="1984"/>
          </w:tcPr>
          <w:p>
            <w:pPr>
              <w:spacing w:lineRule="exact" w:line="600"/>
              <w:jc w:val="center"/>
            </w:pPr>
            <w:r/>
            <w:r>
              <w:rPr>
                <w:rFonts w:ascii="仿宋_GB2312" w:hAnsi="仿宋_GB2312" w:eastAsia="仿宋_GB2312"/>
                <w:b w:val="0"/>
                <w:color w:val="000000"/>
                <w:sz w:val="32"/>
              </w:rPr>
              <w:t>制剂出海</w:t>
            </w:r>
          </w:p>
        </w:tc>
        <w:tc>
          <w:tcPr>
            <w:tcW w:type="dxa" w:w="3118"/>
          </w:tcPr>
          <w:p>
            <w:pPr>
              <w:spacing w:lineRule="exact" w:line="600"/>
              <w:jc w:val="center"/>
            </w:pPr>
            <w:r/>
            <w:r>
              <w:rPr>
                <w:rFonts w:ascii="仿宋_GB2312" w:hAnsi="仿宋_GB2312" w:eastAsia="仿宋_GB2312"/>
                <w:b w:val="0"/>
                <w:color w:val="000000"/>
                <w:sz w:val="32"/>
              </w:rPr>
              <w:t>100亿片欧美</w:t>
            </w:r>
          </w:p>
        </w:tc>
        <w:tc>
          <w:tcPr>
            <w:tcW w:type="dxa" w:w="3402"/>
          </w:tcPr>
          <w:p>
            <w:pPr>
              <w:spacing w:lineRule="exact" w:line="600"/>
              <w:jc w:val="center"/>
            </w:pPr>
            <w:r/>
            <w:r>
              <w:rPr>
                <w:rFonts w:ascii="仿宋_GB2312" w:hAnsi="仿宋_GB2312" w:eastAsia="仿宋_GB2312"/>
                <w:b w:val="0"/>
                <w:color w:val="000000"/>
                <w:sz w:val="32"/>
              </w:rPr>
              <w:t>国际化</w:t>
            </w:r>
          </w:p>
        </w:tc>
      </w:tr>
      <w:tr>
        <w:tc>
          <w:tcPr>
            <w:tcW w:type="dxa" w:w="1984"/>
          </w:tcPr>
          <w:p>
            <w:pPr>
              <w:spacing w:lineRule="exact" w:line="600"/>
              <w:jc w:val="center"/>
            </w:pPr>
            <w:r/>
            <w:r>
              <w:rPr>
                <w:rFonts w:ascii="仿宋_GB2312" w:hAnsi="仿宋_GB2312" w:eastAsia="仿宋_GB2312"/>
                <w:b w:val="0"/>
                <w:color w:val="000000"/>
                <w:sz w:val="32"/>
              </w:rPr>
              <w:t>一致性评价</w:t>
            </w:r>
          </w:p>
        </w:tc>
        <w:tc>
          <w:tcPr>
            <w:tcW w:type="dxa" w:w="3118"/>
          </w:tcPr>
          <w:p>
            <w:pPr>
              <w:spacing w:lineRule="exact" w:line="600"/>
              <w:jc w:val="center"/>
            </w:pPr>
            <w:r/>
            <w:r>
              <w:rPr>
                <w:rFonts w:ascii="仿宋_GB2312" w:hAnsi="仿宋_GB2312" w:eastAsia="仿宋_GB2312"/>
                <w:b w:val="0"/>
                <w:color w:val="000000"/>
                <w:sz w:val="32"/>
              </w:rPr>
              <w:t>高端辅料</w:t>
            </w:r>
          </w:p>
        </w:tc>
        <w:tc>
          <w:tcPr>
            <w:tcW w:type="dxa" w:w="3402"/>
          </w:tcPr>
          <w:p>
            <w:pPr>
              <w:spacing w:lineRule="exact" w:line="600"/>
              <w:jc w:val="center"/>
            </w:pPr>
            <w:r/>
            <w:r>
              <w:rPr>
                <w:rFonts w:ascii="仿宋_GB2312" w:hAnsi="仿宋_GB2312" w:eastAsia="仿宋_GB2312"/>
                <w:b w:val="0"/>
                <w:color w:val="000000"/>
                <w:sz w:val="32"/>
              </w:rPr>
              <w:t>细分受益</w:t>
            </w:r>
          </w:p>
        </w:tc>
      </w:tr>
      <w:tr>
        <w:tc>
          <w:tcPr>
            <w:tcW w:type="dxa" w:w="1984"/>
          </w:tcPr>
          <w:p>
            <w:pPr>
              <w:spacing w:lineRule="exact" w:line="600"/>
              <w:jc w:val="center"/>
            </w:pPr>
            <w:r/>
            <w:r>
              <w:rPr>
                <w:rFonts w:ascii="仿宋_GB2312" w:hAnsi="仿宋_GB2312" w:eastAsia="仿宋_GB2312"/>
                <w:b w:val="0"/>
                <w:color w:val="000000"/>
                <w:sz w:val="32"/>
              </w:rPr>
              <w:t>四链共进</w:t>
            </w:r>
          </w:p>
        </w:tc>
        <w:tc>
          <w:tcPr>
            <w:tcW w:type="dxa" w:w="3118"/>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强链</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挑战一：原料药价格下行致「增收不增利」，2024年净利-5.33%（来源：新华制药年报、经济参考报）。挑战二：欧美贸易政策与关税调整使出口承压（来源：新华制药年报）。挑战三：行业同质化竞争、产能过剩，中间体毛利率仅1.5%（来源：新华制药年报）。挑战四：创新药研发周期长、投入大，短期贡献有限。</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685"/>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价格下行</w:t>
            </w:r>
          </w:p>
        </w:tc>
        <w:tc>
          <w:tcPr>
            <w:tcW w:type="dxa" w:w="3402"/>
          </w:tcPr>
          <w:p>
            <w:pPr>
              <w:spacing w:lineRule="exact" w:line="600"/>
              <w:jc w:val="center"/>
            </w:pPr>
            <w:r/>
            <w:r>
              <w:rPr>
                <w:rFonts w:ascii="仿宋_GB2312" w:hAnsi="仿宋_GB2312" w:eastAsia="仿宋_GB2312"/>
                <w:b w:val="0"/>
                <w:color w:val="000000"/>
                <w:sz w:val="32"/>
              </w:rPr>
              <w:t>净利-5.33%</w:t>
            </w:r>
          </w:p>
        </w:tc>
        <w:tc>
          <w:tcPr>
            <w:tcW w:type="dxa" w:w="3685"/>
          </w:tcPr>
          <w:p>
            <w:pPr>
              <w:spacing w:lineRule="exact" w:line="600"/>
              <w:jc w:val="center"/>
            </w:pPr>
            <w:r/>
            <w:r>
              <w:rPr>
                <w:rFonts w:ascii="仿宋_GB2312" w:hAnsi="仿宋_GB2312" w:eastAsia="仿宋_GB2312"/>
                <w:b w:val="0"/>
                <w:color w:val="000000"/>
                <w:sz w:val="32"/>
              </w:rPr>
              <w:t>增收不增利</w:t>
            </w:r>
          </w:p>
        </w:tc>
      </w:tr>
      <w:tr>
        <w:tc>
          <w:tcPr>
            <w:tcW w:type="dxa" w:w="1701"/>
          </w:tcPr>
          <w:p>
            <w:pPr>
              <w:spacing w:lineRule="exact" w:line="600"/>
              <w:jc w:val="center"/>
            </w:pPr>
            <w:r/>
            <w:r>
              <w:rPr>
                <w:rFonts w:ascii="仿宋_GB2312" w:hAnsi="仿宋_GB2312" w:eastAsia="仿宋_GB2312"/>
                <w:b w:val="0"/>
                <w:color w:val="000000"/>
                <w:sz w:val="32"/>
              </w:rPr>
              <w:t>贸易政策</w:t>
            </w:r>
          </w:p>
        </w:tc>
        <w:tc>
          <w:tcPr>
            <w:tcW w:type="dxa" w:w="3402"/>
          </w:tcPr>
          <w:p>
            <w:pPr>
              <w:spacing w:lineRule="exact" w:line="600"/>
              <w:jc w:val="center"/>
            </w:pPr>
            <w:r/>
            <w:r>
              <w:rPr>
                <w:rFonts w:ascii="仿宋_GB2312" w:hAnsi="仿宋_GB2312" w:eastAsia="仿宋_GB2312"/>
                <w:b w:val="0"/>
                <w:color w:val="000000"/>
                <w:sz w:val="32"/>
              </w:rPr>
              <w:t>欧美关税</w:t>
            </w:r>
          </w:p>
        </w:tc>
        <w:tc>
          <w:tcPr>
            <w:tcW w:type="dxa" w:w="3685"/>
          </w:tcPr>
          <w:p>
            <w:pPr>
              <w:spacing w:lineRule="exact" w:line="600"/>
              <w:jc w:val="center"/>
            </w:pPr>
            <w:r/>
            <w:r>
              <w:rPr>
                <w:rFonts w:ascii="仿宋_GB2312" w:hAnsi="仿宋_GB2312" w:eastAsia="仿宋_GB2312"/>
                <w:b w:val="0"/>
                <w:color w:val="000000"/>
                <w:sz w:val="32"/>
              </w:rPr>
              <w:t>出口承压</w:t>
            </w:r>
          </w:p>
        </w:tc>
      </w:tr>
      <w:tr>
        <w:tc>
          <w:tcPr>
            <w:tcW w:type="dxa" w:w="1701"/>
          </w:tcPr>
          <w:p>
            <w:pPr>
              <w:spacing w:lineRule="exact" w:line="600"/>
              <w:jc w:val="center"/>
            </w:pPr>
            <w:r/>
            <w:r>
              <w:rPr>
                <w:rFonts w:ascii="仿宋_GB2312" w:hAnsi="仿宋_GB2312" w:eastAsia="仿宋_GB2312"/>
                <w:b w:val="0"/>
                <w:color w:val="000000"/>
                <w:sz w:val="32"/>
              </w:rPr>
              <w:t>同质竞争</w:t>
            </w:r>
          </w:p>
        </w:tc>
        <w:tc>
          <w:tcPr>
            <w:tcW w:type="dxa" w:w="3402"/>
          </w:tcPr>
          <w:p>
            <w:pPr>
              <w:spacing w:lineRule="exact" w:line="600"/>
              <w:jc w:val="center"/>
            </w:pPr>
            <w:r/>
            <w:r>
              <w:rPr>
                <w:rFonts w:ascii="仿宋_GB2312" w:hAnsi="仿宋_GB2312" w:eastAsia="仿宋_GB2312"/>
                <w:b w:val="0"/>
                <w:color w:val="000000"/>
                <w:sz w:val="32"/>
              </w:rPr>
              <w:t>中间体毛利1.5%</w:t>
            </w:r>
          </w:p>
        </w:tc>
        <w:tc>
          <w:tcPr>
            <w:tcW w:type="dxa" w:w="3685"/>
          </w:tcPr>
          <w:p>
            <w:pPr>
              <w:spacing w:lineRule="exact" w:line="600"/>
              <w:jc w:val="center"/>
            </w:pPr>
            <w:r/>
            <w:r>
              <w:rPr>
                <w:rFonts w:ascii="仿宋_GB2312" w:hAnsi="仿宋_GB2312" w:eastAsia="仿宋_GB2312"/>
                <w:b w:val="0"/>
                <w:color w:val="000000"/>
                <w:sz w:val="32"/>
              </w:rPr>
              <w:t>盈利薄</w:t>
            </w:r>
          </w:p>
        </w:tc>
      </w:tr>
      <w:tr>
        <w:tc>
          <w:tcPr>
            <w:tcW w:type="dxa" w:w="1701"/>
          </w:tcPr>
          <w:p>
            <w:pPr>
              <w:spacing w:lineRule="exact" w:line="600"/>
              <w:jc w:val="center"/>
            </w:pPr>
            <w:r/>
            <w:r>
              <w:rPr>
                <w:rFonts w:ascii="仿宋_GB2312" w:hAnsi="仿宋_GB2312" w:eastAsia="仿宋_GB2312"/>
                <w:b w:val="0"/>
                <w:color w:val="000000"/>
                <w:sz w:val="32"/>
              </w:rPr>
              <w:t>研发周期</w:t>
            </w:r>
          </w:p>
        </w:tc>
        <w:tc>
          <w:tcPr>
            <w:tcW w:type="dxa" w:w="3402"/>
          </w:tcPr>
          <w:p>
            <w:pPr>
              <w:spacing w:lineRule="exact" w:line="600"/>
              <w:jc w:val="center"/>
            </w:pPr>
            <w:r/>
            <w:r>
              <w:rPr>
                <w:rFonts w:ascii="仿宋_GB2312" w:hAnsi="仿宋_GB2312" w:eastAsia="仿宋_GB2312"/>
                <w:b w:val="0"/>
                <w:color w:val="000000"/>
                <w:sz w:val="32"/>
              </w:rPr>
              <w:t>长投入大</w:t>
            </w:r>
          </w:p>
        </w:tc>
        <w:tc>
          <w:tcPr>
            <w:tcW w:type="dxa" w:w="3685"/>
          </w:tcPr>
          <w:p>
            <w:pPr>
              <w:spacing w:lineRule="exact" w:line="600"/>
              <w:jc w:val="center"/>
            </w:pPr>
            <w:r/>
            <w:r>
              <w:rPr>
                <w:rFonts w:ascii="仿宋_GB2312" w:hAnsi="仿宋_GB2312" w:eastAsia="仿宋_GB2312"/>
                <w:b w:val="0"/>
                <w:color w:val="000000"/>
                <w:sz w:val="32"/>
              </w:rPr>
              <w:t>短期弱</w:t>
            </w:r>
          </w:p>
        </w:tc>
      </w:tr>
    </w:tbl>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风险一：原料药—制剂价格战若持续，盈利进一步承压。风险二：国际贸易摩擦与合规（FDA、EU）审查加严影响出口。风险三：环保与安全监管趋严，原料药生产面临限产与成本上升。风险四：集采续约降价超预期。需以创新药、国际化与成本管控对冲。</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触发</w:t>
            </w:r>
          </w:p>
        </w:tc>
        <w:tc>
          <w:tcPr>
            <w:tcW w:type="dxa" w:w="368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价格战</w:t>
            </w:r>
          </w:p>
        </w:tc>
        <w:tc>
          <w:tcPr>
            <w:tcW w:type="dxa" w:w="3402"/>
          </w:tcPr>
          <w:p>
            <w:pPr>
              <w:spacing w:lineRule="exact" w:line="600"/>
              <w:jc w:val="center"/>
            </w:pPr>
            <w:r/>
            <w:r>
              <w:rPr>
                <w:rFonts w:ascii="仿宋_GB2312" w:hAnsi="仿宋_GB2312" w:eastAsia="仿宋_GB2312"/>
                <w:b w:val="0"/>
                <w:color w:val="000000"/>
                <w:sz w:val="32"/>
              </w:rPr>
              <w:t>持续降价</w:t>
            </w:r>
          </w:p>
        </w:tc>
        <w:tc>
          <w:tcPr>
            <w:tcW w:type="dxa" w:w="3685"/>
          </w:tcPr>
          <w:p>
            <w:pPr>
              <w:spacing w:lineRule="exact" w:line="600"/>
              <w:jc w:val="center"/>
            </w:pPr>
            <w:r/>
            <w:r>
              <w:rPr>
                <w:rFonts w:ascii="仿宋_GB2312" w:hAnsi="仿宋_GB2312" w:eastAsia="仿宋_GB2312"/>
                <w:b w:val="0"/>
                <w:color w:val="000000"/>
                <w:sz w:val="32"/>
              </w:rPr>
              <w:t>创新+成本</w:t>
            </w:r>
          </w:p>
        </w:tc>
      </w:tr>
      <w:tr>
        <w:tc>
          <w:tcPr>
            <w:tcW w:type="dxa" w:w="1701"/>
          </w:tcPr>
          <w:p>
            <w:pPr>
              <w:spacing w:lineRule="exact" w:line="600"/>
              <w:jc w:val="center"/>
            </w:pPr>
            <w:r/>
            <w:r>
              <w:rPr>
                <w:rFonts w:ascii="仿宋_GB2312" w:hAnsi="仿宋_GB2312" w:eastAsia="仿宋_GB2312"/>
                <w:b w:val="0"/>
                <w:color w:val="000000"/>
                <w:sz w:val="32"/>
              </w:rPr>
              <w:t>贸易摩擦</w:t>
            </w:r>
          </w:p>
        </w:tc>
        <w:tc>
          <w:tcPr>
            <w:tcW w:type="dxa" w:w="3402"/>
          </w:tcPr>
          <w:p>
            <w:pPr>
              <w:spacing w:lineRule="exact" w:line="600"/>
              <w:jc w:val="center"/>
            </w:pPr>
            <w:r/>
            <w:r>
              <w:rPr>
                <w:rFonts w:ascii="仿宋_GB2312" w:hAnsi="仿宋_GB2312" w:eastAsia="仿宋_GB2312"/>
                <w:b w:val="0"/>
                <w:color w:val="000000"/>
                <w:sz w:val="32"/>
              </w:rPr>
              <w:t>关税/合规</w:t>
            </w:r>
          </w:p>
        </w:tc>
        <w:tc>
          <w:tcPr>
            <w:tcW w:type="dxa" w:w="3685"/>
          </w:tcPr>
          <w:p>
            <w:pPr>
              <w:spacing w:lineRule="exact" w:line="600"/>
              <w:jc w:val="center"/>
            </w:pPr>
            <w:r/>
            <w:r>
              <w:rPr>
                <w:rFonts w:ascii="仿宋_GB2312" w:hAnsi="仿宋_GB2312" w:eastAsia="仿宋_GB2312"/>
                <w:b w:val="0"/>
                <w:color w:val="000000"/>
                <w:sz w:val="32"/>
              </w:rPr>
              <w:t>多元市场</w:t>
            </w:r>
          </w:p>
        </w:tc>
      </w:tr>
      <w:tr>
        <w:tc>
          <w:tcPr>
            <w:tcW w:type="dxa" w:w="1701"/>
          </w:tcPr>
          <w:p>
            <w:pPr>
              <w:spacing w:lineRule="exact" w:line="600"/>
              <w:jc w:val="center"/>
            </w:pPr>
            <w:r/>
            <w:r>
              <w:rPr>
                <w:rFonts w:ascii="仿宋_GB2312" w:hAnsi="仿宋_GB2312" w:eastAsia="仿宋_GB2312"/>
                <w:b w:val="0"/>
                <w:color w:val="000000"/>
                <w:sz w:val="32"/>
              </w:rPr>
              <w:t>环保监管</w:t>
            </w:r>
          </w:p>
        </w:tc>
        <w:tc>
          <w:tcPr>
            <w:tcW w:type="dxa" w:w="3402"/>
          </w:tcPr>
          <w:p>
            <w:pPr>
              <w:spacing w:lineRule="exact" w:line="600"/>
              <w:jc w:val="center"/>
            </w:pPr>
            <w:r/>
            <w:r>
              <w:rPr>
                <w:rFonts w:ascii="仿宋_GB2312" w:hAnsi="仿宋_GB2312" w:eastAsia="仿宋_GB2312"/>
                <w:b w:val="0"/>
                <w:color w:val="000000"/>
                <w:sz w:val="32"/>
              </w:rPr>
              <w:t>限产</w:t>
            </w:r>
          </w:p>
        </w:tc>
        <w:tc>
          <w:tcPr>
            <w:tcW w:type="dxa" w:w="3685"/>
          </w:tcPr>
          <w:p>
            <w:pPr>
              <w:spacing w:lineRule="exact" w:line="600"/>
              <w:jc w:val="center"/>
            </w:pPr>
            <w:r/>
            <w:r>
              <w:rPr>
                <w:rFonts w:ascii="仿宋_GB2312" w:hAnsi="仿宋_GB2312" w:eastAsia="仿宋_GB2312"/>
                <w:b w:val="0"/>
                <w:color w:val="000000"/>
                <w:sz w:val="32"/>
              </w:rPr>
              <w:t>绿色制造</w:t>
            </w:r>
          </w:p>
        </w:tc>
      </w:tr>
      <w:tr>
        <w:tc>
          <w:tcPr>
            <w:tcW w:type="dxa" w:w="1701"/>
          </w:tcPr>
          <w:p>
            <w:pPr>
              <w:spacing w:lineRule="exact" w:line="600"/>
              <w:jc w:val="center"/>
            </w:pPr>
            <w:r/>
            <w:r>
              <w:rPr>
                <w:rFonts w:ascii="仿宋_GB2312" w:hAnsi="仿宋_GB2312" w:eastAsia="仿宋_GB2312"/>
                <w:b w:val="0"/>
                <w:color w:val="000000"/>
                <w:sz w:val="32"/>
              </w:rPr>
              <w:t>集采降价</w:t>
            </w:r>
          </w:p>
        </w:tc>
        <w:tc>
          <w:tcPr>
            <w:tcW w:type="dxa" w:w="3402"/>
          </w:tcPr>
          <w:p>
            <w:pPr>
              <w:spacing w:lineRule="exact" w:line="600"/>
              <w:jc w:val="center"/>
            </w:pPr>
            <w:r/>
            <w:r>
              <w:rPr>
                <w:rFonts w:ascii="仿宋_GB2312" w:hAnsi="仿宋_GB2312" w:eastAsia="仿宋_GB2312"/>
                <w:b w:val="0"/>
                <w:color w:val="000000"/>
                <w:sz w:val="32"/>
              </w:rPr>
              <w:t>续约</w:t>
            </w:r>
          </w:p>
        </w:tc>
        <w:tc>
          <w:tcPr>
            <w:tcW w:type="dxa" w:w="3685"/>
          </w:tcPr>
          <w:p>
            <w:pPr>
              <w:spacing w:lineRule="exact" w:line="600"/>
              <w:jc w:val="center"/>
            </w:pPr>
            <w:r/>
            <w:r>
              <w:rPr>
                <w:rFonts w:ascii="仿宋_GB2312" w:hAnsi="仿宋_GB2312" w:eastAsia="仿宋_GB2312"/>
                <w:b w:val="0"/>
                <w:color w:val="000000"/>
                <w:sz w:val="32"/>
              </w:rPr>
              <w:t>大品种</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（一）原料药—制剂一体化</w:t>
      </w:r>
    </w:p>
    <w:p>
      <w:pPr>
        <w:spacing w:lineRule="exact" w:line="600" w:before="0" w:after="0"/>
        <w:ind w:firstLine="420"/>
        <w:jc w:val="both"/>
      </w:pPr>
      <w:r>
        <w:rPr>
          <w:rFonts w:ascii="仿宋_GB2312" w:hAnsi="仿宋_GB2312" w:eastAsia="仿宋_GB2312"/>
          <w:b w:val="0"/>
          <w:color w:val="000000"/>
          <w:sz w:val="32"/>
        </w:rPr>
        <w:t>路径一：发挥原料药规模与成本优势（5万吨产能、布洛芬单项冠军），向下游高毛利制剂延伸，提升制剂占比（当前48.1%）（来源：新华制药年报）。路径二：推进一致性评价（2024年9个批件）与集采中选，巩固市场份额。路径三：延伸特色辅料（金城、千汇）完善产业链。</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402"/>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一体化</w:t>
            </w:r>
          </w:p>
        </w:tc>
        <w:tc>
          <w:tcPr>
            <w:tcW w:type="dxa" w:w="3685"/>
          </w:tcPr>
          <w:p>
            <w:pPr>
              <w:spacing w:lineRule="exact" w:line="600"/>
              <w:jc w:val="center"/>
            </w:pPr>
            <w:r/>
            <w:r>
              <w:rPr>
                <w:rFonts w:ascii="仿宋_GB2312" w:hAnsi="仿宋_GB2312" w:eastAsia="仿宋_GB2312"/>
                <w:b w:val="0"/>
                <w:color w:val="000000"/>
                <w:sz w:val="32"/>
              </w:rPr>
              <w:t>原料-制剂延伸</w:t>
            </w:r>
          </w:p>
        </w:tc>
        <w:tc>
          <w:tcPr>
            <w:tcW w:type="dxa" w:w="3402"/>
          </w:tcPr>
          <w:p>
            <w:pPr>
              <w:spacing w:lineRule="exact" w:line="600"/>
              <w:jc w:val="center"/>
            </w:pPr>
            <w:r/>
            <w:r>
              <w:rPr>
                <w:rFonts w:ascii="仿宋_GB2312" w:hAnsi="仿宋_GB2312" w:eastAsia="仿宋_GB2312"/>
                <w:b w:val="0"/>
                <w:color w:val="000000"/>
                <w:sz w:val="32"/>
              </w:rPr>
              <w:t>提制剂占比</w:t>
            </w:r>
          </w:p>
        </w:tc>
      </w:tr>
      <w:tr>
        <w:tc>
          <w:tcPr>
            <w:tcW w:type="dxa" w:w="1701"/>
          </w:tcPr>
          <w:p>
            <w:pPr>
              <w:spacing w:lineRule="exact" w:line="600"/>
              <w:jc w:val="center"/>
            </w:pPr>
            <w:r/>
            <w:r>
              <w:rPr>
                <w:rFonts w:ascii="仿宋_GB2312" w:hAnsi="仿宋_GB2312" w:eastAsia="仿宋_GB2312"/>
                <w:b w:val="0"/>
                <w:color w:val="000000"/>
                <w:sz w:val="32"/>
              </w:rPr>
              <w:t>一致性</w:t>
            </w:r>
          </w:p>
        </w:tc>
        <w:tc>
          <w:tcPr>
            <w:tcW w:type="dxa" w:w="3685"/>
          </w:tcPr>
          <w:p>
            <w:pPr>
              <w:spacing w:lineRule="exact" w:line="600"/>
              <w:jc w:val="center"/>
            </w:pPr>
            <w:r/>
            <w:r>
              <w:rPr>
                <w:rFonts w:ascii="仿宋_GB2312" w:hAnsi="仿宋_GB2312" w:eastAsia="仿宋_GB2312"/>
                <w:b w:val="0"/>
                <w:color w:val="000000"/>
                <w:sz w:val="32"/>
              </w:rPr>
              <w:t>9批件</w:t>
            </w:r>
          </w:p>
        </w:tc>
        <w:tc>
          <w:tcPr>
            <w:tcW w:type="dxa" w:w="3402"/>
          </w:tcPr>
          <w:p>
            <w:pPr>
              <w:spacing w:lineRule="exact" w:line="600"/>
              <w:jc w:val="center"/>
            </w:pPr>
            <w:r/>
            <w:r>
              <w:rPr>
                <w:rFonts w:ascii="仿宋_GB2312" w:hAnsi="仿宋_GB2312" w:eastAsia="仿宋_GB2312"/>
                <w:b w:val="0"/>
                <w:color w:val="000000"/>
                <w:sz w:val="32"/>
              </w:rPr>
              <w:t>集采</w:t>
            </w:r>
          </w:p>
        </w:tc>
      </w:tr>
      <w:tr>
        <w:tc>
          <w:tcPr>
            <w:tcW w:type="dxa" w:w="1701"/>
          </w:tcPr>
          <w:p>
            <w:pPr>
              <w:spacing w:lineRule="exact" w:line="600"/>
              <w:jc w:val="center"/>
            </w:pPr>
            <w:r/>
            <w:r>
              <w:rPr>
                <w:rFonts w:ascii="仿宋_GB2312" w:hAnsi="仿宋_GB2312" w:eastAsia="仿宋_GB2312"/>
                <w:b w:val="0"/>
                <w:color w:val="000000"/>
                <w:sz w:val="32"/>
              </w:rPr>
              <w:t>特色辅料</w:t>
            </w:r>
          </w:p>
        </w:tc>
        <w:tc>
          <w:tcPr>
            <w:tcW w:type="dxa" w:w="3685"/>
          </w:tcPr>
          <w:p>
            <w:pPr>
              <w:spacing w:lineRule="exact" w:line="600"/>
              <w:jc w:val="center"/>
            </w:pPr>
            <w:r/>
            <w:r>
              <w:rPr>
                <w:rFonts w:ascii="仿宋_GB2312" w:hAnsi="仿宋_GB2312" w:eastAsia="仿宋_GB2312"/>
                <w:b w:val="0"/>
                <w:color w:val="000000"/>
                <w:sz w:val="32"/>
              </w:rPr>
              <w:t>金城/千汇</w:t>
            </w:r>
          </w:p>
        </w:tc>
        <w:tc>
          <w:tcPr>
            <w:tcW w:type="dxa" w:w="3402"/>
          </w:tcPr>
          <w:p>
            <w:pPr>
              <w:spacing w:lineRule="exact" w:line="600"/>
              <w:jc w:val="center"/>
            </w:pPr>
            <w:r/>
            <w:r>
              <w:rPr>
                <w:rFonts w:ascii="仿宋_GB2312" w:hAnsi="仿宋_GB2312" w:eastAsia="仿宋_GB2312"/>
                <w:b w:val="0"/>
                <w:color w:val="000000"/>
                <w:sz w:val="32"/>
              </w:rPr>
              <w:t>完善链</w:t>
            </w:r>
          </w:p>
        </w:tc>
      </w:tr>
    </w:tbl>
    <w:p>
      <w:pPr>
        <w:spacing w:lineRule="exact" w:line="600" w:before="120" w:after="120"/>
        <w:ind w:firstLine="420"/>
        <w:jc w:val="left"/>
      </w:pPr>
      <w:r>
        <w:rPr>
          <w:rFonts w:ascii="楷体_GB2312" w:hAnsi="楷体_GB2312" w:eastAsia="楷体_GB2312"/>
          <w:b w:val="0"/>
          <w:color w:val="000000"/>
          <w:sz w:val="32"/>
        </w:rPr>
        <w:t>（二）创新与国际化的双轮</w:t>
      </w:r>
    </w:p>
    <w:p>
      <w:pPr>
        <w:spacing w:lineRule="exact" w:line="600" w:before="0" w:after="0"/>
        <w:ind w:firstLine="420"/>
        <w:jc w:val="both"/>
      </w:pPr>
      <w:r>
        <w:rPr>
          <w:rFonts w:ascii="仿宋_GB2312" w:hAnsi="仿宋_GB2312" w:eastAsia="仿宋_GB2312"/>
          <w:b w:val="0"/>
          <w:color w:val="000000"/>
          <w:sz w:val="32"/>
        </w:rPr>
        <w:t>路径一：加快OAB-14等创新药研发，近两年投放50余新产品（来源：新华制药年报）。路径二：深化制剂国际化，扩大欧美出口与OEM（百利高、默克、罗氏）（来源：淄博高新区）。路径三：建设医药国际合作中心，提升全球供应能力。</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指标</w:t>
            </w:r>
          </w:p>
        </w:tc>
      </w:tr>
      <w:tr>
        <w:tc>
          <w:tcPr>
            <w:tcW w:type="dxa" w:w="1701"/>
          </w:tcPr>
          <w:p>
            <w:pPr>
              <w:spacing w:lineRule="exact" w:line="600"/>
              <w:jc w:val="center"/>
            </w:pPr>
            <w:r/>
            <w:r>
              <w:rPr>
                <w:rFonts w:ascii="仿宋_GB2312" w:hAnsi="仿宋_GB2312" w:eastAsia="仿宋_GB2312"/>
                <w:b w:val="0"/>
                <w:color w:val="000000"/>
                <w:sz w:val="32"/>
              </w:rPr>
              <w:t>创新药</w:t>
            </w:r>
          </w:p>
        </w:tc>
        <w:tc>
          <w:tcPr>
            <w:tcW w:type="dxa" w:w="3685"/>
          </w:tcPr>
          <w:p>
            <w:pPr>
              <w:spacing w:lineRule="exact" w:line="600"/>
              <w:jc w:val="center"/>
            </w:pPr>
            <w:r/>
            <w:r>
              <w:rPr>
                <w:rFonts w:ascii="仿宋_GB2312" w:hAnsi="仿宋_GB2312" w:eastAsia="仿宋_GB2312"/>
                <w:b w:val="0"/>
                <w:color w:val="000000"/>
                <w:sz w:val="32"/>
              </w:rPr>
              <w:t>OAB-14等</w:t>
            </w:r>
          </w:p>
        </w:tc>
        <w:tc>
          <w:tcPr>
            <w:tcW w:type="dxa" w:w="3402"/>
          </w:tcPr>
          <w:p>
            <w:pPr>
              <w:spacing w:lineRule="exact" w:line="600"/>
              <w:jc w:val="center"/>
            </w:pPr>
            <w:r/>
            <w:r>
              <w:rPr>
                <w:rFonts w:ascii="仿宋_GB2312" w:hAnsi="仿宋_GB2312" w:eastAsia="仿宋_GB2312"/>
                <w:b w:val="0"/>
                <w:color w:val="000000"/>
                <w:sz w:val="32"/>
              </w:rPr>
              <w:t>50+新产品</w:t>
            </w:r>
          </w:p>
        </w:tc>
      </w:tr>
      <w:tr>
        <w:tc>
          <w:tcPr>
            <w:tcW w:type="dxa" w:w="1701"/>
          </w:tcPr>
          <w:p>
            <w:pPr>
              <w:spacing w:lineRule="exact" w:line="600"/>
              <w:jc w:val="center"/>
            </w:pPr>
            <w:r/>
            <w:r>
              <w:rPr>
                <w:rFonts w:ascii="仿宋_GB2312" w:hAnsi="仿宋_GB2312" w:eastAsia="仿宋_GB2312"/>
                <w:b w:val="0"/>
                <w:color w:val="000000"/>
                <w:sz w:val="32"/>
              </w:rPr>
              <w:t>国际化</w:t>
            </w:r>
          </w:p>
        </w:tc>
        <w:tc>
          <w:tcPr>
            <w:tcW w:type="dxa" w:w="3685"/>
          </w:tcPr>
          <w:p>
            <w:pPr>
              <w:spacing w:lineRule="exact" w:line="600"/>
              <w:jc w:val="center"/>
            </w:pPr>
            <w:r/>
            <w:r>
              <w:rPr>
                <w:rFonts w:ascii="仿宋_GB2312" w:hAnsi="仿宋_GB2312" w:eastAsia="仿宋_GB2312"/>
                <w:b w:val="0"/>
                <w:color w:val="000000"/>
                <w:sz w:val="32"/>
              </w:rPr>
              <w:t>欧美OEM</w:t>
            </w:r>
          </w:p>
        </w:tc>
        <w:tc>
          <w:tcPr>
            <w:tcW w:type="dxa" w:w="3402"/>
          </w:tcPr>
          <w:p>
            <w:pPr>
              <w:spacing w:lineRule="exact" w:line="600"/>
              <w:jc w:val="center"/>
            </w:pPr>
            <w:r/>
            <w:r>
              <w:rPr>
                <w:rFonts w:ascii="仿宋_GB2312" w:hAnsi="仿宋_GB2312" w:eastAsia="仿宋_GB2312"/>
                <w:b w:val="0"/>
                <w:color w:val="000000"/>
                <w:sz w:val="32"/>
              </w:rPr>
              <w:t>100亿片</w:t>
            </w:r>
          </w:p>
        </w:tc>
      </w:tr>
      <w:tr>
        <w:tc>
          <w:tcPr>
            <w:tcW w:type="dxa" w:w="1701"/>
          </w:tcPr>
          <w:p>
            <w:pPr>
              <w:spacing w:lineRule="exact" w:line="600"/>
              <w:jc w:val="center"/>
            </w:pPr>
            <w:r/>
            <w:r>
              <w:rPr>
                <w:rFonts w:ascii="仿宋_GB2312" w:hAnsi="仿宋_GB2312" w:eastAsia="仿宋_GB2312"/>
                <w:b w:val="0"/>
                <w:color w:val="000000"/>
                <w:sz w:val="32"/>
              </w:rPr>
              <w:t>合作中心</w:t>
            </w:r>
          </w:p>
        </w:tc>
        <w:tc>
          <w:tcPr>
            <w:tcW w:type="dxa" w:w="3685"/>
          </w:tcPr>
          <w:p>
            <w:pPr>
              <w:spacing w:lineRule="exact" w:line="600"/>
              <w:jc w:val="center"/>
            </w:pPr>
            <w:r/>
            <w:r>
              <w:rPr>
                <w:rFonts w:ascii="仿宋_GB2312" w:hAnsi="仿宋_GB2312" w:eastAsia="仿宋_GB2312"/>
                <w:b w:val="0"/>
                <w:color w:val="000000"/>
                <w:sz w:val="32"/>
              </w:rPr>
              <w:t>国际中心</w:t>
            </w:r>
          </w:p>
        </w:tc>
        <w:tc>
          <w:tcPr>
            <w:tcW w:type="dxa" w:w="3402"/>
          </w:tcPr>
          <w:p>
            <w:pPr>
              <w:spacing w:lineRule="exact" w:line="600"/>
              <w:jc w:val="center"/>
            </w:pPr>
            <w:r/>
            <w:r>
              <w:rPr>
                <w:rFonts w:ascii="仿宋_GB2312" w:hAnsi="仿宋_GB2312" w:eastAsia="仿宋_GB2312"/>
                <w:b w:val="0"/>
                <w:color w:val="000000"/>
                <w:sz w:val="32"/>
              </w:rPr>
              <w:t>全球供</w:t>
            </w:r>
          </w:p>
        </w:tc>
      </w:tr>
    </w:tbl>
    <w:p>
      <w:pPr>
        <w:spacing w:lineRule="exact" w:line="600" w:before="120" w:after="120"/>
        <w:ind w:firstLine="420"/>
        <w:jc w:val="left"/>
      </w:pPr>
      <w:r>
        <w:rPr>
          <w:rFonts w:ascii="楷体_GB2312" w:hAnsi="楷体_GB2312" w:eastAsia="楷体_GB2312"/>
          <w:b w:val="0"/>
          <w:color w:val="000000"/>
          <w:sz w:val="32"/>
        </w:rPr>
        <w:t>（三）绿色智能与集群生态</w:t>
      </w:r>
    </w:p>
    <w:p>
      <w:pPr>
        <w:spacing w:lineRule="exact" w:line="600" w:before="0" w:after="0"/>
        <w:ind w:firstLine="420"/>
        <w:jc w:val="both"/>
      </w:pPr>
      <w:r>
        <w:rPr>
          <w:rFonts w:ascii="仿宋_GB2312" w:hAnsi="仿宋_GB2312" w:eastAsia="仿宋_GB2312"/>
          <w:b w:val="0"/>
          <w:color w:val="000000"/>
          <w:sz w:val="32"/>
        </w:rPr>
        <w:t>路径一：推广山东省智能工厂（二分厂）与碳足迹管理，绿色制造降本合规（来源：新华制药年报）。路径二：依托高新区「企业技术中心+公共平台+孵化器+加速器+产业园」体系加速成果转化（来源：淄博高新区）。路径三：链主带动中小企业融通，建设国家创新型产业集群。</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效果</w:t>
            </w:r>
          </w:p>
        </w:tc>
      </w:tr>
      <w:tr>
        <w:tc>
          <w:tcPr>
            <w:tcW w:type="dxa" w:w="1701"/>
          </w:tcPr>
          <w:p>
            <w:pPr>
              <w:spacing w:lineRule="exact" w:line="600"/>
              <w:jc w:val="center"/>
            </w:pPr>
            <w:r/>
            <w:r>
              <w:rPr>
                <w:rFonts w:ascii="仿宋_GB2312" w:hAnsi="仿宋_GB2312" w:eastAsia="仿宋_GB2312"/>
                <w:b w:val="0"/>
                <w:color w:val="000000"/>
                <w:sz w:val="32"/>
              </w:rPr>
              <w:t>智能工厂</w:t>
            </w:r>
          </w:p>
        </w:tc>
        <w:tc>
          <w:tcPr>
            <w:tcW w:type="dxa" w:w="3685"/>
          </w:tcPr>
          <w:p>
            <w:pPr>
              <w:spacing w:lineRule="exact" w:line="600"/>
              <w:jc w:val="center"/>
            </w:pPr>
            <w:r/>
            <w:r>
              <w:rPr>
                <w:rFonts w:ascii="仿宋_GB2312" w:hAnsi="仿宋_GB2312" w:eastAsia="仿宋_GB2312"/>
                <w:b w:val="0"/>
                <w:color w:val="000000"/>
                <w:sz w:val="32"/>
              </w:rPr>
              <w:t>二分厂</w:t>
            </w:r>
          </w:p>
        </w:tc>
        <w:tc>
          <w:tcPr>
            <w:tcW w:type="dxa" w:w="3402"/>
          </w:tcPr>
          <w:p>
            <w:pPr>
              <w:spacing w:lineRule="exact" w:line="600"/>
              <w:jc w:val="center"/>
            </w:pPr>
            <w:r/>
            <w:r>
              <w:rPr>
                <w:rFonts w:ascii="仿宋_GB2312" w:hAnsi="仿宋_GB2312" w:eastAsia="仿宋_GB2312"/>
                <w:b w:val="0"/>
                <w:color w:val="000000"/>
                <w:sz w:val="32"/>
              </w:rPr>
              <w:t>绿色合规</w:t>
            </w:r>
          </w:p>
        </w:tc>
      </w:tr>
      <w:tr>
        <w:tc>
          <w:tcPr>
            <w:tcW w:type="dxa" w:w="1701"/>
          </w:tcPr>
          <w:p>
            <w:pPr>
              <w:spacing w:lineRule="exact" w:line="600"/>
              <w:jc w:val="center"/>
            </w:pPr>
            <w:r/>
            <w:r>
              <w:rPr>
                <w:rFonts w:ascii="仿宋_GB2312" w:hAnsi="仿宋_GB2312" w:eastAsia="仿宋_GB2312"/>
                <w:b w:val="0"/>
                <w:color w:val="000000"/>
                <w:sz w:val="32"/>
              </w:rPr>
              <w:t>创新体系</w:t>
            </w:r>
          </w:p>
        </w:tc>
        <w:tc>
          <w:tcPr>
            <w:tcW w:type="dxa" w:w="3685"/>
          </w:tcPr>
          <w:p>
            <w:pPr>
              <w:spacing w:lineRule="exact" w:line="600"/>
              <w:jc w:val="center"/>
            </w:pPr>
            <w:r/>
            <w:r>
              <w:rPr>
                <w:rFonts w:ascii="仿宋_GB2312" w:hAnsi="仿宋_GB2312" w:eastAsia="仿宋_GB2312"/>
                <w:b w:val="0"/>
                <w:color w:val="000000"/>
                <w:sz w:val="32"/>
              </w:rPr>
              <w:t>技术中心+平台</w:t>
            </w:r>
          </w:p>
        </w:tc>
        <w:tc>
          <w:tcPr>
            <w:tcW w:type="dxa" w:w="3402"/>
          </w:tcPr>
          <w:p>
            <w:pPr>
              <w:spacing w:lineRule="exact" w:line="600"/>
              <w:jc w:val="center"/>
            </w:pPr>
            <w:r/>
            <w:r>
              <w:rPr>
                <w:rFonts w:ascii="仿宋_GB2312" w:hAnsi="仿宋_GB2312" w:eastAsia="仿宋_GB2312"/>
                <w:b w:val="0"/>
                <w:color w:val="000000"/>
                <w:sz w:val="32"/>
              </w:rPr>
              <w:t>转化快</w:t>
            </w:r>
          </w:p>
        </w:tc>
      </w:tr>
      <w:tr>
        <w:tc>
          <w:tcPr>
            <w:tcW w:type="dxa" w:w="1701"/>
          </w:tcPr>
          <w:p>
            <w:pPr>
              <w:spacing w:lineRule="exact" w:line="600"/>
              <w:jc w:val="center"/>
            </w:pPr>
            <w:r/>
            <w:r>
              <w:rPr>
                <w:rFonts w:ascii="仿宋_GB2312" w:hAnsi="仿宋_GB2312" w:eastAsia="仿宋_GB2312"/>
                <w:b w:val="0"/>
                <w:color w:val="000000"/>
                <w:sz w:val="32"/>
              </w:rPr>
              <w:t>融通生态</w:t>
            </w:r>
          </w:p>
        </w:tc>
        <w:tc>
          <w:tcPr>
            <w:tcW w:type="dxa" w:w="3685"/>
          </w:tcPr>
          <w:p>
            <w:pPr>
              <w:spacing w:lineRule="exact" w:line="600"/>
              <w:jc w:val="center"/>
            </w:pPr>
            <w:r/>
            <w:r>
              <w:rPr>
                <w:rFonts w:ascii="仿宋_GB2312" w:hAnsi="仿宋_GB2312" w:eastAsia="仿宋_GB2312"/>
                <w:b w:val="0"/>
                <w:color w:val="000000"/>
                <w:sz w:val="32"/>
              </w:rPr>
              <w:t>链主带中小</w:t>
            </w:r>
          </w:p>
        </w:tc>
        <w:tc>
          <w:tcPr>
            <w:tcW w:type="dxa" w:w="3402"/>
          </w:tcPr>
          <w:p>
            <w:pPr>
              <w:spacing w:lineRule="exact" w:line="600"/>
              <w:jc w:val="center"/>
            </w:pPr>
            <w:r/>
            <w:r>
              <w:rPr>
                <w:rFonts w:ascii="仿宋_GB2312" w:hAnsi="仿宋_GB2312" w:eastAsia="仿宋_GB2312"/>
                <w:b w:val="0"/>
                <w:color w:val="000000"/>
                <w:sz w:val="32"/>
              </w:rPr>
              <w:t>集群强</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（一）产能与重点项目建设</w:t>
      </w:r>
    </w:p>
    <w:p>
      <w:pPr>
        <w:spacing w:lineRule="exact" w:line="600" w:before="0" w:after="0"/>
        <w:ind w:firstLine="420"/>
        <w:jc w:val="both"/>
      </w:pPr>
      <w:r>
        <w:rPr>
          <w:rFonts w:ascii="仿宋_GB2312" w:hAnsi="仿宋_GB2312" w:eastAsia="仿宋_GB2312"/>
          <w:b w:val="0"/>
          <w:color w:val="000000"/>
          <w:sz w:val="32"/>
        </w:rPr>
        <w:t>新华制药年度重点项目全部完成，医药中间体强链补链项目、现代医药物流项目、口服液生产线、默克项目（二期具备验证条件）、寿光特色原料药多功能中心等持续资本开支（来源：新华制药2024年报）。园区中国育奇谷25万㎡标准厂房、科学城建设亦需配套融资（来源：淄博市政府）。</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融资主体</w:t>
            </w:r>
          </w:p>
        </w:tc>
        <w:tc>
          <w:tcPr>
            <w:tcW w:type="dxa" w:w="3685"/>
          </w:tcPr>
          <w:p>
            <w:pPr>
              <w:spacing w:lineRule="exact" w:line="600"/>
              <w:jc w:val="center"/>
            </w:pPr>
            <w:r/>
            <w:r>
              <w:rPr>
                <w:rFonts w:ascii="黑体" w:hAnsi="黑体" w:eastAsia="黑体"/>
                <w:b/>
                <w:color w:val="000000"/>
                <w:sz w:val="32"/>
              </w:rPr>
              <w:t>项目</w:t>
            </w:r>
          </w:p>
        </w:tc>
        <w:tc>
          <w:tcPr>
            <w:tcW w:type="dxa" w:w="3402"/>
          </w:tcPr>
          <w:p>
            <w:pPr>
              <w:spacing w:lineRule="exact" w:line="600"/>
              <w:jc w:val="center"/>
            </w:pPr>
            <w:r/>
            <w:r>
              <w:rPr>
                <w:rFonts w:ascii="黑体" w:hAnsi="黑体" w:eastAsia="黑体"/>
                <w:b/>
                <w:color w:val="000000"/>
                <w:sz w:val="32"/>
              </w:rPr>
              <w:t>规模</w:t>
            </w:r>
          </w:p>
        </w:tc>
      </w:tr>
      <w:tr>
        <w:tc>
          <w:tcPr>
            <w:tcW w:type="dxa" w:w="1701"/>
          </w:tcPr>
          <w:p>
            <w:pPr>
              <w:spacing w:lineRule="exact" w:line="600"/>
              <w:jc w:val="center"/>
            </w:pPr>
            <w:r/>
            <w:r>
              <w:rPr>
                <w:rFonts w:ascii="仿宋_GB2312" w:hAnsi="仿宋_GB2312" w:eastAsia="仿宋_GB2312"/>
                <w:b w:val="0"/>
                <w:color w:val="000000"/>
                <w:sz w:val="32"/>
              </w:rPr>
              <w:t>新华制药</w:t>
            </w:r>
          </w:p>
        </w:tc>
        <w:tc>
          <w:tcPr>
            <w:tcW w:type="dxa" w:w="3685"/>
          </w:tcPr>
          <w:p>
            <w:pPr>
              <w:spacing w:lineRule="exact" w:line="600"/>
              <w:jc w:val="center"/>
            </w:pPr>
            <w:r/>
            <w:r>
              <w:rPr>
                <w:rFonts w:ascii="仿宋_GB2312" w:hAnsi="仿宋_GB2312" w:eastAsia="仿宋_GB2312"/>
                <w:b w:val="0"/>
                <w:color w:val="000000"/>
                <w:sz w:val="32"/>
              </w:rPr>
              <w:t>物流/口服液/默克二期</w:t>
            </w:r>
          </w:p>
        </w:tc>
        <w:tc>
          <w:tcPr>
            <w:tcW w:type="dxa" w:w="3402"/>
          </w:tcPr>
          <w:p>
            <w:pPr>
              <w:spacing w:lineRule="exact" w:line="600"/>
              <w:jc w:val="center"/>
            </w:pPr>
            <w:r/>
            <w:r>
              <w:rPr>
                <w:rFonts w:ascii="仿宋_GB2312" w:hAnsi="仿宋_GB2312" w:eastAsia="仿宋_GB2312"/>
                <w:b w:val="0"/>
                <w:color w:val="000000"/>
                <w:sz w:val="32"/>
              </w:rPr>
              <w:t>重点项目</w:t>
            </w:r>
          </w:p>
        </w:tc>
      </w:tr>
      <w:tr>
        <w:tc>
          <w:tcPr>
            <w:tcW w:type="dxa" w:w="1701"/>
          </w:tcPr>
          <w:p>
            <w:pPr>
              <w:spacing w:lineRule="exact" w:line="600"/>
              <w:jc w:val="center"/>
            </w:pPr>
            <w:r/>
            <w:r>
              <w:rPr>
                <w:rFonts w:ascii="仿宋_GB2312" w:hAnsi="仿宋_GB2312" w:eastAsia="仿宋_GB2312"/>
                <w:b w:val="0"/>
                <w:color w:val="000000"/>
                <w:sz w:val="32"/>
              </w:rPr>
              <w:t>寿光公司</w:t>
            </w:r>
          </w:p>
        </w:tc>
        <w:tc>
          <w:tcPr>
            <w:tcW w:type="dxa" w:w="3685"/>
          </w:tcPr>
          <w:p>
            <w:pPr>
              <w:spacing w:lineRule="exact" w:line="600"/>
              <w:jc w:val="center"/>
            </w:pPr>
            <w:r/>
            <w:r>
              <w:rPr>
                <w:rFonts w:ascii="仿宋_GB2312" w:hAnsi="仿宋_GB2312" w:eastAsia="仿宋_GB2312"/>
                <w:b w:val="0"/>
                <w:color w:val="000000"/>
                <w:sz w:val="32"/>
              </w:rPr>
              <w:t>特色原料药中心</w:t>
            </w:r>
          </w:p>
        </w:tc>
        <w:tc>
          <w:tcPr>
            <w:tcW w:type="dxa" w:w="3402"/>
          </w:tcPr>
          <w:p>
            <w:pPr>
              <w:spacing w:lineRule="exact" w:line="600"/>
              <w:jc w:val="center"/>
            </w:pPr>
            <w:r/>
            <w:r>
              <w:rPr>
                <w:rFonts w:ascii="仿宋_GB2312" w:hAnsi="仿宋_GB2312" w:eastAsia="仿宋_GB2312"/>
                <w:b w:val="0"/>
                <w:color w:val="000000"/>
                <w:sz w:val="32"/>
              </w:rPr>
              <w:t>试生产</w:t>
            </w:r>
          </w:p>
        </w:tc>
      </w:tr>
      <w:tr>
        <w:tc>
          <w:tcPr>
            <w:tcW w:type="dxa" w:w="1701"/>
          </w:tcPr>
          <w:p>
            <w:pPr>
              <w:spacing w:lineRule="exact" w:line="600"/>
              <w:jc w:val="center"/>
            </w:pPr>
            <w:r/>
            <w:r>
              <w:rPr>
                <w:rFonts w:ascii="仿宋_GB2312" w:hAnsi="仿宋_GB2312" w:eastAsia="仿宋_GB2312"/>
                <w:b w:val="0"/>
                <w:color w:val="000000"/>
                <w:sz w:val="32"/>
              </w:rPr>
              <w:t>育奇谷</w:t>
            </w:r>
          </w:p>
        </w:tc>
        <w:tc>
          <w:tcPr>
            <w:tcW w:type="dxa" w:w="3685"/>
          </w:tcPr>
          <w:p>
            <w:pPr>
              <w:spacing w:lineRule="exact" w:line="600"/>
              <w:jc w:val="center"/>
            </w:pPr>
            <w:r/>
            <w:r>
              <w:rPr>
                <w:rFonts w:ascii="仿宋_GB2312" w:hAnsi="仿宋_GB2312" w:eastAsia="仿宋_GB2312"/>
                <w:b w:val="0"/>
                <w:color w:val="000000"/>
                <w:sz w:val="32"/>
              </w:rPr>
              <w:t>25万㎡厂房</w:t>
            </w:r>
          </w:p>
        </w:tc>
        <w:tc>
          <w:tcPr>
            <w:tcW w:type="dxa" w:w="3402"/>
          </w:tcPr>
          <w:p>
            <w:pPr>
              <w:spacing w:lineRule="exact" w:line="600"/>
              <w:jc w:val="center"/>
            </w:pPr>
            <w:r/>
            <w:r>
              <w:rPr>
                <w:rFonts w:ascii="仿宋_GB2312" w:hAnsi="仿宋_GB2312" w:eastAsia="仿宋_GB2312"/>
                <w:b w:val="0"/>
                <w:color w:val="000000"/>
                <w:sz w:val="32"/>
              </w:rPr>
              <w:t>园区配套</w:t>
            </w:r>
          </w:p>
        </w:tc>
      </w:tr>
      <w:tr>
        <w:tc>
          <w:tcPr>
            <w:tcW w:type="dxa" w:w="1701"/>
          </w:tcPr>
          <w:p>
            <w:pPr>
              <w:spacing w:lineRule="exact" w:line="600"/>
              <w:jc w:val="center"/>
            </w:pPr>
            <w:r/>
            <w:r>
              <w:rPr>
                <w:rFonts w:ascii="仿宋_GB2312" w:hAnsi="仿宋_GB2312" w:eastAsia="仿宋_GB2312"/>
                <w:b w:val="0"/>
                <w:color w:val="000000"/>
                <w:sz w:val="32"/>
              </w:rPr>
              <w:t>科学城</w:t>
            </w:r>
          </w:p>
        </w:tc>
        <w:tc>
          <w:tcPr>
            <w:tcW w:type="dxa" w:w="3685"/>
          </w:tcPr>
          <w:p>
            <w:pPr>
              <w:spacing w:lineRule="exact" w:line="600"/>
              <w:jc w:val="center"/>
            </w:pPr>
            <w:r/>
            <w:r>
              <w:rPr>
                <w:rFonts w:ascii="仿宋_GB2312" w:hAnsi="仿宋_GB2312" w:eastAsia="仿宋_GB2312"/>
                <w:b w:val="0"/>
                <w:color w:val="000000"/>
                <w:sz w:val="32"/>
              </w:rPr>
              <w:t>科研载体</w:t>
            </w:r>
          </w:p>
        </w:tc>
        <w:tc>
          <w:tcPr>
            <w:tcW w:type="dxa" w:w="3402"/>
          </w:tcPr>
          <w:p>
            <w:pPr>
              <w:spacing w:lineRule="exact" w:line="600"/>
              <w:jc w:val="center"/>
            </w:pPr>
            <w:r/>
            <w:r>
              <w:rPr>
                <w:rFonts w:ascii="仿宋_GB2312" w:hAnsi="仿宋_GB2312" w:eastAsia="仿宋_GB2312"/>
                <w:b w:val="0"/>
                <w:color w:val="000000"/>
                <w:sz w:val="32"/>
              </w:rPr>
              <w:t>基建</w:t>
            </w:r>
          </w:p>
        </w:tc>
      </w:tr>
    </w:tbl>
    <w:p>
      <w:pPr>
        <w:spacing w:lineRule="exact" w:line="600" w:before="120" w:after="120"/>
        <w:ind w:firstLine="420"/>
        <w:jc w:val="left"/>
      </w:pPr>
      <w:r>
        <w:rPr>
          <w:rFonts w:ascii="楷体_GB2312" w:hAnsi="楷体_GB2312" w:eastAsia="楷体_GB2312"/>
          <w:b w:val="0"/>
          <w:color w:val="000000"/>
          <w:sz w:val="32"/>
        </w:rPr>
        <w:t>（二）研发与国际化</w:t>
      </w:r>
    </w:p>
    <w:p>
      <w:pPr>
        <w:spacing w:lineRule="exact" w:line="600" w:before="0" w:after="0"/>
        <w:ind w:firstLine="420"/>
        <w:jc w:val="both"/>
      </w:pPr>
      <w:r>
        <w:rPr>
          <w:rFonts w:ascii="仿宋_GB2312" w:hAnsi="仿宋_GB2312" w:eastAsia="仿宋_GB2312"/>
          <w:b w:val="0"/>
          <w:color w:val="000000"/>
          <w:sz w:val="32"/>
        </w:rPr>
        <w:t>面向OAB-14创新药、一致性评价、国际注册（2024年20个文号）的研发需持续投入，研发投入3.97亿元（来源：新华制药年报）。政策鼓励链主牵头创新联合体、中试平台（参照青岛等地区奖补经验），高新区对医药攻关有配套支持（来源：淄博高新区）。科创贷、并购贷款可满足需求。</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投入</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创新药</w:t>
            </w:r>
          </w:p>
        </w:tc>
        <w:tc>
          <w:tcPr>
            <w:tcW w:type="dxa" w:w="3118"/>
          </w:tcPr>
          <w:p>
            <w:pPr>
              <w:spacing w:lineRule="exact" w:line="600"/>
              <w:jc w:val="center"/>
            </w:pPr>
            <w:r/>
            <w:r>
              <w:rPr>
                <w:rFonts w:ascii="仿宋_GB2312" w:hAnsi="仿宋_GB2312" w:eastAsia="仿宋_GB2312"/>
                <w:b w:val="0"/>
                <w:color w:val="000000"/>
                <w:sz w:val="32"/>
              </w:rPr>
              <w:t>OAB-14等</w:t>
            </w:r>
          </w:p>
        </w:tc>
        <w:tc>
          <w:tcPr>
            <w:tcW w:type="dxa" w:w="3402"/>
          </w:tcPr>
          <w:p>
            <w:pPr>
              <w:spacing w:lineRule="exact" w:line="600"/>
              <w:jc w:val="center"/>
            </w:pPr>
            <w:r/>
            <w:r>
              <w:rPr>
                <w:rFonts w:ascii="仿宋_GB2312" w:hAnsi="仿宋_GB2312" w:eastAsia="仿宋_GB2312"/>
                <w:b w:val="0"/>
                <w:color w:val="000000"/>
                <w:sz w:val="32"/>
              </w:rPr>
              <w:t>科创贷</w:t>
            </w:r>
          </w:p>
        </w:tc>
      </w:tr>
      <w:tr>
        <w:tc>
          <w:tcPr>
            <w:tcW w:type="dxa" w:w="1984"/>
          </w:tcPr>
          <w:p>
            <w:pPr>
              <w:spacing w:lineRule="exact" w:line="600"/>
              <w:jc w:val="center"/>
            </w:pPr>
            <w:r/>
            <w:r>
              <w:rPr>
                <w:rFonts w:ascii="仿宋_GB2312" w:hAnsi="仿宋_GB2312" w:eastAsia="仿宋_GB2312"/>
                <w:b w:val="0"/>
                <w:color w:val="000000"/>
                <w:sz w:val="32"/>
              </w:rPr>
              <w:t>国际注册</w:t>
            </w:r>
          </w:p>
        </w:tc>
        <w:tc>
          <w:tcPr>
            <w:tcW w:type="dxa" w:w="3118"/>
          </w:tcPr>
          <w:p>
            <w:pPr>
              <w:spacing w:lineRule="exact" w:line="600"/>
              <w:jc w:val="center"/>
            </w:pPr>
            <w:r/>
            <w:r>
              <w:rPr>
                <w:rFonts w:ascii="仿宋_GB2312" w:hAnsi="仿宋_GB2312" w:eastAsia="仿宋_GB2312"/>
                <w:b w:val="0"/>
                <w:color w:val="000000"/>
                <w:sz w:val="32"/>
              </w:rPr>
              <w:t>20文号</w:t>
            </w:r>
          </w:p>
        </w:tc>
        <w:tc>
          <w:tcPr>
            <w:tcW w:type="dxa" w:w="3402"/>
          </w:tcPr>
          <w:p>
            <w:pPr>
              <w:spacing w:lineRule="exact" w:line="600"/>
              <w:jc w:val="center"/>
            </w:pPr>
            <w:r/>
            <w:r>
              <w:rPr>
                <w:rFonts w:ascii="仿宋_GB2312" w:hAnsi="仿宋_GB2312" w:eastAsia="仿宋_GB2312"/>
                <w:b w:val="0"/>
                <w:color w:val="000000"/>
                <w:sz w:val="32"/>
              </w:rPr>
              <w:t>研发贷</w:t>
            </w:r>
          </w:p>
        </w:tc>
      </w:tr>
      <w:tr>
        <w:tc>
          <w:tcPr>
            <w:tcW w:type="dxa" w:w="1984"/>
          </w:tcPr>
          <w:p>
            <w:pPr>
              <w:spacing w:lineRule="exact" w:line="600"/>
              <w:jc w:val="center"/>
            </w:pPr>
            <w:r/>
            <w:r>
              <w:rPr>
                <w:rFonts w:ascii="仿宋_GB2312" w:hAnsi="仿宋_GB2312" w:eastAsia="仿宋_GB2312"/>
                <w:b w:val="0"/>
                <w:color w:val="000000"/>
                <w:sz w:val="32"/>
              </w:rPr>
              <w:t>中试平台</w:t>
            </w:r>
          </w:p>
        </w:tc>
        <w:tc>
          <w:tcPr>
            <w:tcW w:type="dxa" w:w="3118"/>
          </w:tcPr>
          <w:p>
            <w:pPr>
              <w:spacing w:lineRule="exact" w:line="600"/>
              <w:jc w:val="center"/>
            </w:pPr>
            <w:r/>
            <w:r>
              <w:rPr>
                <w:rFonts w:ascii="仿宋_GB2312" w:hAnsi="仿宋_GB2312" w:eastAsia="仿宋_GB2312"/>
                <w:b w:val="0"/>
                <w:color w:val="000000"/>
                <w:sz w:val="32"/>
              </w:rPr>
              <w:t>政策奖补</w:t>
            </w:r>
          </w:p>
        </w:tc>
        <w:tc>
          <w:tcPr>
            <w:tcW w:type="dxa" w:w="3402"/>
          </w:tcPr>
          <w:p>
            <w:pPr>
              <w:spacing w:lineRule="exact" w:line="600"/>
              <w:jc w:val="center"/>
            </w:pPr>
            <w:r/>
            <w:r>
              <w:rPr>
                <w:rFonts w:ascii="仿宋_GB2312" w:hAnsi="仿宋_GB2312" w:eastAsia="仿宋_GB2312"/>
                <w:b w:val="0"/>
                <w:color w:val="000000"/>
                <w:sz w:val="32"/>
              </w:rPr>
              <w:t>专项</w:t>
            </w:r>
          </w:p>
        </w:tc>
      </w:tr>
      <w:tr>
        <w:tc>
          <w:tcPr>
            <w:tcW w:type="dxa" w:w="1984"/>
          </w:tcPr>
          <w:p>
            <w:pPr>
              <w:spacing w:lineRule="exact" w:line="600"/>
              <w:jc w:val="center"/>
            </w:pPr>
            <w:r/>
            <w:r>
              <w:rPr>
                <w:rFonts w:ascii="仿宋_GB2312" w:hAnsi="仿宋_GB2312" w:eastAsia="仿宋_GB2312"/>
                <w:b w:val="0"/>
                <w:color w:val="000000"/>
                <w:sz w:val="32"/>
              </w:rPr>
              <w:t>并购</w:t>
            </w:r>
          </w:p>
        </w:tc>
        <w:tc>
          <w:tcPr>
            <w:tcW w:type="dxa" w:w="3118"/>
          </w:tcPr>
          <w:p>
            <w:pPr>
              <w:spacing w:lineRule="exact" w:line="600"/>
              <w:jc w:val="center"/>
            </w:pPr>
            <w:r/>
            <w:r>
              <w:rPr>
                <w:rFonts w:ascii="仿宋_GB2312" w:hAnsi="仿宋_GB2312" w:eastAsia="仿宋_GB2312"/>
                <w:b w:val="0"/>
                <w:color w:val="000000"/>
                <w:sz w:val="32"/>
              </w:rPr>
              <w:t>国际标的</w:t>
            </w:r>
          </w:p>
        </w:tc>
        <w:tc>
          <w:tcPr>
            <w:tcW w:type="dxa" w:w="3402"/>
          </w:tcPr>
          <w:p>
            <w:pPr>
              <w:spacing w:lineRule="exact" w:line="600"/>
              <w:jc w:val="center"/>
            </w:pPr>
            <w:r/>
            <w:r>
              <w:rPr>
                <w:rFonts w:ascii="仿宋_GB2312" w:hAnsi="仿宋_GB2312" w:eastAsia="仿宋_GB2312"/>
                <w:b w:val="0"/>
                <w:color w:val="000000"/>
                <w:sz w:val="32"/>
              </w:rPr>
              <w:t>并购贷</w:t>
            </w:r>
          </w:p>
        </w:tc>
      </w:tr>
    </w:tbl>
    <w:p>
      <w:pPr>
        <w:spacing w:lineRule="exact" w:line="600" w:before="120" w:after="120"/>
        <w:ind w:firstLine="420"/>
        <w:jc w:val="left"/>
      </w:pPr>
      <w:r>
        <w:rPr>
          <w:rFonts w:ascii="楷体_GB2312" w:hAnsi="楷体_GB2312" w:eastAsia="楷体_GB2312"/>
          <w:b w:val="0"/>
          <w:color w:val="000000"/>
          <w:sz w:val="32"/>
        </w:rPr>
        <w:t>（三）绿色改造与流通升级</w:t>
      </w:r>
    </w:p>
    <w:p>
      <w:pPr>
        <w:spacing w:lineRule="exact" w:line="600" w:before="0" w:after="0"/>
        <w:ind w:firstLine="420"/>
        <w:jc w:val="both"/>
      </w:pPr>
      <w:r>
        <w:rPr>
          <w:rFonts w:ascii="仿宋_GB2312" w:hAnsi="仿宋_GB2312" w:eastAsia="仿宋_GB2312"/>
          <w:b w:val="0"/>
          <w:color w:val="000000"/>
          <w:sz w:val="32"/>
        </w:rPr>
        <w:t>原料药企业绿色化改造（碳核查、碳足迹、节能）与医药物流自动化产生融资需求，可适用绿色金融与专项债。现代医药物流项目、医药包材（山东药玻）扩产亦需流动资金与项目贷。</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方向</w:t>
            </w:r>
          </w:p>
        </w:tc>
        <w:tc>
          <w:tcPr>
            <w:tcW w:type="dxa" w:w="3118"/>
          </w:tcPr>
          <w:p>
            <w:pPr>
              <w:spacing w:lineRule="exact" w:line="600"/>
              <w:jc w:val="center"/>
            </w:pPr>
            <w:r/>
            <w:r>
              <w:rPr>
                <w:rFonts w:ascii="黑体" w:hAnsi="黑体" w:eastAsia="黑体"/>
                <w:b/>
                <w:color w:val="000000"/>
                <w:sz w:val="32"/>
              </w:rPr>
              <w:t>内容</w:t>
            </w:r>
          </w:p>
        </w:tc>
        <w:tc>
          <w:tcPr>
            <w:tcW w:type="dxa" w:w="3402"/>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绿色改造</w:t>
            </w:r>
          </w:p>
        </w:tc>
        <w:tc>
          <w:tcPr>
            <w:tcW w:type="dxa" w:w="3118"/>
          </w:tcPr>
          <w:p>
            <w:pPr>
              <w:spacing w:lineRule="exact" w:line="600"/>
              <w:jc w:val="center"/>
            </w:pPr>
            <w:r/>
            <w:r>
              <w:rPr>
                <w:rFonts w:ascii="仿宋_GB2312" w:hAnsi="仿宋_GB2312" w:eastAsia="仿宋_GB2312"/>
                <w:b w:val="0"/>
                <w:color w:val="000000"/>
                <w:sz w:val="32"/>
              </w:rPr>
              <w:t>碳足迹/节能</w:t>
            </w:r>
          </w:p>
        </w:tc>
        <w:tc>
          <w:tcPr>
            <w:tcW w:type="dxa" w:w="3402"/>
          </w:tcPr>
          <w:p>
            <w:pPr>
              <w:spacing w:lineRule="exact" w:line="600"/>
              <w:jc w:val="center"/>
            </w:pPr>
            <w:r/>
            <w:r>
              <w:rPr>
                <w:rFonts w:ascii="仿宋_GB2312" w:hAnsi="仿宋_GB2312" w:eastAsia="仿宋_GB2312"/>
                <w:b w:val="0"/>
                <w:color w:val="000000"/>
                <w:sz w:val="32"/>
              </w:rPr>
              <w:t>绿色金融</w:t>
            </w:r>
          </w:p>
        </w:tc>
      </w:tr>
      <w:tr>
        <w:tc>
          <w:tcPr>
            <w:tcW w:type="dxa" w:w="1984"/>
          </w:tcPr>
          <w:p>
            <w:pPr>
              <w:spacing w:lineRule="exact" w:line="600"/>
              <w:jc w:val="center"/>
            </w:pPr>
            <w:r/>
            <w:r>
              <w:rPr>
                <w:rFonts w:ascii="仿宋_GB2312" w:hAnsi="仿宋_GB2312" w:eastAsia="仿宋_GB2312"/>
                <w:b w:val="0"/>
                <w:color w:val="000000"/>
                <w:sz w:val="32"/>
              </w:rPr>
              <w:t>医药物流</w:t>
            </w:r>
          </w:p>
        </w:tc>
        <w:tc>
          <w:tcPr>
            <w:tcW w:type="dxa" w:w="3118"/>
          </w:tcPr>
          <w:p>
            <w:pPr>
              <w:spacing w:lineRule="exact" w:line="600"/>
              <w:jc w:val="center"/>
            </w:pPr>
            <w:r/>
            <w:r>
              <w:rPr>
                <w:rFonts w:ascii="仿宋_GB2312" w:hAnsi="仿宋_GB2312" w:eastAsia="仿宋_GB2312"/>
                <w:b w:val="0"/>
                <w:color w:val="000000"/>
                <w:sz w:val="32"/>
              </w:rPr>
              <w:t>自动化仓</w:t>
            </w:r>
          </w:p>
        </w:tc>
        <w:tc>
          <w:tcPr>
            <w:tcW w:type="dxa" w:w="3402"/>
          </w:tcPr>
          <w:p>
            <w:pPr>
              <w:spacing w:lineRule="exact" w:line="600"/>
              <w:jc w:val="center"/>
            </w:pPr>
            <w:r/>
            <w:r>
              <w:rPr>
                <w:rFonts w:ascii="仿宋_GB2312" w:hAnsi="仿宋_GB2312" w:eastAsia="仿宋_GB2312"/>
                <w:b w:val="0"/>
                <w:color w:val="000000"/>
                <w:sz w:val="32"/>
              </w:rPr>
              <w:t>项目贷</w:t>
            </w:r>
          </w:p>
        </w:tc>
      </w:tr>
      <w:tr>
        <w:tc>
          <w:tcPr>
            <w:tcW w:type="dxa" w:w="1984"/>
          </w:tcPr>
          <w:p>
            <w:pPr>
              <w:spacing w:lineRule="exact" w:line="600"/>
              <w:jc w:val="center"/>
            </w:pPr>
            <w:r/>
            <w:r>
              <w:rPr>
                <w:rFonts w:ascii="仿宋_GB2312" w:hAnsi="仿宋_GB2312" w:eastAsia="仿宋_GB2312"/>
                <w:b w:val="0"/>
                <w:color w:val="000000"/>
                <w:sz w:val="32"/>
              </w:rPr>
              <w:t>包材扩产</w:t>
            </w:r>
          </w:p>
        </w:tc>
        <w:tc>
          <w:tcPr>
            <w:tcW w:type="dxa" w:w="3118"/>
          </w:tcPr>
          <w:p>
            <w:pPr>
              <w:spacing w:lineRule="exact" w:line="600"/>
              <w:jc w:val="center"/>
            </w:pPr>
            <w:r/>
            <w:r>
              <w:rPr>
                <w:rFonts w:ascii="仿宋_GB2312" w:hAnsi="仿宋_GB2312" w:eastAsia="仿宋_GB2312"/>
                <w:b w:val="0"/>
                <w:color w:val="000000"/>
                <w:sz w:val="32"/>
              </w:rPr>
              <w:t>药玻</w:t>
            </w:r>
          </w:p>
        </w:tc>
        <w:tc>
          <w:tcPr>
            <w:tcW w:type="dxa" w:w="3402"/>
          </w:tcPr>
          <w:p>
            <w:pPr>
              <w:spacing w:lineRule="exact" w:line="600"/>
              <w:jc w:val="center"/>
            </w:pPr>
            <w:r/>
            <w:r>
              <w:rPr>
                <w:rFonts w:ascii="仿宋_GB2312" w:hAnsi="仿宋_GB2312" w:eastAsia="仿宋_GB2312"/>
                <w:b w:val="0"/>
                <w:color w:val="000000"/>
                <w:sz w:val="32"/>
              </w:rPr>
              <w:t>流贷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新华制药股份有限公司（000756/00719.HK）：新中国第一家化学合成制药企业，全球重要解热镇痛药生产出口基地、亚洲最大解热镇痛类药物生产出口基地，阿司匹林与布洛芬生产能力全球第一；2024年营收84.66亿元（+4.51%）、归母净利润4.70亿元（-5.33%）；化学原料药年产能5万吨、固体制剂320亿片、注射剂15亿支；26个品种市占率第一或独家，年出口近4亿美元，与罗氏、拜耳、默克、百利高等200多家跨国企业合作；布洛芬原料药为第八批国家制造业单项冠军，入选国资委「双百企业」。来源：新华制药2023/2024年报、淄博高新区官网。</w:t>
      </w:r>
    </w:p>
    <w:p>
      <w:pPr>
        <w:spacing w:lineRule="exact" w:line="600" w:before="0" w:after="0"/>
        <w:ind w:firstLine="420"/>
        <w:jc w:val="both"/>
      </w:pPr>
      <w:r>
        <w:rPr>
          <w:rFonts w:ascii="仿宋_GB2312" w:hAnsi="仿宋_GB2312" w:eastAsia="仿宋_GB2312"/>
          <w:b w:val="0"/>
          <w:color w:val="000000"/>
          <w:sz w:val="32"/>
        </w:rPr>
        <w:t>荣昌制药（淄博）：淄博高新区三大链主之一，自主研发小儿定喘口服液填补国内空白，为中药/制剂骨干企业。来源：淄博高新区官网，2026。</w:t>
      </w:r>
    </w:p>
    <w:p>
      <w:pPr>
        <w:spacing w:lineRule="exact" w:line="600" w:before="0" w:after="0"/>
        <w:ind w:firstLine="420"/>
        <w:jc w:val="both"/>
      </w:pPr>
      <w:r>
        <w:rPr>
          <w:rFonts w:ascii="仿宋_GB2312" w:hAnsi="仿宋_GB2312" w:eastAsia="仿宋_GB2312"/>
          <w:b w:val="0"/>
          <w:color w:val="000000"/>
          <w:sz w:val="32"/>
        </w:rPr>
        <w:t>金城医药/千汇生物（配套）：金城医药头孢克肟侧链酸活性酯全球市占率95%；千汇生物环糊精系列产品市占率全球第三、全国第一，构成特色辅料梯队。来源：淄博高新区官网，2026。</w:t>
      </w:r>
    </w:p>
    <w:p>
      <w:pPr>
        <w:spacing w:lineRule="exact" w:line="600" w:before="0" w:after="0"/>
        <w:jc w:val="left"/>
      </w:pPr>
      <w:r>
        <w:rPr>
          <w:rFonts w:ascii="仿宋_GB2312" w:hAnsi="仿宋_GB2312" w:eastAsia="仿宋_GB2312"/>
          <w:b w:val="0"/>
          <w:color w:val="000000"/>
          <w:sz w:val="28"/>
        </w:rPr>
        <w:t>主要数据来源：淄博高新区官网（china-zibo.gov.cn）：《高新区新医药产业「链」出发展新动能》《「链」就新集群》等，2024—2026；淄博市人民政府：《投资区域 淄博高新技术产业开发区》，2026年2月；中国高新网/搜狐：《淄博高新区打造具有国际竞争力的大健康产业集群》《创新实施三大工程》，2024；山东新华制药股份有限公司2024年年度报告（深交所000756）；经济参考报：《部分主导产品价格下降 新华制药2024年增收不增利》，2025年4月；山东省「十强产业」生物医药相关政策文件；国家药监局仿制药一致性评价、集采公开信息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