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山东淄博高新区(药品及医疗器械)特色产业集群</w:t>
      </w:r>
    </w:p>
    <w:p>
      <w:pPr>
        <w:spacing w:lineRule="exact" w:line="600" w:before="240" w:after="240"/>
        <w:ind w:firstLine="0"/>
        <w:jc w:val="center"/>
      </w:pPr>
      <w:r>
        <w:rPr>
          <w:rFonts w:ascii="方正小标宋简体" w:hAnsi="方正小标宋简体" w:eastAsia="方正小标宋简体"/>
          <w:b w:val="0"/>
          <w:color w:val="000000"/>
          <w:sz w:val="44"/>
        </w:rPr>
        <w:t>医药流通与服务行业深度分析报告</w:t>
      </w:r>
    </w:p>
    <w:p>
      <w:pPr>
        <w:spacing w:lineRule="exact" w:line="600" w:before="0" w:after="0"/>
        <w:jc w:val="left"/>
      </w:pPr>
      <w:r>
        <w:rPr>
          <w:rFonts w:ascii="仿宋_GB2312" w:hAnsi="仿宋_GB2312" w:eastAsia="仿宋_GB2312"/>
          <w:b w:val="0"/>
          <w:color w:val="000000"/>
          <w:sz w:val="28"/>
        </w:rPr>
        <w:t>本报告聚焦医药包装材料（药用玻璃）与医药流通服务体系。数据来源于淄博高新区官网、山东药玻2024年报、新华制药/新华医疗年报及权威媒体。数据截至2024年，部分细分领域公开统计有限，已标注。</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医药流通与服务环节涵盖医药包装材料（药用玻璃）、医药物流与商贸服务。山东药玻（600529）为医药包装（药用玻璃）龙头，2024年营收51.25亿元（+2.87%）、归母净利润9.43亿元（+21.55%），模制瓶系列收入23.53亿元（占45.9%）、棕色瓶11.57亿元（占22.58%）、丁基胶塞2.86亿元；模制瓶销售37.5万吨、棕色瓶28.6万吨、丁基胶塞62.2亿支，中硼硅模制瓶随一致性评价与集采持续增长。新华制药现代医药物流项目、新华医疗医疗商贸（31.25亿元）构成流通服务支柱。高新区大健康产业2024年营收186亿元，医药包装与流通是产业链关键配套与终端。挑战为原料与能源价格波动、中硼硅渗透率仍偏低及流通环节集采压价。</w:t>
      </w:r>
    </w:p>
    <w:p>
      <w:pPr>
        <w:spacing w:lineRule="exact" w:line="600" w:before="120" w:after="120"/>
        <w:ind w:firstLine="420"/>
        <w:jc w:val="left"/>
      </w:pPr>
      <w:r>
        <w:rPr>
          <w:rFonts w:ascii="楷体_GB2312" w:hAnsi="楷体_GB2312" w:eastAsia="楷体_GB2312"/>
          <w:b w:val="0"/>
          <w:color w:val="000000"/>
          <w:sz w:val="32"/>
        </w:rPr>
        <w:t>（行业主要指标）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指标</w:t>
            </w:r>
          </w:p>
        </w:tc>
        <w:tc>
          <w:tcPr>
            <w:tcW w:type="dxa" w:w="2835"/>
          </w:tcPr>
          <w:p>
            <w:pPr>
              <w:spacing w:lineRule="exact" w:line="600"/>
              <w:jc w:val="center"/>
            </w:pPr>
            <w:r/>
            <w:r>
              <w:rPr>
                <w:rFonts w:ascii="仿宋_GB2312" w:hAnsi="仿宋_GB2312" w:eastAsia="仿宋_GB2312"/>
                <w:b w:val="0"/>
                <w:color w:val="000000"/>
                <w:sz w:val="32"/>
              </w:rPr>
              <w:t>数值</w:t>
            </w:r>
          </w:p>
        </w:tc>
        <w:tc>
          <w:tcPr>
            <w:tcW w:type="dxa" w:w="3118"/>
          </w:tcPr>
          <w:p>
            <w:pPr>
              <w:spacing w:lineRule="exact" w:line="600"/>
              <w:jc w:val="center"/>
            </w:pPr>
            <w:r/>
            <w:r>
              <w:rPr>
                <w:rFonts w:ascii="仿宋_GB2312" w:hAnsi="仿宋_GB2312" w:eastAsia="仿宋_GB2312"/>
                <w:b w:val="0"/>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山东药玻营收</w:t>
            </w:r>
          </w:p>
        </w:tc>
        <w:tc>
          <w:tcPr>
            <w:tcW w:type="dxa" w:w="2835"/>
          </w:tcPr>
          <w:p>
            <w:pPr>
              <w:spacing w:lineRule="exact" w:line="600"/>
              <w:jc w:val="center"/>
            </w:pPr>
            <w:r/>
            <w:r>
              <w:rPr>
                <w:rFonts w:ascii="仿宋_GB2312" w:hAnsi="仿宋_GB2312" w:eastAsia="仿宋_GB2312"/>
                <w:b w:val="0"/>
                <w:color w:val="000000"/>
                <w:sz w:val="32"/>
              </w:rPr>
              <w:t>51.25亿元(+2.87%)</w:t>
            </w:r>
          </w:p>
        </w:tc>
        <w:tc>
          <w:tcPr>
            <w:tcW w:type="dxa" w:w="3118"/>
          </w:tcPr>
          <w:p>
            <w:pPr>
              <w:spacing w:lineRule="exact" w:line="600"/>
              <w:jc w:val="center"/>
            </w:pPr>
            <w:r/>
            <w:r>
              <w:rPr>
                <w:rFonts w:ascii="仿宋_GB2312" w:hAnsi="仿宋_GB2312" w:eastAsia="仿宋_GB2312"/>
                <w:b w:val="0"/>
                <w:color w:val="000000"/>
                <w:sz w:val="32"/>
              </w:rPr>
              <w:t>山东药玻年报，2024</w:t>
            </w:r>
          </w:p>
        </w:tc>
      </w:tr>
      <w:tr>
        <w:tc>
          <w:tcPr>
            <w:tcW w:type="dxa" w:w="2835"/>
          </w:tcPr>
          <w:p>
            <w:pPr>
              <w:spacing w:lineRule="exact" w:line="600"/>
              <w:jc w:val="center"/>
            </w:pPr>
            <w:r/>
            <w:r>
              <w:rPr>
                <w:rFonts w:ascii="仿宋_GB2312" w:hAnsi="仿宋_GB2312" w:eastAsia="仿宋_GB2312"/>
                <w:b w:val="0"/>
                <w:color w:val="000000"/>
                <w:sz w:val="32"/>
              </w:rPr>
              <w:t>山东药玻净利</w:t>
            </w:r>
          </w:p>
        </w:tc>
        <w:tc>
          <w:tcPr>
            <w:tcW w:type="dxa" w:w="2835"/>
          </w:tcPr>
          <w:p>
            <w:pPr>
              <w:spacing w:lineRule="exact" w:line="600"/>
              <w:jc w:val="center"/>
            </w:pPr>
            <w:r/>
            <w:r>
              <w:rPr>
                <w:rFonts w:ascii="仿宋_GB2312" w:hAnsi="仿宋_GB2312" w:eastAsia="仿宋_GB2312"/>
                <w:b w:val="0"/>
                <w:color w:val="000000"/>
                <w:sz w:val="32"/>
              </w:rPr>
              <w:t>9.43亿元(+21.55%)</w:t>
            </w:r>
          </w:p>
        </w:tc>
        <w:tc>
          <w:tcPr>
            <w:tcW w:type="dxa" w:w="3118"/>
          </w:tcPr>
          <w:p>
            <w:pPr>
              <w:spacing w:lineRule="exact" w:line="600"/>
              <w:jc w:val="center"/>
            </w:pPr>
            <w:r/>
            <w:r>
              <w:rPr>
                <w:rFonts w:ascii="仿宋_GB2312" w:hAnsi="仿宋_GB2312" w:eastAsia="仿宋_GB2312"/>
                <w:b w:val="0"/>
                <w:color w:val="000000"/>
                <w:sz w:val="32"/>
              </w:rPr>
              <w:t>山东药玻年报，2024</w:t>
            </w:r>
          </w:p>
        </w:tc>
      </w:tr>
      <w:tr>
        <w:tc>
          <w:tcPr>
            <w:tcW w:type="dxa" w:w="2835"/>
          </w:tcPr>
          <w:p>
            <w:pPr>
              <w:spacing w:lineRule="exact" w:line="600"/>
              <w:jc w:val="center"/>
            </w:pPr>
            <w:r/>
            <w:r>
              <w:rPr>
                <w:rFonts w:ascii="仿宋_GB2312" w:hAnsi="仿宋_GB2312" w:eastAsia="仿宋_GB2312"/>
                <w:b w:val="0"/>
                <w:color w:val="000000"/>
                <w:sz w:val="32"/>
              </w:rPr>
              <w:t>模制瓶收入</w:t>
            </w:r>
          </w:p>
        </w:tc>
        <w:tc>
          <w:tcPr>
            <w:tcW w:type="dxa" w:w="2835"/>
          </w:tcPr>
          <w:p>
            <w:pPr>
              <w:spacing w:lineRule="exact" w:line="600"/>
              <w:jc w:val="center"/>
            </w:pPr>
            <w:r/>
            <w:r>
              <w:rPr>
                <w:rFonts w:ascii="仿宋_GB2312" w:hAnsi="仿宋_GB2312" w:eastAsia="仿宋_GB2312"/>
                <w:b w:val="0"/>
                <w:color w:val="000000"/>
                <w:sz w:val="32"/>
              </w:rPr>
              <w:t>23.53亿元(45.9%)</w:t>
            </w:r>
          </w:p>
        </w:tc>
        <w:tc>
          <w:tcPr>
            <w:tcW w:type="dxa" w:w="3118"/>
          </w:tcPr>
          <w:p>
            <w:pPr>
              <w:spacing w:lineRule="exact" w:line="600"/>
              <w:jc w:val="center"/>
            </w:pPr>
            <w:r/>
            <w:r>
              <w:rPr>
                <w:rFonts w:ascii="仿宋_GB2312" w:hAnsi="仿宋_GB2312" w:eastAsia="仿宋_GB2312"/>
                <w:b w:val="0"/>
                <w:color w:val="000000"/>
                <w:sz w:val="32"/>
              </w:rPr>
              <w:t>山东药玻年报，2024</w:t>
            </w:r>
          </w:p>
        </w:tc>
      </w:tr>
      <w:tr>
        <w:tc>
          <w:tcPr>
            <w:tcW w:type="dxa" w:w="2835"/>
          </w:tcPr>
          <w:p>
            <w:pPr>
              <w:spacing w:lineRule="exact" w:line="600"/>
              <w:jc w:val="center"/>
            </w:pPr>
            <w:r/>
            <w:r>
              <w:rPr>
                <w:rFonts w:ascii="仿宋_GB2312" w:hAnsi="仿宋_GB2312" w:eastAsia="仿宋_GB2312"/>
                <w:b w:val="0"/>
                <w:color w:val="000000"/>
                <w:sz w:val="32"/>
              </w:rPr>
              <w:t>棕色瓶收入</w:t>
            </w:r>
          </w:p>
        </w:tc>
        <w:tc>
          <w:tcPr>
            <w:tcW w:type="dxa" w:w="2835"/>
          </w:tcPr>
          <w:p>
            <w:pPr>
              <w:spacing w:lineRule="exact" w:line="600"/>
              <w:jc w:val="center"/>
            </w:pPr>
            <w:r/>
            <w:r>
              <w:rPr>
                <w:rFonts w:ascii="仿宋_GB2312" w:hAnsi="仿宋_GB2312" w:eastAsia="仿宋_GB2312"/>
                <w:b w:val="0"/>
                <w:color w:val="000000"/>
                <w:sz w:val="32"/>
              </w:rPr>
              <w:t>11.57亿元(22.58%)</w:t>
            </w:r>
          </w:p>
        </w:tc>
        <w:tc>
          <w:tcPr>
            <w:tcW w:type="dxa" w:w="3118"/>
          </w:tcPr>
          <w:p>
            <w:pPr>
              <w:spacing w:lineRule="exact" w:line="600"/>
              <w:jc w:val="center"/>
            </w:pPr>
            <w:r/>
            <w:r>
              <w:rPr>
                <w:rFonts w:ascii="仿宋_GB2312" w:hAnsi="仿宋_GB2312" w:eastAsia="仿宋_GB2312"/>
                <w:b w:val="0"/>
                <w:color w:val="000000"/>
                <w:sz w:val="32"/>
              </w:rPr>
              <w:t>山东药玻年报，2024</w:t>
            </w:r>
          </w:p>
        </w:tc>
      </w:tr>
      <w:tr>
        <w:tc>
          <w:tcPr>
            <w:tcW w:type="dxa" w:w="2835"/>
          </w:tcPr>
          <w:p>
            <w:pPr>
              <w:spacing w:lineRule="exact" w:line="600"/>
              <w:jc w:val="center"/>
            </w:pPr>
            <w:r/>
            <w:r>
              <w:rPr>
                <w:rFonts w:ascii="仿宋_GB2312" w:hAnsi="仿宋_GB2312" w:eastAsia="仿宋_GB2312"/>
                <w:b w:val="0"/>
                <w:color w:val="000000"/>
                <w:sz w:val="32"/>
              </w:rPr>
              <w:t>模制瓶销量</w:t>
            </w:r>
          </w:p>
        </w:tc>
        <w:tc>
          <w:tcPr>
            <w:tcW w:type="dxa" w:w="2835"/>
          </w:tcPr>
          <w:p>
            <w:pPr>
              <w:spacing w:lineRule="exact" w:line="600"/>
              <w:jc w:val="center"/>
            </w:pPr>
            <w:r/>
            <w:r>
              <w:rPr>
                <w:rFonts w:ascii="仿宋_GB2312" w:hAnsi="仿宋_GB2312" w:eastAsia="仿宋_GB2312"/>
                <w:b w:val="0"/>
                <w:color w:val="000000"/>
                <w:sz w:val="32"/>
              </w:rPr>
              <w:t>37.5万吨</w:t>
            </w:r>
          </w:p>
        </w:tc>
        <w:tc>
          <w:tcPr>
            <w:tcW w:type="dxa" w:w="3118"/>
          </w:tcPr>
          <w:p>
            <w:pPr>
              <w:spacing w:lineRule="exact" w:line="600"/>
              <w:jc w:val="center"/>
            </w:pPr>
            <w:r/>
            <w:r>
              <w:rPr>
                <w:rFonts w:ascii="仿宋_GB2312" w:hAnsi="仿宋_GB2312" w:eastAsia="仿宋_GB2312"/>
                <w:b w:val="0"/>
                <w:color w:val="000000"/>
                <w:sz w:val="32"/>
              </w:rPr>
              <w:t>申万研报，2024</w:t>
            </w:r>
          </w:p>
        </w:tc>
      </w:tr>
      <w:tr>
        <w:tc>
          <w:tcPr>
            <w:tcW w:type="dxa" w:w="2835"/>
          </w:tcPr>
          <w:p>
            <w:pPr>
              <w:spacing w:lineRule="exact" w:line="600"/>
              <w:jc w:val="center"/>
            </w:pPr>
            <w:r/>
            <w:r>
              <w:rPr>
                <w:rFonts w:ascii="仿宋_GB2312" w:hAnsi="仿宋_GB2312" w:eastAsia="仿宋_GB2312"/>
                <w:b w:val="0"/>
                <w:color w:val="000000"/>
                <w:sz w:val="32"/>
              </w:rPr>
              <w:t>棕色瓶销量</w:t>
            </w:r>
          </w:p>
        </w:tc>
        <w:tc>
          <w:tcPr>
            <w:tcW w:type="dxa" w:w="2835"/>
          </w:tcPr>
          <w:p>
            <w:pPr>
              <w:spacing w:lineRule="exact" w:line="600"/>
              <w:jc w:val="center"/>
            </w:pPr>
            <w:r/>
            <w:r>
              <w:rPr>
                <w:rFonts w:ascii="仿宋_GB2312" w:hAnsi="仿宋_GB2312" w:eastAsia="仿宋_GB2312"/>
                <w:b w:val="0"/>
                <w:color w:val="000000"/>
                <w:sz w:val="32"/>
              </w:rPr>
              <w:t>28.6万吨(+4.8%)</w:t>
            </w:r>
          </w:p>
        </w:tc>
        <w:tc>
          <w:tcPr>
            <w:tcW w:type="dxa" w:w="3118"/>
          </w:tcPr>
          <w:p>
            <w:pPr>
              <w:spacing w:lineRule="exact" w:line="600"/>
              <w:jc w:val="center"/>
            </w:pPr>
            <w:r/>
            <w:r>
              <w:rPr>
                <w:rFonts w:ascii="仿宋_GB2312" w:hAnsi="仿宋_GB2312" w:eastAsia="仿宋_GB2312"/>
                <w:b w:val="0"/>
                <w:color w:val="000000"/>
                <w:sz w:val="32"/>
              </w:rPr>
              <w:t>申万研报，2024</w:t>
            </w:r>
          </w:p>
        </w:tc>
      </w:tr>
      <w:tr>
        <w:tc>
          <w:tcPr>
            <w:tcW w:type="dxa" w:w="2835"/>
          </w:tcPr>
          <w:p>
            <w:pPr>
              <w:spacing w:lineRule="exact" w:line="600"/>
              <w:jc w:val="center"/>
            </w:pPr>
            <w:r/>
            <w:r>
              <w:rPr>
                <w:rFonts w:ascii="仿宋_GB2312" w:hAnsi="仿宋_GB2312" w:eastAsia="仿宋_GB2312"/>
                <w:b w:val="0"/>
                <w:color w:val="000000"/>
                <w:sz w:val="32"/>
              </w:rPr>
              <w:t>丁基胶塞销量</w:t>
            </w:r>
          </w:p>
        </w:tc>
        <w:tc>
          <w:tcPr>
            <w:tcW w:type="dxa" w:w="2835"/>
          </w:tcPr>
          <w:p>
            <w:pPr>
              <w:spacing w:lineRule="exact" w:line="600"/>
              <w:jc w:val="center"/>
            </w:pPr>
            <w:r/>
            <w:r>
              <w:rPr>
                <w:rFonts w:ascii="仿宋_GB2312" w:hAnsi="仿宋_GB2312" w:eastAsia="仿宋_GB2312"/>
                <w:b w:val="0"/>
                <w:color w:val="000000"/>
                <w:sz w:val="32"/>
              </w:rPr>
              <w:t>62.2亿支(+15.4%)</w:t>
            </w:r>
          </w:p>
        </w:tc>
        <w:tc>
          <w:tcPr>
            <w:tcW w:type="dxa" w:w="3118"/>
          </w:tcPr>
          <w:p>
            <w:pPr>
              <w:spacing w:lineRule="exact" w:line="600"/>
              <w:jc w:val="center"/>
            </w:pPr>
            <w:r/>
            <w:r>
              <w:rPr>
                <w:rFonts w:ascii="仿宋_GB2312" w:hAnsi="仿宋_GB2312" w:eastAsia="仿宋_GB2312"/>
                <w:b w:val="0"/>
                <w:color w:val="000000"/>
                <w:sz w:val="32"/>
              </w:rPr>
              <w:t>申万研报，2024</w:t>
            </w:r>
          </w:p>
        </w:tc>
      </w:tr>
      <w:tr>
        <w:tc>
          <w:tcPr>
            <w:tcW w:type="dxa" w:w="2835"/>
          </w:tcPr>
          <w:p>
            <w:pPr>
              <w:spacing w:lineRule="exact" w:line="600"/>
              <w:jc w:val="center"/>
            </w:pPr>
            <w:r/>
            <w:r>
              <w:rPr>
                <w:rFonts w:ascii="仿宋_GB2312" w:hAnsi="仿宋_GB2312" w:eastAsia="仿宋_GB2312"/>
                <w:b w:val="0"/>
                <w:color w:val="000000"/>
                <w:sz w:val="32"/>
              </w:rPr>
              <w:t>新华医疗商贸</w:t>
            </w:r>
          </w:p>
        </w:tc>
        <w:tc>
          <w:tcPr>
            <w:tcW w:type="dxa" w:w="2835"/>
          </w:tcPr>
          <w:p>
            <w:pPr>
              <w:spacing w:lineRule="exact" w:line="600"/>
              <w:jc w:val="center"/>
            </w:pPr>
            <w:r/>
            <w:r>
              <w:rPr>
                <w:rFonts w:ascii="仿宋_GB2312" w:hAnsi="仿宋_GB2312" w:eastAsia="仿宋_GB2312"/>
                <w:b w:val="0"/>
                <w:color w:val="000000"/>
                <w:sz w:val="32"/>
              </w:rPr>
              <w:t>31.25亿元</w:t>
            </w:r>
          </w:p>
        </w:tc>
        <w:tc>
          <w:tcPr>
            <w:tcW w:type="dxa" w:w="3118"/>
          </w:tcPr>
          <w:p>
            <w:pPr>
              <w:spacing w:lineRule="exact" w:line="600"/>
              <w:jc w:val="center"/>
            </w:pPr>
            <w:r/>
            <w:r>
              <w:rPr>
                <w:rFonts w:ascii="仿宋_GB2312" w:hAnsi="仿宋_GB2312" w:eastAsia="仿宋_GB2312"/>
                <w:b w:val="0"/>
                <w:color w:val="000000"/>
                <w:sz w:val="32"/>
              </w:rPr>
              <w:t>新华医疗年报，2024</w:t>
            </w:r>
          </w:p>
        </w:tc>
      </w:tr>
    </w:tbl>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120" w:after="120"/>
        <w:ind w:firstLine="420"/>
        <w:jc w:val="left"/>
      </w:pPr>
      <w:r>
        <w:rPr>
          <w:rFonts w:ascii="楷体_GB2312" w:hAnsi="楷体_GB2312" w:eastAsia="楷体_GB2312"/>
          <w:b w:val="0"/>
          <w:color w:val="000000"/>
          <w:sz w:val="32"/>
        </w:rPr>
        <w:t>（一）国家战略与政策导向</w:t>
      </w:r>
    </w:p>
    <w:p>
      <w:pPr>
        <w:spacing w:lineRule="exact" w:line="600" w:before="0" w:after="0"/>
        <w:ind w:firstLine="420"/>
        <w:jc w:val="both"/>
      </w:pPr>
      <w:r>
        <w:rPr>
          <w:rFonts w:ascii="仿宋_GB2312" w:hAnsi="仿宋_GB2312" w:eastAsia="仿宋_GB2312"/>
          <w:b w:val="0"/>
          <w:color w:val="000000"/>
          <w:sz w:val="32"/>
        </w:rPr>
        <w:t>国家仿制药一致性评价与集采常态化推动中硼硅药用玻璃等高端包材渗透；药品管理法与GMP规范提升药包材质量标准。山东省「十强产业」将生物医药（含药包材与流通）列为重点（来源：山东药玻年报、淄博高新区）。国家推动医药物流标准化与冷链建设，利好现代医药物流（来源：新华制药年报）。政策端「提质增效」导向明确。</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政策</w:t>
            </w:r>
          </w:p>
        </w:tc>
        <w:tc>
          <w:tcPr>
            <w:tcW w:type="dxa" w:w="3118"/>
          </w:tcPr>
          <w:p>
            <w:pPr>
              <w:spacing w:lineRule="exact" w:line="600"/>
              <w:jc w:val="center"/>
            </w:pPr>
            <w:r/>
            <w:r>
              <w:rPr>
                <w:rFonts w:ascii="黑体" w:hAnsi="黑体" w:eastAsia="黑体"/>
                <w:b/>
                <w:color w:val="000000"/>
                <w:sz w:val="32"/>
              </w:rPr>
              <w:t>内容</w:t>
            </w:r>
          </w:p>
        </w:tc>
        <w:tc>
          <w:tcPr>
            <w:tcW w:type="dxa" w:w="3685"/>
          </w:tcPr>
          <w:p>
            <w:pPr>
              <w:spacing w:lineRule="exact" w:line="600"/>
              <w:jc w:val="center"/>
            </w:pPr>
            <w:r/>
            <w:r>
              <w:rPr>
                <w:rFonts w:ascii="黑体" w:hAnsi="黑体" w:eastAsia="黑体"/>
                <w:b/>
                <w:color w:val="000000"/>
                <w:sz w:val="32"/>
              </w:rPr>
              <w:t>影响</w:t>
            </w:r>
          </w:p>
        </w:tc>
      </w:tr>
      <w:tr>
        <w:tc>
          <w:tcPr>
            <w:tcW w:type="dxa" w:w="1984"/>
          </w:tcPr>
          <w:p>
            <w:pPr>
              <w:spacing w:lineRule="exact" w:line="600"/>
              <w:jc w:val="center"/>
            </w:pPr>
            <w:r/>
            <w:r>
              <w:rPr>
                <w:rFonts w:ascii="仿宋_GB2312" w:hAnsi="仿宋_GB2312" w:eastAsia="仿宋_GB2312"/>
                <w:b w:val="0"/>
                <w:color w:val="000000"/>
                <w:sz w:val="32"/>
              </w:rPr>
              <w:t>一致性评价</w:t>
            </w:r>
          </w:p>
        </w:tc>
        <w:tc>
          <w:tcPr>
            <w:tcW w:type="dxa" w:w="3118"/>
          </w:tcPr>
          <w:p>
            <w:pPr>
              <w:spacing w:lineRule="exact" w:line="600"/>
              <w:jc w:val="center"/>
            </w:pPr>
            <w:r/>
            <w:r>
              <w:rPr>
                <w:rFonts w:ascii="仿宋_GB2312" w:hAnsi="仿宋_GB2312" w:eastAsia="仿宋_GB2312"/>
                <w:b w:val="0"/>
                <w:color w:val="000000"/>
                <w:sz w:val="32"/>
              </w:rPr>
              <w:t>高端包材</w:t>
            </w:r>
          </w:p>
        </w:tc>
        <w:tc>
          <w:tcPr>
            <w:tcW w:type="dxa" w:w="3685"/>
          </w:tcPr>
          <w:p>
            <w:pPr>
              <w:spacing w:lineRule="exact" w:line="600"/>
              <w:jc w:val="center"/>
            </w:pPr>
            <w:r/>
            <w:r>
              <w:rPr>
                <w:rFonts w:ascii="仿宋_GB2312" w:hAnsi="仿宋_GB2312" w:eastAsia="仿宋_GB2312"/>
                <w:b w:val="0"/>
                <w:color w:val="000000"/>
                <w:sz w:val="32"/>
              </w:rPr>
              <w:t>中硼硅渗透</w:t>
            </w:r>
          </w:p>
        </w:tc>
      </w:tr>
      <w:tr>
        <w:tc>
          <w:tcPr>
            <w:tcW w:type="dxa" w:w="1984"/>
          </w:tcPr>
          <w:p>
            <w:pPr>
              <w:spacing w:lineRule="exact" w:line="600"/>
              <w:jc w:val="center"/>
            </w:pPr>
            <w:r/>
            <w:r>
              <w:rPr>
                <w:rFonts w:ascii="仿宋_GB2312" w:hAnsi="仿宋_GB2312" w:eastAsia="仿宋_GB2312"/>
                <w:b w:val="0"/>
                <w:color w:val="000000"/>
                <w:sz w:val="32"/>
              </w:rPr>
              <w:t>集采常态化</w:t>
            </w:r>
          </w:p>
        </w:tc>
        <w:tc>
          <w:tcPr>
            <w:tcW w:type="dxa" w:w="3118"/>
          </w:tcPr>
          <w:p>
            <w:pPr>
              <w:spacing w:lineRule="exact" w:line="600"/>
              <w:jc w:val="center"/>
            </w:pPr>
            <w:r/>
            <w:r>
              <w:rPr>
                <w:rFonts w:ascii="仿宋_GB2312" w:hAnsi="仿宋_GB2312" w:eastAsia="仿宋_GB2312"/>
                <w:b w:val="0"/>
                <w:color w:val="000000"/>
                <w:sz w:val="32"/>
              </w:rPr>
              <w:t>包材配套</w:t>
            </w:r>
          </w:p>
        </w:tc>
        <w:tc>
          <w:tcPr>
            <w:tcW w:type="dxa" w:w="3685"/>
          </w:tcPr>
          <w:p>
            <w:pPr>
              <w:spacing w:lineRule="exact" w:line="600"/>
              <w:jc w:val="center"/>
            </w:pPr>
            <w:r/>
            <w:r>
              <w:rPr>
                <w:rFonts w:ascii="仿宋_GB2312" w:hAnsi="仿宋_GB2312" w:eastAsia="仿宋_GB2312"/>
                <w:b w:val="0"/>
                <w:color w:val="000000"/>
                <w:sz w:val="32"/>
              </w:rPr>
              <w:t>需求稳</w:t>
            </w:r>
          </w:p>
        </w:tc>
      </w:tr>
      <w:tr>
        <w:tc>
          <w:tcPr>
            <w:tcW w:type="dxa" w:w="1984"/>
          </w:tcPr>
          <w:p>
            <w:pPr>
              <w:spacing w:lineRule="exact" w:line="600"/>
              <w:jc w:val="center"/>
            </w:pPr>
            <w:r/>
            <w:r>
              <w:rPr>
                <w:rFonts w:ascii="仿宋_GB2312" w:hAnsi="仿宋_GB2312" w:eastAsia="仿宋_GB2312"/>
                <w:b w:val="0"/>
                <w:color w:val="000000"/>
                <w:sz w:val="32"/>
              </w:rPr>
              <w:t>GMP规范</w:t>
            </w:r>
          </w:p>
        </w:tc>
        <w:tc>
          <w:tcPr>
            <w:tcW w:type="dxa" w:w="3118"/>
          </w:tcPr>
          <w:p>
            <w:pPr>
              <w:spacing w:lineRule="exact" w:line="600"/>
              <w:jc w:val="center"/>
            </w:pPr>
            <w:r/>
            <w:r>
              <w:rPr>
                <w:rFonts w:ascii="仿宋_GB2312" w:hAnsi="仿宋_GB2312" w:eastAsia="仿宋_GB2312"/>
                <w:b w:val="0"/>
                <w:color w:val="000000"/>
                <w:sz w:val="32"/>
              </w:rPr>
              <w:t>药包材质量</w:t>
            </w:r>
          </w:p>
        </w:tc>
        <w:tc>
          <w:tcPr>
            <w:tcW w:type="dxa" w:w="3685"/>
          </w:tcPr>
          <w:p>
            <w:pPr>
              <w:spacing w:lineRule="exact" w:line="600"/>
              <w:jc w:val="center"/>
            </w:pPr>
            <w:r/>
            <w:r>
              <w:rPr>
                <w:rFonts w:ascii="仿宋_GB2312" w:hAnsi="仿宋_GB2312" w:eastAsia="仿宋_GB2312"/>
                <w:b w:val="0"/>
                <w:color w:val="000000"/>
                <w:sz w:val="32"/>
              </w:rPr>
              <w:t>提质</w:t>
            </w:r>
          </w:p>
        </w:tc>
      </w:tr>
      <w:tr>
        <w:tc>
          <w:tcPr>
            <w:tcW w:type="dxa" w:w="1984"/>
          </w:tcPr>
          <w:p>
            <w:pPr>
              <w:spacing w:lineRule="exact" w:line="600"/>
              <w:jc w:val="center"/>
            </w:pPr>
            <w:r/>
            <w:r>
              <w:rPr>
                <w:rFonts w:ascii="仿宋_GB2312" w:hAnsi="仿宋_GB2312" w:eastAsia="仿宋_GB2312"/>
                <w:b w:val="0"/>
                <w:color w:val="000000"/>
                <w:sz w:val="32"/>
              </w:rPr>
              <w:t>医药物流</w:t>
            </w:r>
          </w:p>
        </w:tc>
        <w:tc>
          <w:tcPr>
            <w:tcW w:type="dxa" w:w="3118"/>
          </w:tcPr>
          <w:p>
            <w:pPr>
              <w:spacing w:lineRule="exact" w:line="600"/>
              <w:jc w:val="center"/>
            </w:pPr>
            <w:r/>
            <w:r>
              <w:rPr>
                <w:rFonts w:ascii="仿宋_GB2312" w:hAnsi="仿宋_GB2312" w:eastAsia="仿宋_GB2312"/>
                <w:b w:val="0"/>
                <w:color w:val="000000"/>
                <w:sz w:val="32"/>
              </w:rPr>
              <w:t>标准化冷链</w:t>
            </w:r>
          </w:p>
        </w:tc>
        <w:tc>
          <w:tcPr>
            <w:tcW w:type="dxa" w:w="3685"/>
          </w:tcPr>
          <w:p>
            <w:pPr>
              <w:spacing w:lineRule="exact" w:line="600"/>
              <w:jc w:val="center"/>
            </w:pPr>
            <w:r/>
            <w:r>
              <w:rPr>
                <w:rFonts w:ascii="仿宋_GB2312" w:hAnsi="仿宋_GB2312" w:eastAsia="仿宋_GB2312"/>
                <w:b w:val="0"/>
                <w:color w:val="000000"/>
                <w:sz w:val="32"/>
              </w:rPr>
              <w:t>流通升级</w:t>
            </w:r>
          </w:p>
        </w:tc>
      </w:tr>
    </w:tbl>
    <w:p>
      <w:pPr>
        <w:spacing w:lineRule="exact" w:line="600" w:before="120" w:after="120"/>
        <w:ind w:firstLine="420"/>
        <w:jc w:val="left"/>
      </w:pPr>
      <w:r>
        <w:rPr>
          <w:rFonts w:ascii="楷体_GB2312" w:hAnsi="楷体_GB2312" w:eastAsia="楷体_GB2312"/>
          <w:b w:val="0"/>
          <w:color w:val="000000"/>
          <w:sz w:val="32"/>
        </w:rPr>
        <w:t>（二）区域产业定位</w:t>
      </w:r>
    </w:p>
    <w:p>
      <w:pPr>
        <w:spacing w:lineRule="exact" w:line="600" w:before="0" w:after="0"/>
        <w:ind w:firstLine="420"/>
        <w:jc w:val="both"/>
      </w:pPr>
      <w:r>
        <w:rPr>
          <w:rFonts w:ascii="仿宋_GB2312" w:hAnsi="仿宋_GB2312" w:eastAsia="仿宋_GB2312"/>
          <w:b w:val="0"/>
          <w:color w:val="000000"/>
          <w:sz w:val="32"/>
        </w:rPr>
        <w:t>淄博高新区将药用材料及辅料、医药包材与CRO服务列为大健康产业体系重要组成，形成「医药制药—医疗装备—医药包材—CRO」完善体系（来源：淄博高新区官网）。山东药玻虽注册在沂源县，但作为淄博市医药包装链主企业，与高新区药企协同（来源：山东药玻年报）。高新区大健康2024年营收186亿元、全国竞争力第27位（来源：淄博市政府）。</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定位</w:t>
            </w:r>
          </w:p>
        </w:tc>
        <w:tc>
          <w:tcPr>
            <w:tcW w:type="dxa" w:w="3402"/>
          </w:tcPr>
          <w:p>
            <w:pPr>
              <w:spacing w:lineRule="exact" w:line="600"/>
              <w:jc w:val="center"/>
            </w:pPr>
            <w:r/>
            <w:r>
              <w:rPr>
                <w:rFonts w:ascii="黑体" w:hAnsi="黑体" w:eastAsia="黑体"/>
                <w:b/>
                <w:color w:val="000000"/>
                <w:sz w:val="32"/>
              </w:rPr>
              <w:t>内容</w:t>
            </w:r>
          </w:p>
        </w:tc>
        <w:tc>
          <w:tcPr>
            <w:tcW w:type="dxa" w:w="3685"/>
          </w:tcPr>
          <w:p>
            <w:pPr>
              <w:spacing w:lineRule="exact" w:line="600"/>
              <w:jc w:val="center"/>
            </w:pPr>
            <w:r/>
            <w:r>
              <w:rPr>
                <w:rFonts w:ascii="黑体" w:hAnsi="黑体" w:eastAsia="黑体"/>
                <w:b/>
                <w:color w:val="000000"/>
                <w:sz w:val="32"/>
              </w:rPr>
              <w:t>层级</w:t>
            </w:r>
          </w:p>
        </w:tc>
      </w:tr>
      <w:tr>
        <w:tc>
          <w:tcPr>
            <w:tcW w:type="dxa" w:w="1984"/>
          </w:tcPr>
          <w:p>
            <w:pPr>
              <w:spacing w:lineRule="exact" w:line="600"/>
              <w:jc w:val="center"/>
            </w:pPr>
            <w:r/>
            <w:r>
              <w:rPr>
                <w:rFonts w:ascii="仿宋_GB2312" w:hAnsi="仿宋_GB2312" w:eastAsia="仿宋_GB2312"/>
                <w:b w:val="0"/>
                <w:color w:val="000000"/>
                <w:sz w:val="32"/>
              </w:rPr>
              <w:t>药包材环节</w:t>
            </w:r>
          </w:p>
        </w:tc>
        <w:tc>
          <w:tcPr>
            <w:tcW w:type="dxa" w:w="3402"/>
          </w:tcPr>
          <w:p>
            <w:pPr>
              <w:spacing w:lineRule="exact" w:line="600"/>
              <w:jc w:val="center"/>
            </w:pPr>
            <w:r/>
            <w:r>
              <w:rPr>
                <w:rFonts w:ascii="仿宋_GB2312" w:hAnsi="仿宋_GB2312" w:eastAsia="仿宋_GB2312"/>
                <w:b w:val="0"/>
                <w:color w:val="000000"/>
                <w:sz w:val="32"/>
              </w:rPr>
              <w:t>药用玻璃/辅料</w:t>
            </w:r>
          </w:p>
        </w:tc>
        <w:tc>
          <w:tcPr>
            <w:tcW w:type="dxa" w:w="3685"/>
          </w:tcPr>
          <w:p>
            <w:pPr>
              <w:spacing w:lineRule="exact" w:line="600"/>
              <w:jc w:val="center"/>
            </w:pPr>
            <w:r/>
            <w:r>
              <w:rPr>
                <w:rFonts w:ascii="仿宋_GB2312" w:hAnsi="仿宋_GB2312" w:eastAsia="仿宋_GB2312"/>
                <w:b w:val="0"/>
                <w:color w:val="000000"/>
                <w:sz w:val="32"/>
              </w:rPr>
              <w:t>体系组成</w:t>
            </w:r>
          </w:p>
        </w:tc>
      </w:tr>
      <w:tr>
        <w:tc>
          <w:tcPr>
            <w:tcW w:type="dxa" w:w="1984"/>
          </w:tcPr>
          <w:p>
            <w:pPr>
              <w:spacing w:lineRule="exact" w:line="600"/>
              <w:jc w:val="center"/>
            </w:pPr>
            <w:r/>
            <w:r>
              <w:rPr>
                <w:rFonts w:ascii="仿宋_GB2312" w:hAnsi="仿宋_GB2312" w:eastAsia="仿宋_GB2312"/>
                <w:b w:val="0"/>
                <w:color w:val="000000"/>
                <w:sz w:val="32"/>
              </w:rPr>
              <w:t>链主协同</w:t>
            </w:r>
          </w:p>
        </w:tc>
        <w:tc>
          <w:tcPr>
            <w:tcW w:type="dxa" w:w="3402"/>
          </w:tcPr>
          <w:p>
            <w:pPr>
              <w:spacing w:lineRule="exact" w:line="600"/>
              <w:jc w:val="center"/>
            </w:pPr>
            <w:r/>
            <w:r>
              <w:rPr>
                <w:rFonts w:ascii="仿宋_GB2312" w:hAnsi="仿宋_GB2312" w:eastAsia="仿宋_GB2312"/>
                <w:b w:val="0"/>
                <w:color w:val="000000"/>
                <w:sz w:val="32"/>
              </w:rPr>
              <w:t>药玻+高新区药企</w:t>
            </w:r>
          </w:p>
        </w:tc>
        <w:tc>
          <w:tcPr>
            <w:tcW w:type="dxa" w:w="3685"/>
          </w:tcPr>
          <w:p>
            <w:pPr>
              <w:spacing w:lineRule="exact" w:line="600"/>
              <w:jc w:val="center"/>
            </w:pPr>
            <w:r/>
            <w:r>
              <w:rPr>
                <w:rFonts w:ascii="仿宋_GB2312" w:hAnsi="仿宋_GB2312" w:eastAsia="仿宋_GB2312"/>
                <w:b w:val="0"/>
                <w:color w:val="000000"/>
                <w:sz w:val="32"/>
              </w:rPr>
              <w:t>配套</w:t>
            </w:r>
          </w:p>
        </w:tc>
      </w:tr>
      <w:tr>
        <w:tc>
          <w:tcPr>
            <w:tcW w:type="dxa" w:w="1984"/>
          </w:tcPr>
          <w:p>
            <w:pPr>
              <w:spacing w:lineRule="exact" w:line="600"/>
              <w:jc w:val="center"/>
            </w:pPr>
            <w:r/>
            <w:r>
              <w:rPr>
                <w:rFonts w:ascii="仿宋_GB2312" w:hAnsi="仿宋_GB2312" w:eastAsia="仿宋_GB2312"/>
                <w:b w:val="0"/>
                <w:color w:val="000000"/>
                <w:sz w:val="32"/>
              </w:rPr>
              <w:t>大健康营收</w:t>
            </w:r>
          </w:p>
        </w:tc>
        <w:tc>
          <w:tcPr>
            <w:tcW w:type="dxa" w:w="3402"/>
          </w:tcPr>
          <w:p>
            <w:pPr>
              <w:spacing w:lineRule="exact" w:line="600"/>
              <w:jc w:val="center"/>
            </w:pPr>
            <w:r/>
            <w:r>
              <w:rPr>
                <w:rFonts w:ascii="仿宋_GB2312" w:hAnsi="仿宋_GB2312" w:eastAsia="仿宋_GB2312"/>
                <w:b w:val="0"/>
                <w:color w:val="000000"/>
                <w:sz w:val="32"/>
              </w:rPr>
              <w:t>186亿元(2024)</w:t>
            </w:r>
          </w:p>
        </w:tc>
        <w:tc>
          <w:tcPr>
            <w:tcW w:type="dxa" w:w="3685"/>
          </w:tcPr>
          <w:p>
            <w:pPr>
              <w:spacing w:lineRule="exact" w:line="600"/>
              <w:jc w:val="center"/>
            </w:pPr>
            <w:r/>
            <w:r>
              <w:rPr>
                <w:rFonts w:ascii="仿宋_GB2312" w:hAnsi="仿宋_GB2312" w:eastAsia="仿宋_GB2312"/>
                <w:b w:val="0"/>
                <w:color w:val="000000"/>
                <w:sz w:val="32"/>
              </w:rPr>
              <w:t>山东省第二</w:t>
            </w:r>
          </w:p>
        </w:tc>
      </w:tr>
      <w:tr>
        <w:tc>
          <w:tcPr>
            <w:tcW w:type="dxa" w:w="1984"/>
          </w:tcPr>
          <w:p>
            <w:pPr>
              <w:spacing w:lineRule="exact" w:line="600"/>
              <w:jc w:val="center"/>
            </w:pPr>
            <w:r/>
            <w:r>
              <w:rPr>
                <w:rFonts w:ascii="仿宋_GB2312" w:hAnsi="仿宋_GB2312" w:eastAsia="仿宋_GB2312"/>
                <w:b w:val="0"/>
                <w:color w:val="000000"/>
                <w:sz w:val="32"/>
              </w:rPr>
              <w:t>竞争力</w:t>
            </w:r>
          </w:p>
        </w:tc>
        <w:tc>
          <w:tcPr>
            <w:tcW w:type="dxa" w:w="3402"/>
          </w:tcPr>
          <w:p>
            <w:pPr>
              <w:spacing w:lineRule="exact" w:line="600"/>
              <w:jc w:val="center"/>
            </w:pPr>
            <w:r/>
            <w:r>
              <w:rPr>
                <w:rFonts w:ascii="仿宋_GB2312" w:hAnsi="仿宋_GB2312" w:eastAsia="仿宋_GB2312"/>
                <w:b w:val="0"/>
                <w:color w:val="000000"/>
                <w:sz w:val="32"/>
              </w:rPr>
              <w:t>全国第27位</w:t>
            </w:r>
          </w:p>
        </w:tc>
        <w:tc>
          <w:tcPr>
            <w:tcW w:type="dxa" w:w="3685"/>
          </w:tcPr>
          <w:p>
            <w:pPr>
              <w:spacing w:lineRule="exact" w:line="600"/>
              <w:jc w:val="center"/>
            </w:pPr>
            <w:r/>
            <w:r>
              <w:rPr>
                <w:rFonts w:ascii="仿宋_GB2312" w:hAnsi="仿宋_GB2312" w:eastAsia="仿宋_GB2312"/>
                <w:b w:val="0"/>
                <w:color w:val="000000"/>
                <w:sz w:val="32"/>
              </w:rPr>
              <w:t>园区榜</w:t>
            </w:r>
          </w:p>
        </w:tc>
      </w:tr>
    </w:tbl>
    <w:p>
      <w:pPr>
        <w:spacing w:lineRule="exact" w:line="600" w:before="120" w:after="120"/>
        <w:ind w:firstLine="420"/>
        <w:jc w:val="left"/>
      </w:pPr>
      <w:r>
        <w:rPr>
          <w:rFonts w:ascii="楷体_GB2312" w:hAnsi="楷体_GB2312" w:eastAsia="楷体_GB2312"/>
          <w:b w:val="0"/>
          <w:color w:val="000000"/>
          <w:sz w:val="32"/>
        </w:rPr>
        <w:t>（三）国内外市场需求</w:t>
      </w:r>
    </w:p>
    <w:p>
      <w:pPr>
        <w:spacing w:lineRule="exact" w:line="600" w:before="0" w:after="0"/>
        <w:ind w:firstLine="420"/>
        <w:jc w:val="both"/>
      </w:pPr>
      <w:r>
        <w:rPr>
          <w:rFonts w:ascii="仿宋_GB2312" w:hAnsi="仿宋_GB2312" w:eastAsia="仿宋_GB2312"/>
          <w:b w:val="0"/>
          <w:color w:val="000000"/>
          <w:sz w:val="32"/>
        </w:rPr>
        <w:t>下游需求来自制剂企业（新华制药320亿片固体制剂、注射剂15亿支）与集采放量；中硼硅药包材因一致性评价与集采持续提升渗透（来源：山东药玻年报、申万研报）。山东药玻模制瓶2024年销售37.5万吨、棕色瓶28.6万吨、丁基胶塞62.2亿支（来源：申万研报）。医药物流随新华制药现代医药物流项目推进扩容（来源：新华制药年报）。</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需求</w:t>
            </w:r>
          </w:p>
        </w:tc>
        <w:tc>
          <w:tcPr>
            <w:tcW w:type="dxa" w:w="3118"/>
          </w:tcPr>
          <w:p>
            <w:pPr>
              <w:spacing w:lineRule="exact" w:line="600"/>
              <w:jc w:val="center"/>
            </w:pPr>
            <w:r/>
            <w:r>
              <w:rPr>
                <w:rFonts w:ascii="黑体" w:hAnsi="黑体" w:eastAsia="黑体"/>
                <w:b/>
                <w:color w:val="000000"/>
                <w:sz w:val="32"/>
              </w:rPr>
              <w:t>规模</w:t>
            </w:r>
          </w:p>
        </w:tc>
        <w:tc>
          <w:tcPr>
            <w:tcW w:type="dxa" w:w="3685"/>
          </w:tcPr>
          <w:p>
            <w:pPr>
              <w:spacing w:lineRule="exact" w:line="600"/>
              <w:jc w:val="center"/>
            </w:pPr>
            <w:r/>
            <w:r>
              <w:rPr>
                <w:rFonts w:ascii="黑体" w:hAnsi="黑体" w:eastAsia="黑体"/>
                <w:b/>
                <w:color w:val="000000"/>
                <w:sz w:val="32"/>
              </w:rPr>
              <w:t>驱动</w:t>
            </w:r>
          </w:p>
        </w:tc>
      </w:tr>
      <w:tr>
        <w:tc>
          <w:tcPr>
            <w:tcW w:type="dxa" w:w="1984"/>
          </w:tcPr>
          <w:p>
            <w:pPr>
              <w:spacing w:lineRule="exact" w:line="600"/>
              <w:jc w:val="center"/>
            </w:pPr>
            <w:r/>
            <w:r>
              <w:rPr>
                <w:rFonts w:ascii="仿宋_GB2312" w:hAnsi="仿宋_GB2312" w:eastAsia="仿宋_GB2312"/>
                <w:b w:val="0"/>
                <w:color w:val="000000"/>
                <w:sz w:val="32"/>
              </w:rPr>
              <w:t>模制瓶</w:t>
            </w:r>
          </w:p>
        </w:tc>
        <w:tc>
          <w:tcPr>
            <w:tcW w:type="dxa" w:w="3118"/>
          </w:tcPr>
          <w:p>
            <w:pPr>
              <w:spacing w:lineRule="exact" w:line="600"/>
              <w:jc w:val="center"/>
            </w:pPr>
            <w:r/>
            <w:r>
              <w:rPr>
                <w:rFonts w:ascii="仿宋_GB2312" w:hAnsi="仿宋_GB2312" w:eastAsia="仿宋_GB2312"/>
                <w:b w:val="0"/>
                <w:color w:val="000000"/>
                <w:sz w:val="32"/>
              </w:rPr>
              <w:t>37.5万吨</w:t>
            </w:r>
          </w:p>
        </w:tc>
        <w:tc>
          <w:tcPr>
            <w:tcW w:type="dxa" w:w="3685"/>
          </w:tcPr>
          <w:p>
            <w:pPr>
              <w:spacing w:lineRule="exact" w:line="600"/>
              <w:jc w:val="center"/>
            </w:pPr>
            <w:r/>
            <w:r>
              <w:rPr>
                <w:rFonts w:ascii="仿宋_GB2312" w:hAnsi="仿宋_GB2312" w:eastAsia="仿宋_GB2312"/>
                <w:b w:val="0"/>
                <w:color w:val="000000"/>
                <w:sz w:val="32"/>
              </w:rPr>
              <w:t>制剂配套</w:t>
            </w:r>
          </w:p>
        </w:tc>
      </w:tr>
      <w:tr>
        <w:tc>
          <w:tcPr>
            <w:tcW w:type="dxa" w:w="1984"/>
          </w:tcPr>
          <w:p>
            <w:pPr>
              <w:spacing w:lineRule="exact" w:line="600"/>
              <w:jc w:val="center"/>
            </w:pPr>
            <w:r/>
            <w:r>
              <w:rPr>
                <w:rFonts w:ascii="仿宋_GB2312" w:hAnsi="仿宋_GB2312" w:eastAsia="仿宋_GB2312"/>
                <w:b w:val="0"/>
                <w:color w:val="000000"/>
                <w:sz w:val="32"/>
              </w:rPr>
              <w:t>棕色瓶</w:t>
            </w:r>
          </w:p>
        </w:tc>
        <w:tc>
          <w:tcPr>
            <w:tcW w:type="dxa" w:w="3118"/>
          </w:tcPr>
          <w:p>
            <w:pPr>
              <w:spacing w:lineRule="exact" w:line="600"/>
              <w:jc w:val="center"/>
            </w:pPr>
            <w:r/>
            <w:r>
              <w:rPr>
                <w:rFonts w:ascii="仿宋_GB2312" w:hAnsi="仿宋_GB2312" w:eastAsia="仿宋_GB2312"/>
                <w:b w:val="0"/>
                <w:color w:val="000000"/>
                <w:sz w:val="32"/>
              </w:rPr>
              <w:t>28.6万吨(+4.8%)</w:t>
            </w:r>
          </w:p>
        </w:tc>
        <w:tc>
          <w:tcPr>
            <w:tcW w:type="dxa" w:w="3685"/>
          </w:tcPr>
          <w:p>
            <w:pPr>
              <w:spacing w:lineRule="exact" w:line="600"/>
              <w:jc w:val="center"/>
            </w:pPr>
            <w:r/>
            <w:r>
              <w:rPr>
                <w:rFonts w:ascii="仿宋_GB2312" w:hAnsi="仿宋_GB2312" w:eastAsia="仿宋_GB2312"/>
                <w:b w:val="0"/>
                <w:color w:val="000000"/>
                <w:sz w:val="32"/>
              </w:rPr>
              <w:t>出口</w:t>
            </w:r>
          </w:p>
        </w:tc>
      </w:tr>
      <w:tr>
        <w:tc>
          <w:tcPr>
            <w:tcW w:type="dxa" w:w="1984"/>
          </w:tcPr>
          <w:p>
            <w:pPr>
              <w:spacing w:lineRule="exact" w:line="600"/>
              <w:jc w:val="center"/>
            </w:pPr>
            <w:r/>
            <w:r>
              <w:rPr>
                <w:rFonts w:ascii="仿宋_GB2312" w:hAnsi="仿宋_GB2312" w:eastAsia="仿宋_GB2312"/>
                <w:b w:val="0"/>
                <w:color w:val="000000"/>
                <w:sz w:val="32"/>
              </w:rPr>
              <w:t>丁基胶塞</w:t>
            </w:r>
          </w:p>
        </w:tc>
        <w:tc>
          <w:tcPr>
            <w:tcW w:type="dxa" w:w="3118"/>
          </w:tcPr>
          <w:p>
            <w:pPr>
              <w:spacing w:lineRule="exact" w:line="600"/>
              <w:jc w:val="center"/>
            </w:pPr>
            <w:r/>
            <w:r>
              <w:rPr>
                <w:rFonts w:ascii="仿宋_GB2312" w:hAnsi="仿宋_GB2312" w:eastAsia="仿宋_GB2312"/>
                <w:b w:val="0"/>
                <w:color w:val="000000"/>
                <w:sz w:val="32"/>
              </w:rPr>
              <w:t>62.2亿支(+15.4%)</w:t>
            </w:r>
          </w:p>
        </w:tc>
        <w:tc>
          <w:tcPr>
            <w:tcW w:type="dxa" w:w="3685"/>
          </w:tcPr>
          <w:p>
            <w:pPr>
              <w:spacing w:lineRule="exact" w:line="600"/>
              <w:jc w:val="center"/>
            </w:pPr>
            <w:r/>
            <w:r>
              <w:rPr>
                <w:rFonts w:ascii="仿宋_GB2312" w:hAnsi="仿宋_GB2312" w:eastAsia="仿宋_GB2312"/>
                <w:b w:val="0"/>
                <w:color w:val="000000"/>
                <w:sz w:val="32"/>
              </w:rPr>
              <w:t>增量</w:t>
            </w:r>
          </w:p>
        </w:tc>
      </w:tr>
      <w:tr>
        <w:tc>
          <w:tcPr>
            <w:tcW w:type="dxa" w:w="1984"/>
          </w:tcPr>
          <w:p>
            <w:pPr>
              <w:spacing w:lineRule="exact" w:line="600"/>
              <w:jc w:val="center"/>
            </w:pPr>
            <w:r/>
            <w:r>
              <w:rPr>
                <w:rFonts w:ascii="仿宋_GB2312" w:hAnsi="仿宋_GB2312" w:eastAsia="仿宋_GB2312"/>
                <w:b w:val="0"/>
                <w:color w:val="000000"/>
                <w:sz w:val="32"/>
              </w:rPr>
              <w:t>中硼硅</w:t>
            </w:r>
          </w:p>
        </w:tc>
        <w:tc>
          <w:tcPr>
            <w:tcW w:type="dxa" w:w="3118"/>
          </w:tcPr>
          <w:p>
            <w:pPr>
              <w:spacing w:lineRule="exact" w:line="600"/>
              <w:jc w:val="center"/>
            </w:pPr>
            <w:r/>
            <w:r>
              <w:rPr>
                <w:rFonts w:ascii="仿宋_GB2312" w:hAnsi="仿宋_GB2312" w:eastAsia="仿宋_GB2312"/>
                <w:b w:val="0"/>
                <w:color w:val="000000"/>
                <w:sz w:val="32"/>
              </w:rPr>
              <w:t>渗透提升</w:t>
            </w:r>
          </w:p>
        </w:tc>
        <w:tc>
          <w:tcPr>
            <w:tcW w:type="dxa" w:w="3685"/>
          </w:tcPr>
          <w:p>
            <w:pPr>
              <w:spacing w:lineRule="exact" w:line="600"/>
              <w:jc w:val="center"/>
            </w:pPr>
            <w:r/>
            <w:r>
              <w:rPr>
                <w:rFonts w:ascii="仿宋_GB2312" w:hAnsi="仿宋_GB2312" w:eastAsia="仿宋_GB2312"/>
                <w:b w:val="0"/>
                <w:color w:val="000000"/>
                <w:sz w:val="32"/>
              </w:rPr>
              <w:t>一致性评价</w:t>
            </w:r>
          </w:p>
        </w:tc>
      </w:tr>
    </w:tbl>
    <w:p>
      <w:pPr>
        <w:spacing w:lineRule="exact" w:line="600" w:before="120" w:after="120"/>
        <w:ind w:firstLine="420"/>
        <w:jc w:val="left"/>
      </w:pPr>
      <w:r>
        <w:rPr>
          <w:rFonts w:ascii="黑体" w:hAnsi="黑体" w:eastAsia="黑体"/>
          <w:b w:val="0"/>
          <w:color w:val="000000"/>
          <w:sz w:val="32"/>
        </w:rPr>
        <w:t>二、产业链结构</w:t>
      </w:r>
    </w:p>
    <w:p>
      <w:pPr>
        <w:spacing w:lineRule="exact" w:line="600" w:before="120" w:after="120"/>
        <w:ind w:firstLine="420"/>
        <w:jc w:val="left"/>
      </w:pPr>
      <w:r>
        <w:rPr>
          <w:rFonts w:ascii="楷体_GB2312" w:hAnsi="楷体_GB2312" w:eastAsia="楷体_GB2312"/>
          <w:b w:val="0"/>
          <w:color w:val="000000"/>
          <w:sz w:val="32"/>
        </w:rPr>
        <w:t>（一）上游玻璃原料</w:t>
      </w:r>
    </w:p>
    <w:p>
      <w:pPr>
        <w:spacing w:lineRule="exact" w:line="600" w:before="0" w:after="0"/>
        <w:ind w:firstLine="420"/>
        <w:jc w:val="both"/>
      </w:pPr>
      <w:r>
        <w:rPr>
          <w:rFonts w:ascii="仿宋_GB2312" w:hAnsi="仿宋_GB2312" w:eastAsia="仿宋_GB2312"/>
          <w:b w:val="0"/>
          <w:color w:val="000000"/>
          <w:sz w:val="32"/>
        </w:rPr>
        <w:t>上游为石英砂、纯碱、硼砂、煤炭等。山东药玻2024年通过「一物料一策略」精准采购，受益于煤炭、纯碱等价格下降，成本优化（来源：申万研报）。上游原料价格波动直接影响包材毛利率，公司毛利率31.72%（+3.69pct）部分得益成本下降（来源：山东药玻年报）。</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上游原料</w:t>
            </w:r>
          </w:p>
        </w:tc>
        <w:tc>
          <w:tcPr>
            <w:tcW w:type="dxa" w:w="3118"/>
          </w:tcPr>
          <w:p>
            <w:pPr>
              <w:spacing w:lineRule="exact" w:line="600"/>
              <w:jc w:val="center"/>
            </w:pPr>
            <w:r/>
            <w:r>
              <w:rPr>
                <w:rFonts w:ascii="黑体" w:hAnsi="黑体" w:eastAsia="黑体"/>
                <w:b/>
                <w:color w:val="000000"/>
                <w:sz w:val="32"/>
              </w:rPr>
              <w:t>影响</w:t>
            </w:r>
          </w:p>
        </w:tc>
        <w:tc>
          <w:tcPr>
            <w:tcW w:type="dxa" w:w="3685"/>
          </w:tcPr>
          <w:p>
            <w:pPr>
              <w:spacing w:lineRule="exact" w:line="600"/>
              <w:jc w:val="center"/>
            </w:pPr>
            <w:r/>
            <w:r>
              <w:rPr>
                <w:rFonts w:ascii="黑体" w:hAnsi="黑体" w:eastAsia="黑体"/>
                <w:b/>
                <w:color w:val="000000"/>
                <w:sz w:val="32"/>
              </w:rPr>
              <w:t>应对</w:t>
            </w:r>
          </w:p>
        </w:tc>
      </w:tr>
      <w:tr>
        <w:tc>
          <w:tcPr>
            <w:tcW w:type="dxa" w:w="1984"/>
          </w:tcPr>
          <w:p>
            <w:pPr>
              <w:spacing w:lineRule="exact" w:line="600"/>
              <w:jc w:val="center"/>
            </w:pPr>
            <w:r/>
            <w:r>
              <w:rPr>
                <w:rFonts w:ascii="仿宋_GB2312" w:hAnsi="仿宋_GB2312" w:eastAsia="仿宋_GB2312"/>
                <w:b w:val="0"/>
                <w:color w:val="000000"/>
                <w:sz w:val="32"/>
              </w:rPr>
              <w:t>纯碱/煤炭</w:t>
            </w:r>
          </w:p>
        </w:tc>
        <w:tc>
          <w:tcPr>
            <w:tcW w:type="dxa" w:w="3118"/>
          </w:tcPr>
          <w:p>
            <w:pPr>
              <w:spacing w:lineRule="exact" w:line="600"/>
              <w:jc w:val="center"/>
            </w:pPr>
            <w:r/>
            <w:r>
              <w:rPr>
                <w:rFonts w:ascii="仿宋_GB2312" w:hAnsi="仿宋_GB2312" w:eastAsia="仿宋_GB2312"/>
                <w:b w:val="0"/>
                <w:color w:val="000000"/>
                <w:sz w:val="32"/>
              </w:rPr>
              <w:t>成本</w:t>
            </w:r>
          </w:p>
        </w:tc>
        <w:tc>
          <w:tcPr>
            <w:tcW w:type="dxa" w:w="3685"/>
          </w:tcPr>
          <w:p>
            <w:pPr>
              <w:spacing w:lineRule="exact" w:line="600"/>
              <w:jc w:val="center"/>
            </w:pPr>
            <w:r/>
            <w:r>
              <w:rPr>
                <w:rFonts w:ascii="仿宋_GB2312" w:hAnsi="仿宋_GB2312" w:eastAsia="仿宋_GB2312"/>
                <w:b w:val="0"/>
                <w:color w:val="000000"/>
                <w:sz w:val="32"/>
              </w:rPr>
              <w:t>一物料一策</w:t>
            </w:r>
          </w:p>
        </w:tc>
      </w:tr>
      <w:tr>
        <w:tc>
          <w:tcPr>
            <w:tcW w:type="dxa" w:w="1984"/>
          </w:tcPr>
          <w:p>
            <w:pPr>
              <w:spacing w:lineRule="exact" w:line="600"/>
              <w:jc w:val="center"/>
            </w:pPr>
            <w:r/>
            <w:r>
              <w:rPr>
                <w:rFonts w:ascii="仿宋_GB2312" w:hAnsi="仿宋_GB2312" w:eastAsia="仿宋_GB2312"/>
                <w:b w:val="0"/>
                <w:color w:val="000000"/>
                <w:sz w:val="32"/>
              </w:rPr>
              <w:t>石英砂</w:t>
            </w:r>
          </w:p>
        </w:tc>
        <w:tc>
          <w:tcPr>
            <w:tcW w:type="dxa" w:w="3118"/>
          </w:tcPr>
          <w:p>
            <w:pPr>
              <w:spacing w:lineRule="exact" w:line="600"/>
              <w:jc w:val="center"/>
            </w:pPr>
            <w:r/>
            <w:r>
              <w:rPr>
                <w:rFonts w:ascii="仿宋_GB2312" w:hAnsi="仿宋_GB2312" w:eastAsia="仿宋_GB2312"/>
                <w:b w:val="0"/>
                <w:color w:val="000000"/>
                <w:sz w:val="32"/>
              </w:rPr>
              <w:t>质量</w:t>
            </w:r>
          </w:p>
        </w:tc>
        <w:tc>
          <w:tcPr>
            <w:tcW w:type="dxa" w:w="3685"/>
          </w:tcPr>
          <w:p>
            <w:pPr>
              <w:spacing w:lineRule="exact" w:line="600"/>
              <w:jc w:val="center"/>
            </w:pPr>
            <w:r/>
            <w:r>
              <w:rPr>
                <w:rFonts w:ascii="仿宋_GB2312" w:hAnsi="仿宋_GB2312" w:eastAsia="仿宋_GB2312"/>
                <w:b w:val="0"/>
                <w:color w:val="000000"/>
                <w:sz w:val="32"/>
              </w:rPr>
              <w:t>稳定供</w:t>
            </w:r>
          </w:p>
        </w:tc>
      </w:tr>
      <w:tr>
        <w:tc>
          <w:tcPr>
            <w:tcW w:type="dxa" w:w="1984"/>
          </w:tcPr>
          <w:p>
            <w:pPr>
              <w:spacing w:lineRule="exact" w:line="600"/>
              <w:jc w:val="center"/>
            </w:pPr>
            <w:r/>
            <w:r>
              <w:rPr>
                <w:rFonts w:ascii="仿宋_GB2312" w:hAnsi="仿宋_GB2312" w:eastAsia="仿宋_GB2312"/>
                <w:b w:val="0"/>
                <w:color w:val="000000"/>
                <w:sz w:val="32"/>
              </w:rPr>
              <w:t>硼砂</w:t>
            </w:r>
          </w:p>
        </w:tc>
        <w:tc>
          <w:tcPr>
            <w:tcW w:type="dxa" w:w="3118"/>
          </w:tcPr>
          <w:p>
            <w:pPr>
              <w:spacing w:lineRule="exact" w:line="600"/>
              <w:jc w:val="center"/>
            </w:pPr>
            <w:r/>
            <w:r>
              <w:rPr>
                <w:rFonts w:ascii="仿宋_GB2312" w:hAnsi="仿宋_GB2312" w:eastAsia="仿宋_GB2312"/>
                <w:b w:val="0"/>
                <w:color w:val="000000"/>
                <w:sz w:val="32"/>
              </w:rPr>
              <w:t>中硼硅</w:t>
            </w:r>
          </w:p>
        </w:tc>
        <w:tc>
          <w:tcPr>
            <w:tcW w:type="dxa" w:w="3685"/>
          </w:tcPr>
          <w:p>
            <w:pPr>
              <w:spacing w:lineRule="exact" w:line="600"/>
              <w:jc w:val="center"/>
            </w:pPr>
            <w:r/>
            <w:r>
              <w:rPr>
                <w:rFonts w:ascii="仿宋_GB2312" w:hAnsi="仿宋_GB2312" w:eastAsia="仿宋_GB2312"/>
                <w:b w:val="0"/>
                <w:color w:val="000000"/>
                <w:sz w:val="32"/>
              </w:rPr>
              <w:t>国产替代</w:t>
            </w:r>
          </w:p>
        </w:tc>
      </w:tr>
      <w:tr>
        <w:tc>
          <w:tcPr>
            <w:tcW w:type="dxa" w:w="1984"/>
          </w:tcPr>
          <w:p>
            <w:pPr>
              <w:spacing w:lineRule="exact" w:line="600"/>
              <w:jc w:val="center"/>
            </w:pPr>
            <w:r/>
            <w:r>
              <w:rPr>
                <w:rFonts w:ascii="仿宋_GB2312" w:hAnsi="仿宋_GB2312" w:eastAsia="仿宋_GB2312"/>
                <w:b w:val="0"/>
                <w:color w:val="000000"/>
                <w:sz w:val="32"/>
              </w:rPr>
              <w:t>成本</w:t>
            </w:r>
          </w:p>
        </w:tc>
        <w:tc>
          <w:tcPr>
            <w:tcW w:type="dxa" w:w="3118"/>
          </w:tcPr>
          <w:p>
            <w:pPr>
              <w:spacing w:lineRule="exact" w:line="600"/>
              <w:jc w:val="center"/>
            </w:pPr>
            <w:r/>
            <w:r>
              <w:rPr>
                <w:rFonts w:ascii="仿宋_GB2312" w:hAnsi="仿宋_GB2312" w:eastAsia="仿宋_GB2312"/>
                <w:b w:val="0"/>
                <w:color w:val="000000"/>
                <w:sz w:val="32"/>
              </w:rPr>
              <w:t>毛利率31.72%</w:t>
            </w:r>
          </w:p>
        </w:tc>
        <w:tc>
          <w:tcPr>
            <w:tcW w:type="dxa" w:w="3685"/>
          </w:tcPr>
          <w:p>
            <w:pPr>
              <w:spacing w:lineRule="exact" w:line="600"/>
              <w:jc w:val="center"/>
            </w:pPr>
            <w:r/>
            <w:r>
              <w:rPr>
                <w:rFonts w:ascii="仿宋_GB2312" w:hAnsi="仿宋_GB2312" w:eastAsia="仿宋_GB2312"/>
                <w:b w:val="0"/>
                <w:color w:val="000000"/>
                <w:sz w:val="32"/>
              </w:rPr>
              <w:t>优化</w:t>
            </w:r>
          </w:p>
        </w:tc>
      </w:tr>
    </w:tbl>
    <w:p>
      <w:pPr>
        <w:spacing w:lineRule="exact" w:line="600" w:before="120" w:after="120"/>
        <w:ind w:firstLine="420"/>
        <w:jc w:val="left"/>
      </w:pPr>
      <w:r>
        <w:rPr>
          <w:rFonts w:ascii="楷体_GB2312" w:hAnsi="楷体_GB2312" w:eastAsia="楷体_GB2312"/>
          <w:b w:val="0"/>
          <w:color w:val="000000"/>
          <w:sz w:val="32"/>
        </w:rPr>
        <w:t>（二）中游药包材制造</w:t>
      </w:r>
    </w:p>
    <w:p>
      <w:pPr>
        <w:spacing w:lineRule="exact" w:line="600" w:before="0" w:after="0"/>
        <w:ind w:firstLine="420"/>
        <w:jc w:val="both"/>
      </w:pPr>
      <w:r>
        <w:rPr>
          <w:rFonts w:ascii="仿宋_GB2312" w:hAnsi="仿宋_GB2312" w:eastAsia="仿宋_GB2312"/>
          <w:b w:val="0"/>
          <w:color w:val="000000"/>
          <w:sz w:val="32"/>
        </w:rPr>
        <w:t>中游为模制瓶、棕色瓶、管制瓶、丁基胶塞、铝塑盖等。山东药玻2024年模制瓶收入23.53亿元（占45.9%）、棕色瓶11.57亿元（占22.58%）、丁基胶塞2.86亿元、管制瓶2.15亿元（来源：山东药玻年报）。中硼硅模制瓶因一致性评价与集采保持增长（来源：申万研报）。公司是我国药包材龙头，产品覆盖各类注射剂、口服制剂包装。</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中游产品</w:t>
            </w:r>
          </w:p>
        </w:tc>
        <w:tc>
          <w:tcPr>
            <w:tcW w:type="dxa" w:w="3118"/>
          </w:tcPr>
          <w:p>
            <w:pPr>
              <w:spacing w:lineRule="exact" w:line="600"/>
              <w:jc w:val="center"/>
            </w:pPr>
            <w:r/>
            <w:r>
              <w:rPr>
                <w:rFonts w:ascii="黑体" w:hAnsi="黑体" w:eastAsia="黑体"/>
                <w:b/>
                <w:color w:val="000000"/>
                <w:sz w:val="32"/>
              </w:rPr>
              <w:t>收入</w:t>
            </w:r>
          </w:p>
        </w:tc>
        <w:tc>
          <w:tcPr>
            <w:tcW w:type="dxa" w:w="3685"/>
          </w:tcPr>
          <w:p>
            <w:pPr>
              <w:spacing w:lineRule="exact" w:line="600"/>
              <w:jc w:val="center"/>
            </w:pPr>
            <w:r/>
            <w:r>
              <w:rPr>
                <w:rFonts w:ascii="黑体" w:hAnsi="黑体" w:eastAsia="黑体"/>
                <w:b/>
                <w:color w:val="000000"/>
                <w:sz w:val="32"/>
              </w:rPr>
              <w:t>占比</w:t>
            </w:r>
          </w:p>
        </w:tc>
      </w:tr>
      <w:tr>
        <w:tc>
          <w:tcPr>
            <w:tcW w:type="dxa" w:w="1984"/>
          </w:tcPr>
          <w:p>
            <w:pPr>
              <w:spacing w:lineRule="exact" w:line="600"/>
              <w:jc w:val="center"/>
            </w:pPr>
            <w:r/>
            <w:r>
              <w:rPr>
                <w:rFonts w:ascii="仿宋_GB2312" w:hAnsi="仿宋_GB2312" w:eastAsia="仿宋_GB2312"/>
                <w:b w:val="0"/>
                <w:color w:val="000000"/>
                <w:sz w:val="32"/>
              </w:rPr>
              <w:t>模制瓶系列</w:t>
            </w:r>
          </w:p>
        </w:tc>
        <w:tc>
          <w:tcPr>
            <w:tcW w:type="dxa" w:w="3118"/>
          </w:tcPr>
          <w:p>
            <w:pPr>
              <w:spacing w:lineRule="exact" w:line="600"/>
              <w:jc w:val="center"/>
            </w:pPr>
            <w:r/>
            <w:r>
              <w:rPr>
                <w:rFonts w:ascii="仿宋_GB2312" w:hAnsi="仿宋_GB2312" w:eastAsia="仿宋_GB2312"/>
                <w:b w:val="0"/>
                <w:color w:val="000000"/>
                <w:sz w:val="32"/>
              </w:rPr>
              <w:t>23.53亿元</w:t>
            </w:r>
          </w:p>
        </w:tc>
        <w:tc>
          <w:tcPr>
            <w:tcW w:type="dxa" w:w="3685"/>
          </w:tcPr>
          <w:p>
            <w:pPr>
              <w:spacing w:lineRule="exact" w:line="600"/>
              <w:jc w:val="center"/>
            </w:pPr>
            <w:r/>
            <w:r>
              <w:rPr>
                <w:rFonts w:ascii="仿宋_GB2312" w:hAnsi="仿宋_GB2312" w:eastAsia="仿宋_GB2312"/>
                <w:b w:val="0"/>
                <w:color w:val="000000"/>
                <w:sz w:val="32"/>
              </w:rPr>
              <w:t>45.9%</w:t>
            </w:r>
          </w:p>
        </w:tc>
      </w:tr>
      <w:tr>
        <w:tc>
          <w:tcPr>
            <w:tcW w:type="dxa" w:w="1984"/>
          </w:tcPr>
          <w:p>
            <w:pPr>
              <w:spacing w:lineRule="exact" w:line="600"/>
              <w:jc w:val="center"/>
            </w:pPr>
            <w:r/>
            <w:r>
              <w:rPr>
                <w:rFonts w:ascii="仿宋_GB2312" w:hAnsi="仿宋_GB2312" w:eastAsia="仿宋_GB2312"/>
                <w:b w:val="0"/>
                <w:color w:val="000000"/>
                <w:sz w:val="32"/>
              </w:rPr>
              <w:t>棕色瓶系列</w:t>
            </w:r>
          </w:p>
        </w:tc>
        <w:tc>
          <w:tcPr>
            <w:tcW w:type="dxa" w:w="3118"/>
          </w:tcPr>
          <w:p>
            <w:pPr>
              <w:spacing w:lineRule="exact" w:line="600"/>
              <w:jc w:val="center"/>
            </w:pPr>
            <w:r/>
            <w:r>
              <w:rPr>
                <w:rFonts w:ascii="仿宋_GB2312" w:hAnsi="仿宋_GB2312" w:eastAsia="仿宋_GB2312"/>
                <w:b w:val="0"/>
                <w:color w:val="000000"/>
                <w:sz w:val="32"/>
              </w:rPr>
              <w:t>11.57亿元</w:t>
            </w:r>
          </w:p>
        </w:tc>
        <w:tc>
          <w:tcPr>
            <w:tcW w:type="dxa" w:w="3685"/>
          </w:tcPr>
          <w:p>
            <w:pPr>
              <w:spacing w:lineRule="exact" w:line="600"/>
              <w:jc w:val="center"/>
            </w:pPr>
            <w:r/>
            <w:r>
              <w:rPr>
                <w:rFonts w:ascii="仿宋_GB2312" w:hAnsi="仿宋_GB2312" w:eastAsia="仿宋_GB2312"/>
                <w:b w:val="0"/>
                <w:color w:val="000000"/>
                <w:sz w:val="32"/>
              </w:rPr>
              <w:t>22.58%</w:t>
            </w:r>
          </w:p>
        </w:tc>
      </w:tr>
      <w:tr>
        <w:tc>
          <w:tcPr>
            <w:tcW w:type="dxa" w:w="1984"/>
          </w:tcPr>
          <w:p>
            <w:pPr>
              <w:spacing w:lineRule="exact" w:line="600"/>
              <w:jc w:val="center"/>
            </w:pPr>
            <w:r/>
            <w:r>
              <w:rPr>
                <w:rFonts w:ascii="仿宋_GB2312" w:hAnsi="仿宋_GB2312" w:eastAsia="仿宋_GB2312"/>
                <w:b w:val="0"/>
                <w:color w:val="000000"/>
                <w:sz w:val="32"/>
              </w:rPr>
              <w:t>丁基胶塞</w:t>
            </w:r>
          </w:p>
        </w:tc>
        <w:tc>
          <w:tcPr>
            <w:tcW w:type="dxa" w:w="3118"/>
          </w:tcPr>
          <w:p>
            <w:pPr>
              <w:spacing w:lineRule="exact" w:line="600"/>
              <w:jc w:val="center"/>
            </w:pPr>
            <w:r/>
            <w:r>
              <w:rPr>
                <w:rFonts w:ascii="仿宋_GB2312" w:hAnsi="仿宋_GB2312" w:eastAsia="仿宋_GB2312"/>
                <w:b w:val="0"/>
                <w:color w:val="000000"/>
                <w:sz w:val="32"/>
              </w:rPr>
              <w:t>2.86亿元</w:t>
            </w:r>
          </w:p>
        </w:tc>
        <w:tc>
          <w:tcPr>
            <w:tcW w:type="dxa" w:w="3685"/>
          </w:tcPr>
          <w:p>
            <w:pPr>
              <w:spacing w:lineRule="exact" w:line="600"/>
              <w:jc w:val="center"/>
            </w:pPr>
            <w:r/>
            <w:r>
              <w:rPr>
                <w:rFonts w:ascii="仿宋_GB2312" w:hAnsi="仿宋_GB2312" w:eastAsia="仿宋_GB2312"/>
                <w:b w:val="0"/>
                <w:color w:val="000000"/>
                <w:sz w:val="32"/>
              </w:rPr>
              <w:t>5.58%</w:t>
            </w:r>
          </w:p>
        </w:tc>
      </w:tr>
      <w:tr>
        <w:tc>
          <w:tcPr>
            <w:tcW w:type="dxa" w:w="1984"/>
          </w:tcPr>
          <w:p>
            <w:pPr>
              <w:spacing w:lineRule="exact" w:line="600"/>
              <w:jc w:val="center"/>
            </w:pPr>
            <w:r/>
            <w:r>
              <w:rPr>
                <w:rFonts w:ascii="仿宋_GB2312" w:hAnsi="仿宋_GB2312" w:eastAsia="仿宋_GB2312"/>
                <w:b w:val="0"/>
                <w:color w:val="000000"/>
                <w:sz w:val="32"/>
              </w:rPr>
              <w:t>管制瓶</w:t>
            </w:r>
          </w:p>
        </w:tc>
        <w:tc>
          <w:tcPr>
            <w:tcW w:type="dxa" w:w="3118"/>
          </w:tcPr>
          <w:p>
            <w:pPr>
              <w:spacing w:lineRule="exact" w:line="600"/>
              <w:jc w:val="center"/>
            </w:pPr>
            <w:r/>
            <w:r>
              <w:rPr>
                <w:rFonts w:ascii="仿宋_GB2312" w:hAnsi="仿宋_GB2312" w:eastAsia="仿宋_GB2312"/>
                <w:b w:val="0"/>
                <w:color w:val="000000"/>
                <w:sz w:val="32"/>
              </w:rPr>
              <w:t>2.15亿元</w:t>
            </w:r>
          </w:p>
        </w:tc>
        <w:tc>
          <w:tcPr>
            <w:tcW w:type="dxa" w:w="3685"/>
          </w:tcPr>
          <w:p>
            <w:pPr>
              <w:spacing w:lineRule="exact" w:line="600"/>
              <w:jc w:val="center"/>
            </w:pPr>
            <w:r/>
            <w:r>
              <w:rPr>
                <w:rFonts w:ascii="仿宋_GB2312" w:hAnsi="仿宋_GB2312" w:eastAsia="仿宋_GB2312"/>
                <w:b w:val="0"/>
                <w:color w:val="000000"/>
                <w:sz w:val="32"/>
              </w:rPr>
              <w:t>4.19%</w:t>
            </w:r>
          </w:p>
        </w:tc>
      </w:tr>
    </w:tbl>
    <w:p>
      <w:pPr>
        <w:spacing w:lineRule="exact" w:line="600" w:before="120" w:after="120"/>
        <w:ind w:firstLine="420"/>
        <w:jc w:val="left"/>
      </w:pPr>
      <w:r>
        <w:rPr>
          <w:rFonts w:ascii="楷体_GB2312" w:hAnsi="楷体_GB2312" w:eastAsia="楷体_GB2312"/>
          <w:b w:val="0"/>
          <w:color w:val="000000"/>
          <w:sz w:val="32"/>
        </w:rPr>
        <w:t>（三）下游流通与服务</w:t>
      </w:r>
    </w:p>
    <w:p>
      <w:pPr>
        <w:spacing w:lineRule="exact" w:line="600" w:before="0" w:after="0"/>
        <w:ind w:firstLine="420"/>
        <w:jc w:val="both"/>
      </w:pPr>
      <w:r>
        <w:rPr>
          <w:rFonts w:ascii="仿宋_GB2312" w:hAnsi="仿宋_GB2312" w:eastAsia="仿宋_GB2312"/>
          <w:b w:val="0"/>
          <w:color w:val="000000"/>
          <w:sz w:val="32"/>
        </w:rPr>
        <w:t>下游为医药物流、商贸与医院终端。新华制药现代医药物流项目、口服液生产线建设进展顺利，商业板块与头部企业合作加深（来源：新华制药年报）。新华医疗医疗商贸产品收入31.25亿元（来源：新华医疗年报）。药包材通过流通直达制剂企业与医院，构成「包装—物流—终端」服务体系。</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下游</w:t>
            </w:r>
          </w:p>
        </w:tc>
        <w:tc>
          <w:tcPr>
            <w:tcW w:type="dxa" w:w="3118"/>
          </w:tcPr>
          <w:p>
            <w:pPr>
              <w:spacing w:lineRule="exact" w:line="600"/>
              <w:jc w:val="center"/>
            </w:pPr>
            <w:r/>
            <w:r>
              <w:rPr>
                <w:rFonts w:ascii="黑体" w:hAnsi="黑体" w:eastAsia="黑体"/>
                <w:b/>
                <w:color w:val="000000"/>
                <w:sz w:val="32"/>
              </w:rPr>
              <w:t>收入/项目</w:t>
            </w:r>
          </w:p>
        </w:tc>
        <w:tc>
          <w:tcPr>
            <w:tcW w:type="dxa" w:w="3685"/>
          </w:tcPr>
          <w:p>
            <w:pPr>
              <w:spacing w:lineRule="exact" w:line="600"/>
              <w:jc w:val="center"/>
            </w:pPr>
            <w:r/>
            <w:r>
              <w:rPr>
                <w:rFonts w:ascii="黑体" w:hAnsi="黑体" w:eastAsia="黑体"/>
                <w:b/>
                <w:color w:val="000000"/>
                <w:sz w:val="32"/>
              </w:rPr>
              <w:t>功能</w:t>
            </w:r>
          </w:p>
        </w:tc>
      </w:tr>
      <w:tr>
        <w:tc>
          <w:tcPr>
            <w:tcW w:type="dxa" w:w="1984"/>
          </w:tcPr>
          <w:p>
            <w:pPr>
              <w:spacing w:lineRule="exact" w:line="600"/>
              <w:jc w:val="center"/>
            </w:pPr>
            <w:r/>
            <w:r>
              <w:rPr>
                <w:rFonts w:ascii="仿宋_GB2312" w:hAnsi="仿宋_GB2312" w:eastAsia="仿宋_GB2312"/>
                <w:b w:val="0"/>
                <w:color w:val="000000"/>
                <w:sz w:val="32"/>
              </w:rPr>
              <w:t>新华制药物流</w:t>
            </w:r>
          </w:p>
        </w:tc>
        <w:tc>
          <w:tcPr>
            <w:tcW w:type="dxa" w:w="3118"/>
          </w:tcPr>
          <w:p>
            <w:pPr>
              <w:spacing w:lineRule="exact" w:line="600"/>
              <w:jc w:val="center"/>
            </w:pPr>
            <w:r/>
            <w:r>
              <w:rPr>
                <w:rFonts w:ascii="仿宋_GB2312" w:hAnsi="仿宋_GB2312" w:eastAsia="仿宋_GB2312"/>
                <w:b w:val="0"/>
                <w:color w:val="000000"/>
                <w:sz w:val="32"/>
              </w:rPr>
              <w:t>现代医药物流</w:t>
            </w:r>
          </w:p>
        </w:tc>
        <w:tc>
          <w:tcPr>
            <w:tcW w:type="dxa" w:w="3685"/>
          </w:tcPr>
          <w:p>
            <w:pPr>
              <w:spacing w:lineRule="exact" w:line="600"/>
              <w:jc w:val="center"/>
            </w:pPr>
            <w:r/>
            <w:r>
              <w:rPr>
                <w:rFonts w:ascii="仿宋_GB2312" w:hAnsi="仿宋_GB2312" w:eastAsia="仿宋_GB2312"/>
                <w:b w:val="0"/>
                <w:color w:val="000000"/>
                <w:sz w:val="32"/>
              </w:rPr>
              <w:t>流通</w:t>
            </w:r>
          </w:p>
        </w:tc>
      </w:tr>
      <w:tr>
        <w:tc>
          <w:tcPr>
            <w:tcW w:type="dxa" w:w="1984"/>
          </w:tcPr>
          <w:p>
            <w:pPr>
              <w:spacing w:lineRule="exact" w:line="600"/>
              <w:jc w:val="center"/>
            </w:pPr>
            <w:r/>
            <w:r>
              <w:rPr>
                <w:rFonts w:ascii="仿宋_GB2312" w:hAnsi="仿宋_GB2312" w:eastAsia="仿宋_GB2312"/>
                <w:b w:val="0"/>
                <w:color w:val="000000"/>
                <w:sz w:val="32"/>
              </w:rPr>
              <w:t>新华医疗商贸</w:t>
            </w:r>
          </w:p>
        </w:tc>
        <w:tc>
          <w:tcPr>
            <w:tcW w:type="dxa" w:w="3118"/>
          </w:tcPr>
          <w:p>
            <w:pPr>
              <w:spacing w:lineRule="exact" w:line="600"/>
              <w:jc w:val="center"/>
            </w:pPr>
            <w:r/>
            <w:r>
              <w:rPr>
                <w:rFonts w:ascii="仿宋_GB2312" w:hAnsi="仿宋_GB2312" w:eastAsia="仿宋_GB2312"/>
                <w:b w:val="0"/>
                <w:color w:val="000000"/>
                <w:sz w:val="32"/>
              </w:rPr>
              <w:t>31.25亿元</w:t>
            </w:r>
          </w:p>
        </w:tc>
        <w:tc>
          <w:tcPr>
            <w:tcW w:type="dxa" w:w="3685"/>
          </w:tcPr>
          <w:p>
            <w:pPr>
              <w:spacing w:lineRule="exact" w:line="600"/>
              <w:jc w:val="center"/>
            </w:pPr>
            <w:r/>
            <w:r>
              <w:rPr>
                <w:rFonts w:ascii="仿宋_GB2312" w:hAnsi="仿宋_GB2312" w:eastAsia="仿宋_GB2312"/>
                <w:b w:val="0"/>
                <w:color w:val="000000"/>
                <w:sz w:val="32"/>
              </w:rPr>
              <w:t>渠道</w:t>
            </w:r>
          </w:p>
        </w:tc>
      </w:tr>
      <w:tr>
        <w:tc>
          <w:tcPr>
            <w:tcW w:type="dxa" w:w="1984"/>
          </w:tcPr>
          <w:p>
            <w:pPr>
              <w:spacing w:lineRule="exact" w:line="600"/>
              <w:jc w:val="center"/>
            </w:pPr>
            <w:r/>
            <w:r>
              <w:rPr>
                <w:rFonts w:ascii="仿宋_GB2312" w:hAnsi="仿宋_GB2312" w:eastAsia="仿宋_GB2312"/>
                <w:b w:val="0"/>
                <w:color w:val="000000"/>
                <w:sz w:val="32"/>
              </w:rPr>
              <w:t>终端医院</w:t>
            </w:r>
          </w:p>
        </w:tc>
        <w:tc>
          <w:tcPr>
            <w:tcW w:type="dxa" w:w="3118"/>
          </w:tcPr>
          <w:p>
            <w:pPr>
              <w:spacing w:lineRule="exact" w:line="600"/>
              <w:jc w:val="center"/>
            </w:pPr>
            <w:r/>
            <w:r>
              <w:rPr>
                <w:rFonts w:ascii="仿宋_GB2312" w:hAnsi="仿宋_GB2312" w:eastAsia="仿宋_GB2312"/>
                <w:b w:val="0"/>
                <w:color w:val="000000"/>
                <w:sz w:val="32"/>
              </w:rPr>
              <w:t>包装直供</w:t>
            </w:r>
          </w:p>
        </w:tc>
        <w:tc>
          <w:tcPr>
            <w:tcW w:type="dxa" w:w="3685"/>
          </w:tcPr>
          <w:p>
            <w:pPr>
              <w:spacing w:lineRule="exact" w:line="600"/>
              <w:jc w:val="center"/>
            </w:pPr>
            <w:r/>
            <w:r>
              <w:rPr>
                <w:rFonts w:ascii="仿宋_GB2312" w:hAnsi="仿宋_GB2312" w:eastAsia="仿宋_GB2312"/>
                <w:b w:val="0"/>
                <w:color w:val="000000"/>
                <w:sz w:val="32"/>
              </w:rPr>
              <w:t>服务</w:t>
            </w:r>
          </w:p>
        </w:tc>
      </w:tr>
      <w:tr>
        <w:tc>
          <w:tcPr>
            <w:tcW w:type="dxa" w:w="1984"/>
          </w:tcPr>
          <w:p>
            <w:pPr>
              <w:spacing w:lineRule="exact" w:line="600"/>
              <w:jc w:val="center"/>
            </w:pPr>
            <w:r/>
            <w:r>
              <w:rPr>
                <w:rFonts w:ascii="仿宋_GB2312" w:hAnsi="仿宋_GB2312" w:eastAsia="仿宋_GB2312"/>
                <w:b w:val="0"/>
                <w:color w:val="000000"/>
                <w:sz w:val="32"/>
              </w:rPr>
              <w:t>口服液线</w:t>
            </w:r>
          </w:p>
        </w:tc>
        <w:tc>
          <w:tcPr>
            <w:tcW w:type="dxa" w:w="3118"/>
          </w:tcPr>
          <w:p>
            <w:pPr>
              <w:spacing w:lineRule="exact" w:line="600"/>
              <w:jc w:val="center"/>
            </w:pPr>
            <w:r/>
            <w:r>
              <w:rPr>
                <w:rFonts w:ascii="仿宋_GB2312" w:hAnsi="仿宋_GB2312" w:eastAsia="仿宋_GB2312"/>
                <w:b w:val="0"/>
                <w:color w:val="000000"/>
                <w:sz w:val="32"/>
              </w:rPr>
              <w:t>建设中</w:t>
            </w:r>
          </w:p>
        </w:tc>
        <w:tc>
          <w:tcPr>
            <w:tcW w:type="dxa" w:w="3685"/>
          </w:tcPr>
          <w:p>
            <w:pPr>
              <w:spacing w:lineRule="exact" w:line="600"/>
              <w:jc w:val="center"/>
            </w:pPr>
            <w:r/>
            <w:r>
              <w:rPr>
                <w:rFonts w:ascii="仿宋_GB2312" w:hAnsi="仿宋_GB2312" w:eastAsia="仿宋_GB2312"/>
                <w:b w:val="0"/>
                <w:color w:val="000000"/>
                <w:sz w:val="32"/>
              </w:rPr>
              <w:t>扩能</w:t>
            </w:r>
          </w:p>
        </w:tc>
      </w:tr>
    </w:tbl>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120" w:after="120"/>
        <w:ind w:firstLine="420"/>
        <w:jc w:val="left"/>
      </w:pPr>
      <w:r>
        <w:rPr>
          <w:rFonts w:ascii="楷体_GB2312" w:hAnsi="楷体_GB2312" w:eastAsia="楷体_GB2312"/>
          <w:b w:val="0"/>
          <w:color w:val="000000"/>
          <w:sz w:val="32"/>
        </w:rPr>
        <w:t>（一）供给格局与产能</w:t>
      </w:r>
    </w:p>
    <w:p>
      <w:pPr>
        <w:spacing w:lineRule="exact" w:line="600" w:before="0" w:after="0"/>
        <w:ind w:firstLine="420"/>
        <w:jc w:val="both"/>
      </w:pPr>
      <w:r>
        <w:rPr>
          <w:rFonts w:ascii="仿宋_GB2312" w:hAnsi="仿宋_GB2312" w:eastAsia="仿宋_GB2312"/>
          <w:b w:val="0"/>
          <w:color w:val="000000"/>
          <w:sz w:val="32"/>
        </w:rPr>
        <w:t>山东药玻为国内药用玻璃绝对龙头，2024年总营收51.25亿元（来源：山东药玻年报）。模制瓶销售37.5万吨、棕色瓶28.6万吨、丁基胶塞62.2亿支的规模居行业前列（来源：申万研报）。中硼硅模制瓶产能持续扩张。供给端呈现「药玻一家独大、中小包材补充」格局。</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供给主体</w:t>
            </w:r>
          </w:p>
        </w:tc>
        <w:tc>
          <w:tcPr>
            <w:tcW w:type="dxa" w:w="3118"/>
          </w:tcPr>
          <w:p>
            <w:pPr>
              <w:spacing w:lineRule="exact" w:line="600"/>
              <w:jc w:val="center"/>
            </w:pPr>
            <w:r/>
            <w:r>
              <w:rPr>
                <w:rFonts w:ascii="黑体" w:hAnsi="黑体" w:eastAsia="黑体"/>
                <w:b/>
                <w:color w:val="000000"/>
                <w:sz w:val="32"/>
              </w:rPr>
              <w:t>规模</w:t>
            </w:r>
          </w:p>
        </w:tc>
        <w:tc>
          <w:tcPr>
            <w:tcW w:type="dxa" w:w="3685"/>
          </w:tcPr>
          <w:p>
            <w:pPr>
              <w:spacing w:lineRule="exact" w:line="600"/>
              <w:jc w:val="center"/>
            </w:pPr>
            <w:r/>
            <w:r>
              <w:rPr>
                <w:rFonts w:ascii="黑体" w:hAnsi="黑体" w:eastAsia="黑体"/>
                <w:b/>
                <w:color w:val="000000"/>
                <w:sz w:val="32"/>
              </w:rPr>
              <w:t>地位</w:t>
            </w:r>
          </w:p>
        </w:tc>
      </w:tr>
      <w:tr>
        <w:tc>
          <w:tcPr>
            <w:tcW w:type="dxa" w:w="1984"/>
          </w:tcPr>
          <w:p>
            <w:pPr>
              <w:spacing w:lineRule="exact" w:line="600"/>
              <w:jc w:val="center"/>
            </w:pPr>
            <w:r/>
            <w:r>
              <w:rPr>
                <w:rFonts w:ascii="仿宋_GB2312" w:hAnsi="仿宋_GB2312" w:eastAsia="仿宋_GB2312"/>
                <w:b w:val="0"/>
                <w:color w:val="000000"/>
                <w:sz w:val="32"/>
              </w:rPr>
              <w:t>山东药玻</w:t>
            </w:r>
          </w:p>
        </w:tc>
        <w:tc>
          <w:tcPr>
            <w:tcW w:type="dxa" w:w="3118"/>
          </w:tcPr>
          <w:p>
            <w:pPr>
              <w:spacing w:lineRule="exact" w:line="600"/>
              <w:jc w:val="center"/>
            </w:pPr>
            <w:r/>
            <w:r>
              <w:rPr>
                <w:rFonts w:ascii="仿宋_GB2312" w:hAnsi="仿宋_GB2312" w:eastAsia="仿宋_GB2312"/>
                <w:b w:val="0"/>
                <w:color w:val="000000"/>
                <w:sz w:val="32"/>
              </w:rPr>
              <w:t>51.25亿元营收</w:t>
            </w:r>
          </w:p>
        </w:tc>
        <w:tc>
          <w:tcPr>
            <w:tcW w:type="dxa" w:w="3685"/>
          </w:tcPr>
          <w:p>
            <w:pPr>
              <w:spacing w:lineRule="exact" w:line="600"/>
              <w:jc w:val="center"/>
            </w:pPr>
            <w:r/>
            <w:r>
              <w:rPr>
                <w:rFonts w:ascii="仿宋_GB2312" w:hAnsi="仿宋_GB2312" w:eastAsia="仿宋_GB2312"/>
                <w:b w:val="0"/>
                <w:color w:val="000000"/>
                <w:sz w:val="32"/>
              </w:rPr>
              <w:t>龙头</w:t>
            </w:r>
          </w:p>
        </w:tc>
      </w:tr>
      <w:tr>
        <w:tc>
          <w:tcPr>
            <w:tcW w:type="dxa" w:w="1984"/>
          </w:tcPr>
          <w:p>
            <w:pPr>
              <w:spacing w:lineRule="exact" w:line="600"/>
              <w:jc w:val="center"/>
            </w:pPr>
            <w:r/>
            <w:r>
              <w:rPr>
                <w:rFonts w:ascii="仿宋_GB2312" w:hAnsi="仿宋_GB2312" w:eastAsia="仿宋_GB2312"/>
                <w:b w:val="0"/>
                <w:color w:val="000000"/>
                <w:sz w:val="32"/>
              </w:rPr>
              <w:t>模制瓶</w:t>
            </w:r>
          </w:p>
        </w:tc>
        <w:tc>
          <w:tcPr>
            <w:tcW w:type="dxa" w:w="3118"/>
          </w:tcPr>
          <w:p>
            <w:pPr>
              <w:spacing w:lineRule="exact" w:line="600"/>
              <w:jc w:val="center"/>
            </w:pPr>
            <w:r/>
            <w:r>
              <w:rPr>
                <w:rFonts w:ascii="仿宋_GB2312" w:hAnsi="仿宋_GB2312" w:eastAsia="仿宋_GB2312"/>
                <w:b w:val="0"/>
                <w:color w:val="000000"/>
                <w:sz w:val="32"/>
              </w:rPr>
              <w:t>37.5万吨</w:t>
            </w:r>
          </w:p>
        </w:tc>
        <w:tc>
          <w:tcPr>
            <w:tcW w:type="dxa" w:w="3685"/>
          </w:tcPr>
          <w:p>
            <w:pPr>
              <w:spacing w:lineRule="exact" w:line="600"/>
              <w:jc w:val="center"/>
            </w:pPr>
            <w:r/>
            <w:r>
              <w:rPr>
                <w:rFonts w:ascii="仿宋_GB2312" w:hAnsi="仿宋_GB2312" w:eastAsia="仿宋_GB2312"/>
                <w:b w:val="0"/>
                <w:color w:val="000000"/>
                <w:sz w:val="32"/>
              </w:rPr>
              <w:t>领先</w:t>
            </w:r>
          </w:p>
        </w:tc>
      </w:tr>
      <w:tr>
        <w:tc>
          <w:tcPr>
            <w:tcW w:type="dxa" w:w="1984"/>
          </w:tcPr>
          <w:p>
            <w:pPr>
              <w:spacing w:lineRule="exact" w:line="600"/>
              <w:jc w:val="center"/>
            </w:pPr>
            <w:r/>
            <w:r>
              <w:rPr>
                <w:rFonts w:ascii="仿宋_GB2312" w:hAnsi="仿宋_GB2312" w:eastAsia="仿宋_GB2312"/>
                <w:b w:val="0"/>
                <w:color w:val="000000"/>
                <w:sz w:val="32"/>
              </w:rPr>
              <w:t>棕色瓶</w:t>
            </w:r>
          </w:p>
        </w:tc>
        <w:tc>
          <w:tcPr>
            <w:tcW w:type="dxa" w:w="3118"/>
          </w:tcPr>
          <w:p>
            <w:pPr>
              <w:spacing w:lineRule="exact" w:line="600"/>
              <w:jc w:val="center"/>
            </w:pPr>
            <w:r/>
            <w:r>
              <w:rPr>
                <w:rFonts w:ascii="仿宋_GB2312" w:hAnsi="仿宋_GB2312" w:eastAsia="仿宋_GB2312"/>
                <w:b w:val="0"/>
                <w:color w:val="000000"/>
                <w:sz w:val="32"/>
              </w:rPr>
              <w:t>28.6万吨</w:t>
            </w:r>
          </w:p>
        </w:tc>
        <w:tc>
          <w:tcPr>
            <w:tcW w:type="dxa" w:w="3685"/>
          </w:tcPr>
          <w:p>
            <w:pPr>
              <w:spacing w:lineRule="exact" w:line="600"/>
              <w:jc w:val="center"/>
            </w:pPr>
            <w:r/>
            <w:r>
              <w:rPr>
                <w:rFonts w:ascii="仿宋_GB2312" w:hAnsi="仿宋_GB2312" w:eastAsia="仿宋_GB2312"/>
                <w:b w:val="0"/>
                <w:color w:val="000000"/>
                <w:sz w:val="32"/>
              </w:rPr>
              <w:t>出口强</w:t>
            </w:r>
          </w:p>
        </w:tc>
      </w:tr>
      <w:tr>
        <w:tc>
          <w:tcPr>
            <w:tcW w:type="dxa" w:w="1984"/>
          </w:tcPr>
          <w:p>
            <w:pPr>
              <w:spacing w:lineRule="exact" w:line="600"/>
              <w:jc w:val="center"/>
            </w:pPr>
            <w:r/>
            <w:r>
              <w:rPr>
                <w:rFonts w:ascii="仿宋_GB2312" w:hAnsi="仿宋_GB2312" w:eastAsia="仿宋_GB2312"/>
                <w:b w:val="0"/>
                <w:color w:val="000000"/>
                <w:sz w:val="32"/>
              </w:rPr>
              <w:t>丁基胶塞</w:t>
            </w:r>
          </w:p>
        </w:tc>
        <w:tc>
          <w:tcPr>
            <w:tcW w:type="dxa" w:w="3118"/>
          </w:tcPr>
          <w:p>
            <w:pPr>
              <w:spacing w:lineRule="exact" w:line="600"/>
              <w:jc w:val="center"/>
            </w:pPr>
            <w:r/>
            <w:r>
              <w:rPr>
                <w:rFonts w:ascii="仿宋_GB2312" w:hAnsi="仿宋_GB2312" w:eastAsia="仿宋_GB2312"/>
                <w:b w:val="0"/>
                <w:color w:val="000000"/>
                <w:sz w:val="32"/>
              </w:rPr>
              <w:t>62.2亿支</w:t>
            </w:r>
          </w:p>
        </w:tc>
        <w:tc>
          <w:tcPr>
            <w:tcW w:type="dxa" w:w="3685"/>
          </w:tcPr>
          <w:p>
            <w:pPr>
              <w:spacing w:lineRule="exact" w:line="600"/>
              <w:jc w:val="center"/>
            </w:pPr>
            <w:r/>
            <w:r>
              <w:rPr>
                <w:rFonts w:ascii="仿宋_GB2312" w:hAnsi="仿宋_GB2312" w:eastAsia="仿宋_GB2312"/>
                <w:b w:val="0"/>
                <w:color w:val="000000"/>
                <w:sz w:val="32"/>
              </w:rPr>
              <w:t>增量</w:t>
            </w:r>
          </w:p>
        </w:tc>
      </w:tr>
    </w:tbl>
    <w:p>
      <w:pPr>
        <w:spacing w:lineRule="exact" w:line="600" w:before="120" w:after="120"/>
        <w:ind w:firstLine="420"/>
        <w:jc w:val="left"/>
      </w:pPr>
      <w:r>
        <w:rPr>
          <w:rFonts w:ascii="楷体_GB2312" w:hAnsi="楷体_GB2312" w:eastAsia="楷体_GB2312"/>
          <w:b w:val="0"/>
          <w:color w:val="000000"/>
          <w:sz w:val="32"/>
        </w:rPr>
        <w:t>（二）需求结构与客户</w:t>
      </w:r>
    </w:p>
    <w:p>
      <w:pPr>
        <w:spacing w:lineRule="exact" w:line="600" w:before="0" w:after="0"/>
        <w:ind w:firstLine="420"/>
        <w:jc w:val="both"/>
      </w:pPr>
      <w:r>
        <w:rPr>
          <w:rFonts w:ascii="仿宋_GB2312" w:hAnsi="仿宋_GB2312" w:eastAsia="仿宋_GB2312"/>
          <w:b w:val="0"/>
          <w:color w:val="000000"/>
          <w:sz w:val="32"/>
        </w:rPr>
        <w:t>客户为制剂企业（新华制药、恒瑞、石药等）与疫苗、生物药企业。受益于集采与一致性评价，中硼硅包材需求提升（来源：申万研报）。棕色瓶出口占比高（来源：山东药玻年报）。医药物流需求随集采配送与终端扩容增长（来源：新华制药年报）。</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客户</w:t>
            </w:r>
          </w:p>
        </w:tc>
        <w:tc>
          <w:tcPr>
            <w:tcW w:type="dxa" w:w="3118"/>
          </w:tcPr>
          <w:p>
            <w:pPr>
              <w:spacing w:lineRule="exact" w:line="600"/>
              <w:jc w:val="center"/>
            </w:pPr>
            <w:r/>
            <w:r>
              <w:rPr>
                <w:rFonts w:ascii="黑体" w:hAnsi="黑体" w:eastAsia="黑体"/>
                <w:b/>
                <w:color w:val="000000"/>
                <w:sz w:val="32"/>
              </w:rPr>
              <w:t>需求</w:t>
            </w:r>
          </w:p>
        </w:tc>
        <w:tc>
          <w:tcPr>
            <w:tcW w:type="dxa" w:w="3685"/>
          </w:tcPr>
          <w:p>
            <w:pPr>
              <w:spacing w:lineRule="exact" w:line="600"/>
              <w:jc w:val="center"/>
            </w:pPr>
            <w:r/>
            <w:r>
              <w:rPr>
                <w:rFonts w:ascii="黑体" w:hAnsi="黑体" w:eastAsia="黑体"/>
                <w:b/>
                <w:color w:val="000000"/>
                <w:sz w:val="32"/>
              </w:rPr>
              <w:t>特征</w:t>
            </w:r>
          </w:p>
        </w:tc>
      </w:tr>
      <w:tr>
        <w:tc>
          <w:tcPr>
            <w:tcW w:type="dxa" w:w="1984"/>
          </w:tcPr>
          <w:p>
            <w:pPr>
              <w:spacing w:lineRule="exact" w:line="600"/>
              <w:jc w:val="center"/>
            </w:pPr>
            <w:r/>
            <w:r>
              <w:rPr>
                <w:rFonts w:ascii="仿宋_GB2312" w:hAnsi="仿宋_GB2312" w:eastAsia="仿宋_GB2312"/>
                <w:b w:val="0"/>
                <w:color w:val="000000"/>
                <w:sz w:val="32"/>
              </w:rPr>
              <w:t>制剂企业</w:t>
            </w:r>
          </w:p>
        </w:tc>
        <w:tc>
          <w:tcPr>
            <w:tcW w:type="dxa" w:w="3118"/>
          </w:tcPr>
          <w:p>
            <w:pPr>
              <w:spacing w:lineRule="exact" w:line="600"/>
              <w:jc w:val="center"/>
            </w:pPr>
            <w:r/>
            <w:r>
              <w:rPr>
                <w:rFonts w:ascii="仿宋_GB2312" w:hAnsi="仿宋_GB2312" w:eastAsia="仿宋_GB2312"/>
                <w:b w:val="0"/>
                <w:color w:val="000000"/>
                <w:sz w:val="32"/>
              </w:rPr>
              <w:t>模制/棕色瓶</w:t>
            </w:r>
          </w:p>
        </w:tc>
        <w:tc>
          <w:tcPr>
            <w:tcW w:type="dxa" w:w="3685"/>
          </w:tcPr>
          <w:p>
            <w:pPr>
              <w:spacing w:lineRule="exact" w:line="600"/>
              <w:jc w:val="center"/>
            </w:pPr>
            <w:r/>
            <w:r>
              <w:rPr>
                <w:rFonts w:ascii="仿宋_GB2312" w:hAnsi="仿宋_GB2312" w:eastAsia="仿宋_GB2312"/>
                <w:b w:val="0"/>
                <w:color w:val="000000"/>
                <w:sz w:val="32"/>
              </w:rPr>
              <w:t>集采配套</w:t>
            </w:r>
          </w:p>
        </w:tc>
      </w:tr>
      <w:tr>
        <w:tc>
          <w:tcPr>
            <w:tcW w:type="dxa" w:w="1984"/>
          </w:tcPr>
          <w:p>
            <w:pPr>
              <w:spacing w:lineRule="exact" w:line="600"/>
              <w:jc w:val="center"/>
            </w:pPr>
            <w:r/>
            <w:r>
              <w:rPr>
                <w:rFonts w:ascii="仿宋_GB2312" w:hAnsi="仿宋_GB2312" w:eastAsia="仿宋_GB2312"/>
                <w:b w:val="0"/>
                <w:color w:val="000000"/>
                <w:sz w:val="32"/>
              </w:rPr>
              <w:t>疫苗/生物</w:t>
            </w:r>
          </w:p>
        </w:tc>
        <w:tc>
          <w:tcPr>
            <w:tcW w:type="dxa" w:w="3118"/>
          </w:tcPr>
          <w:p>
            <w:pPr>
              <w:spacing w:lineRule="exact" w:line="600"/>
              <w:jc w:val="center"/>
            </w:pPr>
            <w:r/>
            <w:r>
              <w:rPr>
                <w:rFonts w:ascii="仿宋_GB2312" w:hAnsi="仿宋_GB2312" w:eastAsia="仿宋_GB2312"/>
                <w:b w:val="0"/>
                <w:color w:val="000000"/>
                <w:sz w:val="32"/>
              </w:rPr>
              <w:t>中硼硅</w:t>
            </w:r>
          </w:p>
        </w:tc>
        <w:tc>
          <w:tcPr>
            <w:tcW w:type="dxa" w:w="3685"/>
          </w:tcPr>
          <w:p>
            <w:pPr>
              <w:spacing w:lineRule="exact" w:line="600"/>
              <w:jc w:val="center"/>
            </w:pPr>
            <w:r/>
            <w:r>
              <w:rPr>
                <w:rFonts w:ascii="仿宋_GB2312" w:hAnsi="仿宋_GB2312" w:eastAsia="仿宋_GB2312"/>
                <w:b w:val="0"/>
                <w:color w:val="000000"/>
                <w:sz w:val="32"/>
              </w:rPr>
              <w:t>高端</w:t>
            </w:r>
          </w:p>
        </w:tc>
      </w:tr>
      <w:tr>
        <w:tc>
          <w:tcPr>
            <w:tcW w:type="dxa" w:w="1984"/>
          </w:tcPr>
          <w:p>
            <w:pPr>
              <w:spacing w:lineRule="exact" w:line="600"/>
              <w:jc w:val="center"/>
            </w:pPr>
            <w:r/>
            <w:r>
              <w:rPr>
                <w:rFonts w:ascii="仿宋_GB2312" w:hAnsi="仿宋_GB2312" w:eastAsia="仿宋_GB2312"/>
                <w:b w:val="0"/>
                <w:color w:val="000000"/>
                <w:sz w:val="32"/>
              </w:rPr>
              <w:t>出口</w:t>
            </w:r>
          </w:p>
        </w:tc>
        <w:tc>
          <w:tcPr>
            <w:tcW w:type="dxa" w:w="3118"/>
          </w:tcPr>
          <w:p>
            <w:pPr>
              <w:spacing w:lineRule="exact" w:line="600"/>
              <w:jc w:val="center"/>
            </w:pPr>
            <w:r/>
            <w:r>
              <w:rPr>
                <w:rFonts w:ascii="仿宋_GB2312" w:hAnsi="仿宋_GB2312" w:eastAsia="仿宋_GB2312"/>
                <w:b w:val="0"/>
                <w:color w:val="000000"/>
                <w:sz w:val="32"/>
              </w:rPr>
              <w:t>棕色瓶</w:t>
            </w:r>
          </w:p>
        </w:tc>
        <w:tc>
          <w:tcPr>
            <w:tcW w:type="dxa" w:w="3685"/>
          </w:tcPr>
          <w:p>
            <w:pPr>
              <w:spacing w:lineRule="exact" w:line="600"/>
              <w:jc w:val="center"/>
            </w:pPr>
            <w:r/>
            <w:r>
              <w:rPr>
                <w:rFonts w:ascii="仿宋_GB2312" w:hAnsi="仿宋_GB2312" w:eastAsia="仿宋_GB2312"/>
                <w:b w:val="0"/>
                <w:color w:val="000000"/>
                <w:sz w:val="32"/>
              </w:rPr>
              <w:t>海外</w:t>
            </w:r>
          </w:p>
        </w:tc>
      </w:tr>
      <w:tr>
        <w:tc>
          <w:tcPr>
            <w:tcW w:type="dxa" w:w="1984"/>
          </w:tcPr>
          <w:p>
            <w:pPr>
              <w:spacing w:lineRule="exact" w:line="600"/>
              <w:jc w:val="center"/>
            </w:pPr>
            <w:r/>
            <w:r>
              <w:rPr>
                <w:rFonts w:ascii="仿宋_GB2312" w:hAnsi="仿宋_GB2312" w:eastAsia="仿宋_GB2312"/>
                <w:b w:val="0"/>
                <w:color w:val="000000"/>
                <w:sz w:val="32"/>
              </w:rPr>
              <w:t>物流</w:t>
            </w:r>
          </w:p>
        </w:tc>
        <w:tc>
          <w:tcPr>
            <w:tcW w:type="dxa" w:w="3118"/>
          </w:tcPr>
          <w:p>
            <w:pPr>
              <w:spacing w:lineRule="exact" w:line="600"/>
              <w:jc w:val="center"/>
            </w:pPr>
            <w:r/>
            <w:r>
              <w:rPr>
                <w:rFonts w:ascii="仿宋_GB2312" w:hAnsi="仿宋_GB2312" w:eastAsia="仿宋_GB2312"/>
                <w:b w:val="0"/>
                <w:color w:val="000000"/>
                <w:sz w:val="32"/>
              </w:rPr>
              <w:t>配送</w:t>
            </w:r>
          </w:p>
        </w:tc>
        <w:tc>
          <w:tcPr>
            <w:tcW w:type="dxa" w:w="3685"/>
          </w:tcPr>
          <w:p>
            <w:pPr>
              <w:spacing w:lineRule="exact" w:line="600"/>
              <w:jc w:val="center"/>
            </w:pPr>
            <w:r/>
            <w:r>
              <w:rPr>
                <w:rFonts w:ascii="仿宋_GB2312" w:hAnsi="仿宋_GB2312" w:eastAsia="仿宋_GB2312"/>
                <w:b w:val="0"/>
                <w:color w:val="000000"/>
                <w:sz w:val="32"/>
              </w:rPr>
              <w:t>扩容</w:t>
            </w:r>
          </w:p>
        </w:tc>
      </w:tr>
    </w:tbl>
    <w:p>
      <w:pPr>
        <w:spacing w:lineRule="exact" w:line="600" w:before="120" w:after="120"/>
        <w:ind w:firstLine="420"/>
        <w:jc w:val="left"/>
      </w:pPr>
      <w:r>
        <w:rPr>
          <w:rFonts w:ascii="楷体_GB2312" w:hAnsi="楷体_GB2312" w:eastAsia="楷体_GB2312"/>
          <w:b w:val="0"/>
          <w:color w:val="000000"/>
          <w:sz w:val="32"/>
        </w:rPr>
        <w:t>（三）竞争格局</w:t>
      </w:r>
    </w:p>
    <w:p>
      <w:pPr>
        <w:spacing w:lineRule="exact" w:line="600" w:before="0" w:after="0"/>
        <w:ind w:firstLine="420"/>
        <w:jc w:val="both"/>
      </w:pPr>
      <w:r>
        <w:rPr>
          <w:rFonts w:ascii="仿宋_GB2312" w:hAnsi="仿宋_GB2312" w:eastAsia="仿宋_GB2312"/>
          <w:b w:val="0"/>
          <w:color w:val="000000"/>
          <w:sz w:val="32"/>
        </w:rPr>
        <w:t>药包材领域山东药玻模制瓶、棕色瓶市占领先，但面临正川股份、力诺特玻等竞争；中硼硅赛道因一致性评价扩容吸引新进入者。医药物流与商贸竞争充分（华润、国药等全国性流通商）。竞争焦点转向中硼硅渗透率、成本与质量一致性。</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环节</w:t>
            </w:r>
          </w:p>
        </w:tc>
        <w:tc>
          <w:tcPr>
            <w:tcW w:type="dxa" w:w="3402"/>
          </w:tcPr>
          <w:p>
            <w:pPr>
              <w:spacing w:lineRule="exact" w:line="600"/>
              <w:jc w:val="center"/>
            </w:pPr>
            <w:r/>
            <w:r>
              <w:rPr>
                <w:rFonts w:ascii="黑体" w:hAnsi="黑体" w:eastAsia="黑体"/>
                <w:b/>
                <w:color w:val="000000"/>
                <w:sz w:val="32"/>
              </w:rPr>
              <w:t>竞争</w:t>
            </w:r>
          </w:p>
        </w:tc>
        <w:tc>
          <w:tcPr>
            <w:tcW w:type="dxa" w:w="3685"/>
          </w:tcPr>
          <w:p>
            <w:pPr>
              <w:spacing w:lineRule="exact" w:line="600"/>
              <w:jc w:val="center"/>
            </w:pPr>
            <w:r/>
            <w:r>
              <w:rPr>
                <w:rFonts w:ascii="黑体" w:hAnsi="黑体" w:eastAsia="黑体"/>
                <w:b/>
                <w:color w:val="000000"/>
                <w:sz w:val="32"/>
              </w:rPr>
              <w:t>地位</w:t>
            </w:r>
          </w:p>
        </w:tc>
      </w:tr>
      <w:tr>
        <w:tc>
          <w:tcPr>
            <w:tcW w:type="dxa" w:w="1701"/>
          </w:tcPr>
          <w:p>
            <w:pPr>
              <w:spacing w:lineRule="exact" w:line="600"/>
              <w:jc w:val="center"/>
            </w:pPr>
            <w:r/>
            <w:r>
              <w:rPr>
                <w:rFonts w:ascii="仿宋_GB2312" w:hAnsi="仿宋_GB2312" w:eastAsia="仿宋_GB2312"/>
                <w:b w:val="0"/>
                <w:color w:val="000000"/>
                <w:sz w:val="32"/>
              </w:rPr>
              <w:t>模制瓶</w:t>
            </w:r>
          </w:p>
        </w:tc>
        <w:tc>
          <w:tcPr>
            <w:tcW w:type="dxa" w:w="3402"/>
          </w:tcPr>
          <w:p>
            <w:pPr>
              <w:spacing w:lineRule="exact" w:line="600"/>
              <w:jc w:val="center"/>
            </w:pPr>
            <w:r/>
            <w:r>
              <w:rPr>
                <w:rFonts w:ascii="仿宋_GB2312" w:hAnsi="仿宋_GB2312" w:eastAsia="仿宋_GB2312"/>
                <w:b w:val="0"/>
                <w:color w:val="000000"/>
                <w:sz w:val="32"/>
              </w:rPr>
              <w:t>药玻领先</w:t>
            </w:r>
          </w:p>
        </w:tc>
        <w:tc>
          <w:tcPr>
            <w:tcW w:type="dxa" w:w="3685"/>
          </w:tcPr>
          <w:p>
            <w:pPr>
              <w:spacing w:lineRule="exact" w:line="600"/>
              <w:jc w:val="center"/>
            </w:pPr>
            <w:r/>
            <w:r>
              <w:rPr>
                <w:rFonts w:ascii="仿宋_GB2312" w:hAnsi="仿宋_GB2312" w:eastAsia="仿宋_GB2312"/>
                <w:b w:val="0"/>
                <w:color w:val="000000"/>
                <w:sz w:val="32"/>
              </w:rPr>
              <w:t>龙头</w:t>
            </w:r>
          </w:p>
        </w:tc>
      </w:tr>
      <w:tr>
        <w:tc>
          <w:tcPr>
            <w:tcW w:type="dxa" w:w="1701"/>
          </w:tcPr>
          <w:p>
            <w:pPr>
              <w:spacing w:lineRule="exact" w:line="600"/>
              <w:jc w:val="center"/>
            </w:pPr>
            <w:r/>
            <w:r>
              <w:rPr>
                <w:rFonts w:ascii="仿宋_GB2312" w:hAnsi="仿宋_GB2312" w:eastAsia="仿宋_GB2312"/>
                <w:b w:val="0"/>
                <w:color w:val="000000"/>
                <w:sz w:val="32"/>
              </w:rPr>
              <w:t>中硼硅</w:t>
            </w:r>
          </w:p>
        </w:tc>
        <w:tc>
          <w:tcPr>
            <w:tcW w:type="dxa" w:w="3402"/>
          </w:tcPr>
          <w:p>
            <w:pPr>
              <w:spacing w:lineRule="exact" w:line="600"/>
              <w:jc w:val="center"/>
            </w:pPr>
            <w:r/>
            <w:r>
              <w:rPr>
                <w:rFonts w:ascii="仿宋_GB2312" w:hAnsi="仿宋_GB2312" w:eastAsia="仿宋_GB2312"/>
                <w:b w:val="0"/>
                <w:color w:val="000000"/>
                <w:sz w:val="32"/>
              </w:rPr>
              <w:t>新进入者</w:t>
            </w:r>
          </w:p>
        </w:tc>
        <w:tc>
          <w:tcPr>
            <w:tcW w:type="dxa" w:w="3685"/>
          </w:tcPr>
          <w:p>
            <w:pPr>
              <w:spacing w:lineRule="exact" w:line="600"/>
              <w:jc w:val="center"/>
            </w:pPr>
            <w:r/>
            <w:r>
              <w:rPr>
                <w:rFonts w:ascii="仿宋_GB2312" w:hAnsi="仿宋_GB2312" w:eastAsia="仿宋_GB2312"/>
                <w:b w:val="0"/>
                <w:color w:val="000000"/>
                <w:sz w:val="32"/>
              </w:rPr>
              <w:t>扩容</w:t>
            </w:r>
          </w:p>
        </w:tc>
      </w:tr>
      <w:tr>
        <w:tc>
          <w:tcPr>
            <w:tcW w:type="dxa" w:w="1701"/>
          </w:tcPr>
          <w:p>
            <w:pPr>
              <w:spacing w:lineRule="exact" w:line="600"/>
              <w:jc w:val="center"/>
            </w:pPr>
            <w:r/>
            <w:r>
              <w:rPr>
                <w:rFonts w:ascii="仿宋_GB2312" w:hAnsi="仿宋_GB2312" w:eastAsia="仿宋_GB2312"/>
                <w:b w:val="0"/>
                <w:color w:val="000000"/>
                <w:sz w:val="32"/>
              </w:rPr>
              <w:t>医药物流</w:t>
            </w:r>
          </w:p>
        </w:tc>
        <w:tc>
          <w:tcPr>
            <w:tcW w:type="dxa" w:w="3402"/>
          </w:tcPr>
          <w:p>
            <w:pPr>
              <w:spacing w:lineRule="exact" w:line="600"/>
              <w:jc w:val="center"/>
            </w:pPr>
            <w:r/>
            <w:r>
              <w:rPr>
                <w:rFonts w:ascii="仿宋_GB2312" w:hAnsi="仿宋_GB2312" w:eastAsia="仿宋_GB2312"/>
                <w:b w:val="0"/>
                <w:color w:val="000000"/>
                <w:sz w:val="32"/>
              </w:rPr>
              <w:t>华润/国药</w:t>
            </w:r>
          </w:p>
        </w:tc>
        <w:tc>
          <w:tcPr>
            <w:tcW w:type="dxa" w:w="3685"/>
          </w:tcPr>
          <w:p>
            <w:pPr>
              <w:spacing w:lineRule="exact" w:line="600"/>
              <w:jc w:val="center"/>
            </w:pPr>
            <w:r/>
            <w:r>
              <w:rPr>
                <w:rFonts w:ascii="仿宋_GB2312" w:hAnsi="仿宋_GB2312" w:eastAsia="仿宋_GB2312"/>
                <w:b w:val="0"/>
                <w:color w:val="000000"/>
                <w:sz w:val="32"/>
              </w:rPr>
              <w:t>全国竞争</w:t>
            </w:r>
          </w:p>
        </w:tc>
      </w:tr>
      <w:tr>
        <w:tc>
          <w:tcPr>
            <w:tcW w:type="dxa" w:w="1701"/>
          </w:tcPr>
          <w:p>
            <w:pPr>
              <w:spacing w:lineRule="exact" w:line="600"/>
              <w:jc w:val="center"/>
            </w:pPr>
            <w:r/>
            <w:r>
              <w:rPr>
                <w:rFonts w:ascii="仿宋_GB2312" w:hAnsi="仿宋_GB2312" w:eastAsia="仿宋_GB2312"/>
                <w:b w:val="0"/>
                <w:color w:val="000000"/>
                <w:sz w:val="32"/>
              </w:rPr>
              <w:t>棕色瓶</w:t>
            </w:r>
          </w:p>
        </w:tc>
        <w:tc>
          <w:tcPr>
            <w:tcW w:type="dxa" w:w="3402"/>
          </w:tcPr>
          <w:p>
            <w:pPr>
              <w:spacing w:lineRule="exact" w:line="600"/>
              <w:jc w:val="center"/>
            </w:pPr>
            <w:r/>
            <w:r>
              <w:rPr>
                <w:rFonts w:ascii="仿宋_GB2312" w:hAnsi="仿宋_GB2312" w:eastAsia="仿宋_GB2312"/>
                <w:b w:val="0"/>
                <w:color w:val="000000"/>
                <w:sz w:val="32"/>
              </w:rPr>
              <w:t>出口竞争</w:t>
            </w:r>
          </w:p>
        </w:tc>
        <w:tc>
          <w:tcPr>
            <w:tcW w:type="dxa" w:w="3685"/>
          </w:tcPr>
          <w:p>
            <w:pPr>
              <w:spacing w:lineRule="exact" w:line="600"/>
              <w:jc w:val="center"/>
            </w:pPr>
            <w:r/>
            <w:r>
              <w:rPr>
                <w:rFonts w:ascii="仿宋_GB2312" w:hAnsi="仿宋_GB2312" w:eastAsia="仿宋_GB2312"/>
                <w:b w:val="0"/>
                <w:color w:val="000000"/>
                <w:sz w:val="32"/>
              </w:rPr>
              <w:t>强</w:t>
            </w:r>
          </w:p>
        </w:tc>
      </w:tr>
    </w:tbl>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120" w:after="120"/>
        <w:ind w:firstLine="420"/>
        <w:jc w:val="left"/>
      </w:pPr>
      <w:r>
        <w:rPr>
          <w:rFonts w:ascii="楷体_GB2312" w:hAnsi="楷体_GB2312" w:eastAsia="楷体_GB2312"/>
          <w:b w:val="0"/>
          <w:color w:val="000000"/>
          <w:sz w:val="32"/>
        </w:rPr>
        <w:t>（一）集群规模与配套</w:t>
      </w:r>
    </w:p>
    <w:p>
      <w:pPr>
        <w:spacing w:lineRule="exact" w:line="600" w:before="0" w:after="0"/>
        <w:ind w:firstLine="420"/>
        <w:jc w:val="both"/>
      </w:pPr>
      <w:r>
        <w:rPr>
          <w:rFonts w:ascii="仿宋_GB2312" w:hAnsi="仿宋_GB2312" w:eastAsia="仿宋_GB2312"/>
          <w:b w:val="0"/>
          <w:color w:val="000000"/>
          <w:sz w:val="32"/>
        </w:rPr>
        <w:t>淄博高新区大健康产业集聚企业130家、高企65家，医药包装与流通是体系关键环节（来源：淄博高新区官网，2023）。山东药玻作为淄博市药包材链主，与高新区新华制药等制剂企业形成「包装—制剂」配套协同（来源：山东药玻年报、淄博高新区）。园区综合竞争力全国第27位（来源：淄博高新区）。</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指标</w:t>
            </w:r>
          </w:p>
        </w:tc>
        <w:tc>
          <w:tcPr>
            <w:tcW w:type="dxa" w:w="3118"/>
          </w:tcPr>
          <w:p>
            <w:pPr>
              <w:spacing w:lineRule="exact" w:line="600"/>
              <w:jc w:val="center"/>
            </w:pPr>
            <w:r/>
            <w:r>
              <w:rPr>
                <w:rFonts w:ascii="黑体" w:hAnsi="黑体" w:eastAsia="黑体"/>
                <w:b/>
                <w:color w:val="000000"/>
                <w:sz w:val="32"/>
              </w:rPr>
              <w:t>数值</w:t>
            </w:r>
          </w:p>
        </w:tc>
        <w:tc>
          <w:tcPr>
            <w:tcW w:type="dxa" w:w="3685"/>
          </w:tcPr>
          <w:p>
            <w:pPr>
              <w:spacing w:lineRule="exact" w:line="600"/>
              <w:jc w:val="center"/>
            </w:pPr>
            <w:r/>
            <w:r>
              <w:rPr>
                <w:rFonts w:ascii="黑体" w:hAnsi="黑体" w:eastAsia="黑体"/>
                <w:b/>
                <w:color w:val="000000"/>
                <w:sz w:val="32"/>
              </w:rPr>
              <w:t>来源</w:t>
            </w:r>
          </w:p>
        </w:tc>
      </w:tr>
      <w:tr>
        <w:tc>
          <w:tcPr>
            <w:tcW w:type="dxa" w:w="1984"/>
          </w:tcPr>
          <w:p>
            <w:pPr>
              <w:spacing w:lineRule="exact" w:line="600"/>
              <w:jc w:val="center"/>
            </w:pPr>
            <w:r/>
            <w:r>
              <w:rPr>
                <w:rFonts w:ascii="仿宋_GB2312" w:hAnsi="仿宋_GB2312" w:eastAsia="仿宋_GB2312"/>
                <w:b w:val="0"/>
                <w:color w:val="000000"/>
                <w:sz w:val="32"/>
              </w:rPr>
              <w:t>集聚企业</w:t>
            </w:r>
          </w:p>
        </w:tc>
        <w:tc>
          <w:tcPr>
            <w:tcW w:type="dxa" w:w="3118"/>
          </w:tcPr>
          <w:p>
            <w:pPr>
              <w:spacing w:lineRule="exact" w:line="600"/>
              <w:jc w:val="center"/>
            </w:pPr>
            <w:r/>
            <w:r>
              <w:rPr>
                <w:rFonts w:ascii="仿宋_GB2312" w:hAnsi="仿宋_GB2312" w:eastAsia="仿宋_GB2312"/>
                <w:b w:val="0"/>
                <w:color w:val="000000"/>
                <w:sz w:val="32"/>
              </w:rPr>
              <w:t>130家</w:t>
            </w:r>
          </w:p>
        </w:tc>
        <w:tc>
          <w:tcPr>
            <w:tcW w:type="dxa" w:w="3685"/>
          </w:tcPr>
          <w:p>
            <w:pPr>
              <w:spacing w:lineRule="exact" w:line="600"/>
              <w:jc w:val="center"/>
            </w:pPr>
            <w:r/>
            <w:r>
              <w:rPr>
                <w:rFonts w:ascii="仿宋_GB2312" w:hAnsi="仿宋_GB2312" w:eastAsia="仿宋_GB2312"/>
                <w:b w:val="0"/>
                <w:color w:val="000000"/>
                <w:sz w:val="32"/>
              </w:rPr>
              <w:t>高新区，2023</w:t>
            </w:r>
          </w:p>
        </w:tc>
      </w:tr>
      <w:tr>
        <w:tc>
          <w:tcPr>
            <w:tcW w:type="dxa" w:w="1984"/>
          </w:tcPr>
          <w:p>
            <w:pPr>
              <w:spacing w:lineRule="exact" w:line="600"/>
              <w:jc w:val="center"/>
            </w:pPr>
            <w:r/>
            <w:r>
              <w:rPr>
                <w:rFonts w:ascii="仿宋_GB2312" w:hAnsi="仿宋_GB2312" w:eastAsia="仿宋_GB2312"/>
                <w:b w:val="0"/>
                <w:color w:val="000000"/>
                <w:sz w:val="32"/>
              </w:rPr>
              <w:t>高新技术企业</w:t>
            </w:r>
          </w:p>
        </w:tc>
        <w:tc>
          <w:tcPr>
            <w:tcW w:type="dxa" w:w="3118"/>
          </w:tcPr>
          <w:p>
            <w:pPr>
              <w:spacing w:lineRule="exact" w:line="600"/>
              <w:jc w:val="center"/>
            </w:pPr>
            <w:r/>
            <w:r>
              <w:rPr>
                <w:rFonts w:ascii="仿宋_GB2312" w:hAnsi="仿宋_GB2312" w:eastAsia="仿宋_GB2312"/>
                <w:b w:val="0"/>
                <w:color w:val="000000"/>
                <w:sz w:val="32"/>
              </w:rPr>
              <w:t>65家</w:t>
            </w:r>
          </w:p>
        </w:tc>
        <w:tc>
          <w:tcPr>
            <w:tcW w:type="dxa" w:w="3685"/>
          </w:tcPr>
          <w:p>
            <w:pPr>
              <w:spacing w:lineRule="exact" w:line="600"/>
              <w:jc w:val="center"/>
            </w:pPr>
            <w:r/>
            <w:r>
              <w:rPr>
                <w:rFonts w:ascii="仿宋_GB2312" w:hAnsi="仿宋_GB2312" w:eastAsia="仿宋_GB2312"/>
                <w:b w:val="0"/>
                <w:color w:val="000000"/>
                <w:sz w:val="32"/>
              </w:rPr>
              <w:t>高新区，2023</w:t>
            </w:r>
          </w:p>
        </w:tc>
      </w:tr>
      <w:tr>
        <w:tc>
          <w:tcPr>
            <w:tcW w:type="dxa" w:w="1984"/>
          </w:tcPr>
          <w:p>
            <w:pPr>
              <w:spacing w:lineRule="exact" w:line="600"/>
              <w:jc w:val="center"/>
            </w:pPr>
            <w:r/>
            <w:r>
              <w:rPr>
                <w:rFonts w:ascii="仿宋_GB2312" w:hAnsi="仿宋_GB2312" w:eastAsia="仿宋_GB2312"/>
                <w:b w:val="0"/>
                <w:color w:val="000000"/>
                <w:sz w:val="32"/>
              </w:rPr>
              <w:t>大健康营收</w:t>
            </w:r>
          </w:p>
        </w:tc>
        <w:tc>
          <w:tcPr>
            <w:tcW w:type="dxa" w:w="3118"/>
          </w:tcPr>
          <w:p>
            <w:pPr>
              <w:spacing w:lineRule="exact" w:line="600"/>
              <w:jc w:val="center"/>
            </w:pPr>
            <w:r/>
            <w:r>
              <w:rPr>
                <w:rFonts w:ascii="仿宋_GB2312" w:hAnsi="仿宋_GB2312" w:eastAsia="仿宋_GB2312"/>
                <w:b w:val="0"/>
                <w:color w:val="000000"/>
                <w:sz w:val="32"/>
              </w:rPr>
              <w:t>186亿元</w:t>
            </w:r>
          </w:p>
        </w:tc>
        <w:tc>
          <w:tcPr>
            <w:tcW w:type="dxa" w:w="3685"/>
          </w:tcPr>
          <w:p>
            <w:pPr>
              <w:spacing w:lineRule="exact" w:line="600"/>
              <w:jc w:val="center"/>
            </w:pPr>
            <w:r/>
            <w:r>
              <w:rPr>
                <w:rFonts w:ascii="仿宋_GB2312" w:hAnsi="仿宋_GB2312" w:eastAsia="仿宋_GB2312"/>
                <w:b w:val="0"/>
                <w:color w:val="000000"/>
                <w:sz w:val="32"/>
              </w:rPr>
              <w:t>市政府，2024</w:t>
            </w:r>
          </w:p>
        </w:tc>
      </w:tr>
      <w:tr>
        <w:tc>
          <w:tcPr>
            <w:tcW w:type="dxa" w:w="1984"/>
          </w:tcPr>
          <w:p>
            <w:pPr>
              <w:spacing w:lineRule="exact" w:line="600"/>
              <w:jc w:val="center"/>
            </w:pPr>
            <w:r/>
            <w:r>
              <w:rPr>
                <w:rFonts w:ascii="仿宋_GB2312" w:hAnsi="仿宋_GB2312" w:eastAsia="仿宋_GB2312"/>
                <w:b w:val="0"/>
                <w:color w:val="000000"/>
                <w:sz w:val="32"/>
              </w:rPr>
              <w:t>药包材</w:t>
            </w:r>
          </w:p>
        </w:tc>
        <w:tc>
          <w:tcPr>
            <w:tcW w:type="dxa" w:w="3118"/>
          </w:tcPr>
          <w:p>
            <w:pPr>
              <w:spacing w:lineRule="exact" w:line="600"/>
              <w:jc w:val="center"/>
            </w:pPr>
            <w:r/>
            <w:r>
              <w:rPr>
                <w:rFonts w:ascii="仿宋_GB2312" w:hAnsi="仿宋_GB2312" w:eastAsia="仿宋_GB2312"/>
                <w:b w:val="0"/>
                <w:color w:val="000000"/>
                <w:sz w:val="32"/>
              </w:rPr>
              <w:t>药玻链主</w:t>
            </w:r>
          </w:p>
        </w:tc>
        <w:tc>
          <w:tcPr>
            <w:tcW w:type="dxa" w:w="3685"/>
          </w:tcPr>
          <w:p>
            <w:pPr>
              <w:spacing w:lineRule="exact" w:line="600"/>
              <w:jc w:val="center"/>
            </w:pPr>
            <w:r/>
            <w:r>
              <w:rPr>
                <w:rFonts w:ascii="仿宋_GB2312" w:hAnsi="仿宋_GB2312" w:eastAsia="仿宋_GB2312"/>
                <w:b w:val="0"/>
                <w:color w:val="000000"/>
                <w:sz w:val="32"/>
              </w:rPr>
              <w:t>协同</w:t>
            </w:r>
          </w:p>
        </w:tc>
      </w:tr>
    </w:tbl>
    <w:p>
      <w:pPr>
        <w:spacing w:lineRule="exact" w:line="600" w:before="120" w:after="120"/>
        <w:ind w:firstLine="420"/>
        <w:jc w:val="left"/>
      </w:pPr>
      <w:r>
        <w:rPr>
          <w:rFonts w:ascii="楷体_GB2312" w:hAnsi="楷体_GB2312" w:eastAsia="楷体_GB2312"/>
          <w:b w:val="0"/>
          <w:color w:val="000000"/>
          <w:sz w:val="32"/>
        </w:rPr>
        <w:t>（二）链主与龙头</w:t>
      </w:r>
    </w:p>
    <w:p>
      <w:pPr>
        <w:spacing w:lineRule="exact" w:line="600" w:before="0" w:after="0"/>
        <w:ind w:firstLine="420"/>
        <w:jc w:val="both"/>
      </w:pPr>
      <w:r>
        <w:rPr>
          <w:rFonts w:ascii="仿宋_GB2312" w:hAnsi="仿宋_GB2312" w:eastAsia="仿宋_GB2312"/>
          <w:b w:val="0"/>
          <w:color w:val="000000"/>
          <w:sz w:val="32"/>
        </w:rPr>
        <w:t>医药包装链主为山东药玻；流通服务由新华制药（现代医药物流）、新华医疗（医疗商贸31.25亿元）支撑（来源：山东药玻年报、新华制药/新华医疗年报）。山东药玻2024年归母净利9.43亿元、分红率43.6%（来源：申万研报），盈利质量优良，是集群「现金牛」。</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链主/龙头</w:t>
            </w:r>
          </w:p>
        </w:tc>
        <w:tc>
          <w:tcPr>
            <w:tcW w:type="dxa" w:w="3402"/>
          </w:tcPr>
          <w:p>
            <w:pPr>
              <w:spacing w:lineRule="exact" w:line="600"/>
              <w:jc w:val="center"/>
            </w:pPr>
            <w:r/>
            <w:r>
              <w:rPr>
                <w:rFonts w:ascii="黑体" w:hAnsi="黑体" w:eastAsia="黑体"/>
                <w:b/>
                <w:color w:val="000000"/>
                <w:sz w:val="32"/>
              </w:rPr>
              <w:t>角色</w:t>
            </w:r>
          </w:p>
        </w:tc>
        <w:tc>
          <w:tcPr>
            <w:tcW w:type="dxa" w:w="3685"/>
          </w:tcPr>
          <w:p>
            <w:pPr>
              <w:spacing w:lineRule="exact" w:line="600"/>
              <w:jc w:val="center"/>
            </w:pPr>
            <w:r/>
            <w:r>
              <w:rPr>
                <w:rFonts w:ascii="黑体" w:hAnsi="黑体" w:eastAsia="黑体"/>
                <w:b/>
                <w:color w:val="000000"/>
                <w:sz w:val="32"/>
              </w:rPr>
              <w:t>规模</w:t>
            </w:r>
          </w:p>
        </w:tc>
      </w:tr>
      <w:tr>
        <w:tc>
          <w:tcPr>
            <w:tcW w:type="dxa" w:w="1701"/>
          </w:tcPr>
          <w:p>
            <w:pPr>
              <w:spacing w:lineRule="exact" w:line="600"/>
              <w:jc w:val="center"/>
            </w:pPr>
            <w:r/>
            <w:r>
              <w:rPr>
                <w:rFonts w:ascii="仿宋_GB2312" w:hAnsi="仿宋_GB2312" w:eastAsia="仿宋_GB2312"/>
                <w:b w:val="0"/>
                <w:color w:val="000000"/>
                <w:sz w:val="32"/>
              </w:rPr>
              <w:t>山东药玻</w:t>
            </w:r>
          </w:p>
        </w:tc>
        <w:tc>
          <w:tcPr>
            <w:tcW w:type="dxa" w:w="3402"/>
          </w:tcPr>
          <w:p>
            <w:pPr>
              <w:spacing w:lineRule="exact" w:line="600"/>
              <w:jc w:val="center"/>
            </w:pPr>
            <w:r/>
            <w:r>
              <w:rPr>
                <w:rFonts w:ascii="仿宋_GB2312" w:hAnsi="仿宋_GB2312" w:eastAsia="仿宋_GB2312"/>
                <w:b w:val="0"/>
                <w:color w:val="000000"/>
                <w:sz w:val="32"/>
              </w:rPr>
              <w:t>包材链主</w:t>
            </w:r>
          </w:p>
        </w:tc>
        <w:tc>
          <w:tcPr>
            <w:tcW w:type="dxa" w:w="3685"/>
          </w:tcPr>
          <w:p>
            <w:pPr>
              <w:spacing w:lineRule="exact" w:line="600"/>
              <w:jc w:val="center"/>
            </w:pPr>
            <w:r/>
            <w:r>
              <w:rPr>
                <w:rFonts w:ascii="仿宋_GB2312" w:hAnsi="仿宋_GB2312" w:eastAsia="仿宋_GB2312"/>
                <w:b w:val="0"/>
                <w:color w:val="000000"/>
                <w:sz w:val="32"/>
              </w:rPr>
              <w:t>51.25亿营收</w:t>
            </w:r>
          </w:p>
        </w:tc>
      </w:tr>
      <w:tr>
        <w:tc>
          <w:tcPr>
            <w:tcW w:type="dxa" w:w="1701"/>
          </w:tcPr>
          <w:p>
            <w:pPr>
              <w:spacing w:lineRule="exact" w:line="600"/>
              <w:jc w:val="center"/>
            </w:pPr>
            <w:r/>
            <w:r>
              <w:rPr>
                <w:rFonts w:ascii="仿宋_GB2312" w:hAnsi="仿宋_GB2312" w:eastAsia="仿宋_GB2312"/>
                <w:b w:val="0"/>
                <w:color w:val="000000"/>
                <w:sz w:val="32"/>
              </w:rPr>
              <w:t>新华制药</w:t>
            </w:r>
          </w:p>
        </w:tc>
        <w:tc>
          <w:tcPr>
            <w:tcW w:type="dxa" w:w="3402"/>
          </w:tcPr>
          <w:p>
            <w:pPr>
              <w:spacing w:lineRule="exact" w:line="600"/>
              <w:jc w:val="center"/>
            </w:pPr>
            <w:r/>
            <w:r>
              <w:rPr>
                <w:rFonts w:ascii="仿宋_GB2312" w:hAnsi="仿宋_GB2312" w:eastAsia="仿宋_GB2312"/>
                <w:b w:val="0"/>
                <w:color w:val="000000"/>
                <w:sz w:val="32"/>
              </w:rPr>
              <w:t>医药物流</w:t>
            </w:r>
          </w:p>
        </w:tc>
        <w:tc>
          <w:tcPr>
            <w:tcW w:type="dxa" w:w="3685"/>
          </w:tcPr>
          <w:p>
            <w:pPr>
              <w:spacing w:lineRule="exact" w:line="600"/>
              <w:jc w:val="center"/>
            </w:pPr>
            <w:r/>
            <w:r>
              <w:rPr>
                <w:rFonts w:ascii="仿宋_GB2312" w:hAnsi="仿宋_GB2312" w:eastAsia="仿宋_GB2312"/>
                <w:b w:val="0"/>
                <w:color w:val="000000"/>
                <w:sz w:val="32"/>
              </w:rPr>
              <w:t>现代项目</w:t>
            </w:r>
          </w:p>
        </w:tc>
      </w:tr>
      <w:tr>
        <w:tc>
          <w:tcPr>
            <w:tcW w:type="dxa" w:w="1701"/>
          </w:tcPr>
          <w:p>
            <w:pPr>
              <w:spacing w:lineRule="exact" w:line="600"/>
              <w:jc w:val="center"/>
            </w:pPr>
            <w:r/>
            <w:r>
              <w:rPr>
                <w:rFonts w:ascii="仿宋_GB2312" w:hAnsi="仿宋_GB2312" w:eastAsia="仿宋_GB2312"/>
                <w:b w:val="0"/>
                <w:color w:val="000000"/>
                <w:sz w:val="32"/>
              </w:rPr>
              <w:t>新华医疗</w:t>
            </w:r>
          </w:p>
        </w:tc>
        <w:tc>
          <w:tcPr>
            <w:tcW w:type="dxa" w:w="3402"/>
          </w:tcPr>
          <w:p>
            <w:pPr>
              <w:spacing w:lineRule="exact" w:line="600"/>
              <w:jc w:val="center"/>
            </w:pPr>
            <w:r/>
            <w:r>
              <w:rPr>
                <w:rFonts w:ascii="仿宋_GB2312" w:hAnsi="仿宋_GB2312" w:eastAsia="仿宋_GB2312"/>
                <w:b w:val="0"/>
                <w:color w:val="000000"/>
                <w:sz w:val="32"/>
              </w:rPr>
              <w:t>医疗商贸</w:t>
            </w:r>
          </w:p>
        </w:tc>
        <w:tc>
          <w:tcPr>
            <w:tcW w:type="dxa" w:w="3685"/>
          </w:tcPr>
          <w:p>
            <w:pPr>
              <w:spacing w:lineRule="exact" w:line="600"/>
              <w:jc w:val="center"/>
            </w:pPr>
            <w:r/>
            <w:r>
              <w:rPr>
                <w:rFonts w:ascii="仿宋_GB2312" w:hAnsi="仿宋_GB2312" w:eastAsia="仿宋_GB2312"/>
                <w:b w:val="0"/>
                <w:color w:val="000000"/>
                <w:sz w:val="32"/>
              </w:rPr>
              <w:t>31.25亿</w:t>
            </w:r>
          </w:p>
        </w:tc>
      </w:tr>
      <w:tr>
        <w:tc>
          <w:tcPr>
            <w:tcW w:type="dxa" w:w="1701"/>
          </w:tcPr>
          <w:p>
            <w:pPr>
              <w:spacing w:lineRule="exact" w:line="600"/>
              <w:jc w:val="center"/>
            </w:pPr>
            <w:r/>
            <w:r>
              <w:rPr>
                <w:rFonts w:ascii="仿宋_GB2312" w:hAnsi="仿宋_GB2312" w:eastAsia="仿宋_GB2312"/>
                <w:b w:val="0"/>
                <w:color w:val="000000"/>
                <w:sz w:val="32"/>
              </w:rPr>
              <w:t>分红率</w:t>
            </w:r>
          </w:p>
        </w:tc>
        <w:tc>
          <w:tcPr>
            <w:tcW w:type="dxa" w:w="3402"/>
          </w:tcPr>
          <w:p>
            <w:pPr>
              <w:spacing w:lineRule="exact" w:line="600"/>
              <w:jc w:val="center"/>
            </w:pPr>
            <w:r/>
            <w:r>
              <w:rPr>
                <w:rFonts w:ascii="仿宋_GB2312" w:hAnsi="仿宋_GB2312" w:eastAsia="仿宋_GB2312"/>
                <w:b w:val="0"/>
                <w:color w:val="000000"/>
                <w:sz w:val="32"/>
              </w:rPr>
              <w:t>药玻43.6%</w:t>
            </w:r>
          </w:p>
        </w:tc>
        <w:tc>
          <w:tcPr>
            <w:tcW w:type="dxa" w:w="3685"/>
          </w:tcPr>
          <w:p>
            <w:pPr>
              <w:spacing w:lineRule="exact" w:line="600"/>
              <w:jc w:val="center"/>
            </w:pPr>
            <w:r/>
            <w:r>
              <w:rPr>
                <w:rFonts w:ascii="仿宋_GB2312" w:hAnsi="仿宋_GB2312" w:eastAsia="仿宋_GB2312"/>
                <w:b w:val="0"/>
                <w:color w:val="000000"/>
                <w:sz w:val="32"/>
              </w:rPr>
              <w:t>优质</w:t>
            </w:r>
          </w:p>
        </w:tc>
      </w:tr>
    </w:tbl>
    <w:p>
      <w:pPr>
        <w:spacing w:lineRule="exact" w:line="600" w:before="120" w:after="120"/>
        <w:ind w:firstLine="420"/>
        <w:jc w:val="left"/>
      </w:pPr>
      <w:r>
        <w:rPr>
          <w:rFonts w:ascii="楷体_GB2312" w:hAnsi="楷体_GB2312" w:eastAsia="楷体_GB2312"/>
          <w:b w:val="0"/>
          <w:color w:val="000000"/>
          <w:sz w:val="32"/>
        </w:rPr>
        <w:t>（三）中小企业与配套</w:t>
      </w:r>
    </w:p>
    <w:p>
      <w:pPr>
        <w:spacing w:lineRule="exact" w:line="600" w:before="0" w:after="0"/>
        <w:ind w:firstLine="420"/>
        <w:jc w:val="both"/>
      </w:pPr>
      <w:r>
        <w:rPr>
          <w:rFonts w:ascii="仿宋_GB2312" w:hAnsi="仿宋_GB2312" w:eastAsia="仿宋_GB2312"/>
          <w:b w:val="0"/>
          <w:color w:val="000000"/>
          <w:sz w:val="32"/>
        </w:rPr>
        <w:t>医药包材中小配套企业与流通服务商环绕链主，形成弹性供给；高新区CRO服务、医药国际合作中心等平台完善服务体系（来源：淄博高新区官网）。中小企业在铝塑盖、管制瓶等细分补充供给。</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中小主体</w:t>
            </w:r>
          </w:p>
        </w:tc>
        <w:tc>
          <w:tcPr>
            <w:tcW w:type="dxa" w:w="3402"/>
          </w:tcPr>
          <w:p>
            <w:pPr>
              <w:spacing w:lineRule="exact" w:line="600"/>
              <w:jc w:val="center"/>
            </w:pPr>
            <w:r/>
            <w:r>
              <w:rPr>
                <w:rFonts w:ascii="黑体" w:hAnsi="黑体" w:eastAsia="黑体"/>
                <w:b/>
                <w:color w:val="000000"/>
                <w:sz w:val="32"/>
              </w:rPr>
              <w:t>环节</w:t>
            </w:r>
          </w:p>
        </w:tc>
        <w:tc>
          <w:tcPr>
            <w:tcW w:type="dxa" w:w="3685"/>
          </w:tcPr>
          <w:p>
            <w:pPr>
              <w:spacing w:lineRule="exact" w:line="600"/>
              <w:jc w:val="center"/>
            </w:pPr>
            <w:r/>
            <w:r>
              <w:rPr>
                <w:rFonts w:ascii="黑体" w:hAnsi="黑体" w:eastAsia="黑体"/>
                <w:b/>
                <w:color w:val="000000"/>
                <w:sz w:val="32"/>
              </w:rPr>
              <w:t>功能</w:t>
            </w:r>
          </w:p>
        </w:tc>
      </w:tr>
      <w:tr>
        <w:tc>
          <w:tcPr>
            <w:tcW w:type="dxa" w:w="1701"/>
          </w:tcPr>
          <w:p>
            <w:pPr>
              <w:spacing w:lineRule="exact" w:line="600"/>
              <w:jc w:val="center"/>
            </w:pPr>
            <w:r/>
            <w:r>
              <w:rPr>
                <w:rFonts w:ascii="仿宋_GB2312" w:hAnsi="仿宋_GB2312" w:eastAsia="仿宋_GB2312"/>
                <w:b w:val="0"/>
                <w:color w:val="000000"/>
                <w:sz w:val="32"/>
              </w:rPr>
              <w:t>铝塑盖企业</w:t>
            </w:r>
          </w:p>
        </w:tc>
        <w:tc>
          <w:tcPr>
            <w:tcW w:type="dxa" w:w="3402"/>
          </w:tcPr>
          <w:p>
            <w:pPr>
              <w:spacing w:lineRule="exact" w:line="600"/>
              <w:jc w:val="center"/>
            </w:pPr>
            <w:r/>
            <w:r>
              <w:rPr>
                <w:rFonts w:ascii="仿宋_GB2312" w:hAnsi="仿宋_GB2312" w:eastAsia="仿宋_GB2312"/>
                <w:b w:val="0"/>
                <w:color w:val="000000"/>
                <w:sz w:val="32"/>
              </w:rPr>
              <w:t>包材补充</w:t>
            </w:r>
          </w:p>
        </w:tc>
        <w:tc>
          <w:tcPr>
            <w:tcW w:type="dxa" w:w="3685"/>
          </w:tcPr>
          <w:p>
            <w:pPr>
              <w:spacing w:lineRule="exact" w:line="600"/>
              <w:jc w:val="center"/>
            </w:pPr>
            <w:r/>
            <w:r>
              <w:rPr>
                <w:rFonts w:ascii="仿宋_GB2312" w:hAnsi="仿宋_GB2312" w:eastAsia="仿宋_GB2312"/>
                <w:b w:val="0"/>
                <w:color w:val="000000"/>
                <w:sz w:val="32"/>
              </w:rPr>
              <w:t>细分</w:t>
            </w:r>
          </w:p>
        </w:tc>
      </w:tr>
      <w:tr>
        <w:tc>
          <w:tcPr>
            <w:tcW w:type="dxa" w:w="1701"/>
          </w:tcPr>
          <w:p>
            <w:pPr>
              <w:spacing w:lineRule="exact" w:line="600"/>
              <w:jc w:val="center"/>
            </w:pPr>
            <w:r/>
            <w:r>
              <w:rPr>
                <w:rFonts w:ascii="仿宋_GB2312" w:hAnsi="仿宋_GB2312" w:eastAsia="仿宋_GB2312"/>
                <w:b w:val="0"/>
                <w:color w:val="000000"/>
                <w:sz w:val="32"/>
              </w:rPr>
              <w:t>CRO平台</w:t>
            </w:r>
          </w:p>
        </w:tc>
        <w:tc>
          <w:tcPr>
            <w:tcW w:type="dxa" w:w="3402"/>
          </w:tcPr>
          <w:p>
            <w:pPr>
              <w:spacing w:lineRule="exact" w:line="600"/>
              <w:jc w:val="center"/>
            </w:pPr>
            <w:r/>
            <w:r>
              <w:rPr>
                <w:rFonts w:ascii="仿宋_GB2312" w:hAnsi="仿宋_GB2312" w:eastAsia="仿宋_GB2312"/>
                <w:b w:val="0"/>
                <w:color w:val="000000"/>
                <w:sz w:val="32"/>
              </w:rPr>
              <w:t>研发服务</w:t>
            </w:r>
          </w:p>
        </w:tc>
        <w:tc>
          <w:tcPr>
            <w:tcW w:type="dxa" w:w="3685"/>
          </w:tcPr>
          <w:p>
            <w:pPr>
              <w:spacing w:lineRule="exact" w:line="600"/>
              <w:jc w:val="center"/>
            </w:pPr>
            <w:r/>
            <w:r>
              <w:rPr>
                <w:rFonts w:ascii="仿宋_GB2312" w:hAnsi="仿宋_GB2312" w:eastAsia="仿宋_GB2312"/>
                <w:b w:val="0"/>
                <w:color w:val="000000"/>
                <w:sz w:val="32"/>
              </w:rPr>
              <w:t>配套</w:t>
            </w:r>
          </w:p>
        </w:tc>
      </w:tr>
      <w:tr>
        <w:tc>
          <w:tcPr>
            <w:tcW w:type="dxa" w:w="1701"/>
          </w:tcPr>
          <w:p>
            <w:pPr>
              <w:spacing w:lineRule="exact" w:line="600"/>
              <w:jc w:val="center"/>
            </w:pPr>
            <w:r/>
            <w:r>
              <w:rPr>
                <w:rFonts w:ascii="仿宋_GB2312" w:hAnsi="仿宋_GB2312" w:eastAsia="仿宋_GB2312"/>
                <w:b w:val="0"/>
                <w:color w:val="000000"/>
                <w:sz w:val="32"/>
              </w:rPr>
              <w:t>物流商</w:t>
            </w:r>
          </w:p>
        </w:tc>
        <w:tc>
          <w:tcPr>
            <w:tcW w:type="dxa" w:w="3402"/>
          </w:tcPr>
          <w:p>
            <w:pPr>
              <w:spacing w:lineRule="exact" w:line="600"/>
              <w:jc w:val="center"/>
            </w:pPr>
            <w:r/>
            <w:r>
              <w:rPr>
                <w:rFonts w:ascii="仿宋_GB2312" w:hAnsi="仿宋_GB2312" w:eastAsia="仿宋_GB2312"/>
                <w:b w:val="0"/>
                <w:color w:val="000000"/>
                <w:sz w:val="32"/>
              </w:rPr>
              <w:t>配送</w:t>
            </w:r>
          </w:p>
        </w:tc>
        <w:tc>
          <w:tcPr>
            <w:tcW w:type="dxa" w:w="3685"/>
          </w:tcPr>
          <w:p>
            <w:pPr>
              <w:spacing w:lineRule="exact" w:line="600"/>
              <w:jc w:val="center"/>
            </w:pPr>
            <w:r/>
            <w:r>
              <w:rPr>
                <w:rFonts w:ascii="仿宋_GB2312" w:hAnsi="仿宋_GB2312" w:eastAsia="仿宋_GB2312"/>
                <w:b w:val="0"/>
                <w:color w:val="000000"/>
                <w:sz w:val="32"/>
              </w:rPr>
              <w:t>流通</w:t>
            </w:r>
          </w:p>
        </w:tc>
      </w:tr>
      <w:tr>
        <w:tc>
          <w:tcPr>
            <w:tcW w:type="dxa" w:w="1701"/>
          </w:tcPr>
          <w:p>
            <w:pPr>
              <w:spacing w:lineRule="exact" w:line="600"/>
              <w:jc w:val="center"/>
            </w:pPr>
            <w:r/>
            <w:r>
              <w:rPr>
                <w:rFonts w:ascii="仿宋_GB2312" w:hAnsi="仿宋_GB2312" w:eastAsia="仿宋_GB2312"/>
                <w:b w:val="0"/>
                <w:color w:val="000000"/>
                <w:sz w:val="32"/>
              </w:rPr>
              <w:t>国际合作</w:t>
            </w:r>
          </w:p>
        </w:tc>
        <w:tc>
          <w:tcPr>
            <w:tcW w:type="dxa" w:w="3402"/>
          </w:tcPr>
          <w:p>
            <w:pPr>
              <w:spacing w:lineRule="exact" w:line="600"/>
              <w:jc w:val="center"/>
            </w:pPr>
            <w:r/>
            <w:r>
              <w:rPr>
                <w:rFonts w:ascii="仿宋_GB2312" w:hAnsi="仿宋_GB2312" w:eastAsia="仿宋_GB2312"/>
                <w:b w:val="0"/>
                <w:color w:val="000000"/>
                <w:sz w:val="32"/>
              </w:rPr>
              <w:t>OEM</w:t>
            </w:r>
          </w:p>
        </w:tc>
        <w:tc>
          <w:tcPr>
            <w:tcW w:type="dxa" w:w="3685"/>
          </w:tcPr>
          <w:p>
            <w:pPr>
              <w:spacing w:lineRule="exact" w:line="600"/>
              <w:jc w:val="center"/>
            </w:pPr>
            <w:r/>
            <w:r>
              <w:rPr>
                <w:rFonts w:ascii="仿宋_GB2312" w:hAnsi="仿宋_GB2312" w:eastAsia="仿宋_GB2312"/>
                <w:b w:val="0"/>
                <w:color w:val="000000"/>
                <w:sz w:val="32"/>
              </w:rPr>
              <w:t>出口</w:t>
            </w:r>
          </w:p>
        </w:tc>
      </w:tr>
    </w:tbl>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120" w:after="120"/>
        <w:ind w:firstLine="420"/>
        <w:jc w:val="left"/>
      </w:pPr>
      <w:r>
        <w:rPr>
          <w:rFonts w:ascii="楷体_GB2312" w:hAnsi="楷体_GB2312" w:eastAsia="楷体_GB2312"/>
          <w:b w:val="0"/>
          <w:color w:val="000000"/>
          <w:sz w:val="32"/>
        </w:rPr>
        <w:t>（一）中硼硅技术与产线</w:t>
      </w:r>
    </w:p>
    <w:p>
      <w:pPr>
        <w:spacing w:lineRule="exact" w:line="600" w:before="0" w:after="0"/>
        <w:ind w:firstLine="420"/>
        <w:jc w:val="both"/>
      </w:pPr>
      <w:r>
        <w:rPr>
          <w:rFonts w:ascii="仿宋_GB2312" w:hAnsi="仿宋_GB2312" w:eastAsia="仿宋_GB2312"/>
          <w:b w:val="0"/>
          <w:color w:val="000000"/>
          <w:sz w:val="32"/>
        </w:rPr>
        <w:t>山东药玻突破中硼硅玻璃配方与成型工艺，中硼硅模制瓶因一致性评价与集采保持增长（来源：申万研报）。中硼硅包材膨胀系数低、耐极冷极热、化学稳定性好，适合冻干类产品（来源：申万研报）。公司持续扩产中硼硅产能，提升高端产品占比。</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技术</w:t>
            </w:r>
          </w:p>
        </w:tc>
        <w:tc>
          <w:tcPr>
            <w:tcW w:type="dxa" w:w="3118"/>
          </w:tcPr>
          <w:p>
            <w:pPr>
              <w:spacing w:lineRule="exact" w:line="600"/>
              <w:jc w:val="center"/>
            </w:pPr>
            <w:r/>
            <w:r>
              <w:rPr>
                <w:rFonts w:ascii="黑体" w:hAnsi="黑体" w:eastAsia="黑体"/>
                <w:b/>
                <w:color w:val="000000"/>
                <w:sz w:val="32"/>
              </w:rPr>
              <w:t>特性</w:t>
            </w:r>
          </w:p>
        </w:tc>
        <w:tc>
          <w:tcPr>
            <w:tcW w:type="dxa" w:w="3685"/>
          </w:tcPr>
          <w:p>
            <w:pPr>
              <w:spacing w:lineRule="exact" w:line="600"/>
              <w:jc w:val="center"/>
            </w:pPr>
            <w:r/>
            <w:r>
              <w:rPr>
                <w:rFonts w:ascii="黑体" w:hAnsi="黑体" w:eastAsia="黑体"/>
                <w:b/>
                <w:color w:val="000000"/>
                <w:sz w:val="32"/>
              </w:rPr>
              <w:t>应用</w:t>
            </w:r>
          </w:p>
        </w:tc>
      </w:tr>
      <w:tr>
        <w:tc>
          <w:tcPr>
            <w:tcW w:type="dxa" w:w="1984"/>
          </w:tcPr>
          <w:p>
            <w:pPr>
              <w:spacing w:lineRule="exact" w:line="600"/>
              <w:jc w:val="center"/>
            </w:pPr>
            <w:r/>
            <w:r>
              <w:rPr>
                <w:rFonts w:ascii="仿宋_GB2312" w:hAnsi="仿宋_GB2312" w:eastAsia="仿宋_GB2312"/>
                <w:b w:val="0"/>
                <w:color w:val="000000"/>
                <w:sz w:val="32"/>
              </w:rPr>
              <w:t>中硼硅</w:t>
            </w:r>
          </w:p>
        </w:tc>
        <w:tc>
          <w:tcPr>
            <w:tcW w:type="dxa" w:w="3118"/>
          </w:tcPr>
          <w:p>
            <w:pPr>
              <w:spacing w:lineRule="exact" w:line="600"/>
              <w:jc w:val="center"/>
            </w:pPr>
            <w:r/>
            <w:r>
              <w:rPr>
                <w:rFonts w:ascii="仿宋_GB2312" w:hAnsi="仿宋_GB2312" w:eastAsia="仿宋_GB2312"/>
                <w:b w:val="0"/>
                <w:color w:val="000000"/>
                <w:sz w:val="32"/>
              </w:rPr>
              <w:t>低膨胀/耐温</w:t>
            </w:r>
          </w:p>
        </w:tc>
        <w:tc>
          <w:tcPr>
            <w:tcW w:type="dxa" w:w="3685"/>
          </w:tcPr>
          <w:p>
            <w:pPr>
              <w:spacing w:lineRule="exact" w:line="600"/>
              <w:jc w:val="center"/>
            </w:pPr>
            <w:r/>
            <w:r>
              <w:rPr>
                <w:rFonts w:ascii="仿宋_GB2312" w:hAnsi="仿宋_GB2312" w:eastAsia="仿宋_GB2312"/>
                <w:b w:val="0"/>
                <w:color w:val="000000"/>
                <w:sz w:val="32"/>
              </w:rPr>
              <w:t>冻干</w:t>
            </w:r>
          </w:p>
        </w:tc>
      </w:tr>
      <w:tr>
        <w:tc>
          <w:tcPr>
            <w:tcW w:type="dxa" w:w="1984"/>
          </w:tcPr>
          <w:p>
            <w:pPr>
              <w:spacing w:lineRule="exact" w:line="600"/>
              <w:jc w:val="center"/>
            </w:pPr>
            <w:r/>
            <w:r>
              <w:rPr>
                <w:rFonts w:ascii="仿宋_GB2312" w:hAnsi="仿宋_GB2312" w:eastAsia="仿宋_GB2312"/>
                <w:b w:val="0"/>
                <w:color w:val="000000"/>
                <w:sz w:val="32"/>
              </w:rPr>
              <w:t>化学稳定</w:t>
            </w:r>
          </w:p>
        </w:tc>
        <w:tc>
          <w:tcPr>
            <w:tcW w:type="dxa" w:w="3118"/>
          </w:tcPr>
          <w:p>
            <w:pPr>
              <w:spacing w:lineRule="exact" w:line="600"/>
              <w:jc w:val="center"/>
            </w:pPr>
            <w:r/>
            <w:r>
              <w:rPr>
                <w:rFonts w:ascii="仿宋_GB2312" w:hAnsi="仿宋_GB2312" w:eastAsia="仿宋_GB2312"/>
                <w:b w:val="0"/>
                <w:color w:val="000000"/>
                <w:sz w:val="32"/>
              </w:rPr>
              <w:t>耐酸耐碱</w:t>
            </w:r>
          </w:p>
        </w:tc>
        <w:tc>
          <w:tcPr>
            <w:tcW w:type="dxa" w:w="3685"/>
          </w:tcPr>
          <w:p>
            <w:pPr>
              <w:spacing w:lineRule="exact" w:line="600"/>
              <w:jc w:val="center"/>
            </w:pPr>
            <w:r/>
            <w:r>
              <w:rPr>
                <w:rFonts w:ascii="仿宋_GB2312" w:hAnsi="仿宋_GB2312" w:eastAsia="仿宋_GB2312"/>
                <w:b w:val="0"/>
                <w:color w:val="000000"/>
                <w:sz w:val="32"/>
              </w:rPr>
              <w:t>注射剂</w:t>
            </w:r>
          </w:p>
        </w:tc>
      </w:tr>
      <w:tr>
        <w:tc>
          <w:tcPr>
            <w:tcW w:type="dxa" w:w="1984"/>
          </w:tcPr>
          <w:p>
            <w:pPr>
              <w:spacing w:lineRule="exact" w:line="600"/>
              <w:jc w:val="center"/>
            </w:pPr>
            <w:r/>
            <w:r>
              <w:rPr>
                <w:rFonts w:ascii="仿宋_GB2312" w:hAnsi="仿宋_GB2312" w:eastAsia="仿宋_GB2312"/>
                <w:b w:val="0"/>
                <w:color w:val="000000"/>
                <w:sz w:val="32"/>
              </w:rPr>
              <w:t>成型工艺</w:t>
            </w:r>
          </w:p>
        </w:tc>
        <w:tc>
          <w:tcPr>
            <w:tcW w:type="dxa" w:w="3118"/>
          </w:tcPr>
          <w:p>
            <w:pPr>
              <w:spacing w:lineRule="exact" w:line="600"/>
              <w:jc w:val="center"/>
            </w:pPr>
            <w:r/>
            <w:r>
              <w:rPr>
                <w:rFonts w:ascii="仿宋_GB2312" w:hAnsi="仿宋_GB2312" w:eastAsia="仿宋_GB2312"/>
                <w:b w:val="0"/>
                <w:color w:val="000000"/>
                <w:sz w:val="32"/>
              </w:rPr>
              <w:t>突破</w:t>
            </w:r>
          </w:p>
        </w:tc>
        <w:tc>
          <w:tcPr>
            <w:tcW w:type="dxa" w:w="3685"/>
          </w:tcPr>
          <w:p>
            <w:pPr>
              <w:spacing w:lineRule="exact" w:line="600"/>
              <w:jc w:val="center"/>
            </w:pPr>
            <w:r/>
            <w:r>
              <w:rPr>
                <w:rFonts w:ascii="仿宋_GB2312" w:hAnsi="仿宋_GB2312" w:eastAsia="仿宋_GB2312"/>
                <w:b w:val="0"/>
                <w:color w:val="000000"/>
                <w:sz w:val="32"/>
              </w:rPr>
              <w:t>国产</w:t>
            </w:r>
          </w:p>
        </w:tc>
      </w:tr>
      <w:tr>
        <w:tc>
          <w:tcPr>
            <w:tcW w:type="dxa" w:w="1984"/>
          </w:tcPr>
          <w:p>
            <w:pPr>
              <w:spacing w:lineRule="exact" w:line="600"/>
              <w:jc w:val="center"/>
            </w:pPr>
            <w:r/>
            <w:r>
              <w:rPr>
                <w:rFonts w:ascii="仿宋_GB2312" w:hAnsi="仿宋_GB2312" w:eastAsia="仿宋_GB2312"/>
                <w:b w:val="0"/>
                <w:color w:val="000000"/>
                <w:sz w:val="32"/>
              </w:rPr>
              <w:t>产能</w:t>
            </w:r>
          </w:p>
        </w:tc>
        <w:tc>
          <w:tcPr>
            <w:tcW w:type="dxa" w:w="3118"/>
          </w:tcPr>
          <w:p>
            <w:pPr>
              <w:spacing w:lineRule="exact" w:line="600"/>
              <w:jc w:val="center"/>
            </w:pPr>
            <w:r/>
            <w:r>
              <w:rPr>
                <w:rFonts w:ascii="仿宋_GB2312" w:hAnsi="仿宋_GB2312" w:eastAsia="仿宋_GB2312"/>
                <w:b w:val="0"/>
                <w:color w:val="000000"/>
                <w:sz w:val="32"/>
              </w:rPr>
              <w:t>扩张中</w:t>
            </w:r>
          </w:p>
        </w:tc>
        <w:tc>
          <w:tcPr>
            <w:tcW w:type="dxa" w:w="3685"/>
          </w:tcPr>
          <w:p>
            <w:pPr>
              <w:spacing w:lineRule="exact" w:line="600"/>
              <w:jc w:val="center"/>
            </w:pPr>
            <w:r/>
            <w:r>
              <w:rPr>
                <w:rFonts w:ascii="仿宋_GB2312" w:hAnsi="仿宋_GB2312" w:eastAsia="仿宋_GB2312"/>
                <w:b w:val="0"/>
                <w:color w:val="000000"/>
                <w:sz w:val="32"/>
              </w:rPr>
              <w:t>高端</w:t>
            </w:r>
          </w:p>
        </w:tc>
      </w:tr>
    </w:tbl>
    <w:p>
      <w:pPr>
        <w:spacing w:lineRule="exact" w:line="600" w:before="120" w:after="120"/>
        <w:ind w:firstLine="420"/>
        <w:jc w:val="left"/>
      </w:pPr>
      <w:r>
        <w:rPr>
          <w:rFonts w:ascii="楷体_GB2312" w:hAnsi="楷体_GB2312" w:eastAsia="楷体_GB2312"/>
          <w:b w:val="0"/>
          <w:color w:val="000000"/>
          <w:sz w:val="32"/>
        </w:rPr>
        <w:t>（二）成本与工艺优化</w:t>
      </w:r>
    </w:p>
    <w:p>
      <w:pPr>
        <w:spacing w:lineRule="exact" w:line="600" w:before="0" w:after="0"/>
        <w:ind w:firstLine="420"/>
        <w:jc w:val="both"/>
      </w:pPr>
      <w:r>
        <w:rPr>
          <w:rFonts w:ascii="仿宋_GB2312" w:hAnsi="仿宋_GB2312" w:eastAsia="仿宋_GB2312"/>
          <w:b w:val="0"/>
          <w:color w:val="000000"/>
          <w:sz w:val="32"/>
        </w:rPr>
        <w:t>山东药玻2024年毛利率31.72%（+3.69pct）、净利率18.40%（+2.83pct），得益煤炭纯碱降价与「一物料一策略」精准采购、产品结构优化（来源：申万研报、山东药玻年报）。模制瓶毛利率43.26%（+4.1pct）、棕色瓶28.39%（+4.6pct）、丁基胶塞35.46%（+10.91pct）（来源：申万研报）。工艺与成本管控构筑盈利护城河。</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产品</w:t>
            </w:r>
          </w:p>
        </w:tc>
        <w:tc>
          <w:tcPr>
            <w:tcW w:type="dxa" w:w="2835"/>
          </w:tcPr>
          <w:p>
            <w:pPr>
              <w:spacing w:lineRule="exact" w:line="600"/>
              <w:jc w:val="center"/>
            </w:pPr>
            <w:r/>
            <w:r>
              <w:rPr>
                <w:rFonts w:ascii="黑体" w:hAnsi="黑体" w:eastAsia="黑体"/>
                <w:b/>
                <w:color w:val="000000"/>
                <w:sz w:val="32"/>
              </w:rPr>
              <w:t>毛利率</w:t>
            </w:r>
          </w:p>
        </w:tc>
        <w:tc>
          <w:tcPr>
            <w:tcW w:type="dxa" w:w="3685"/>
          </w:tcPr>
          <w:p>
            <w:pPr>
              <w:spacing w:lineRule="exact" w:line="600"/>
              <w:jc w:val="center"/>
            </w:pPr>
            <w:r/>
            <w:r>
              <w:rPr>
                <w:rFonts w:ascii="黑体" w:hAnsi="黑体" w:eastAsia="黑体"/>
                <w:b/>
                <w:color w:val="000000"/>
                <w:sz w:val="32"/>
              </w:rPr>
              <w:t>变动</w:t>
            </w:r>
          </w:p>
        </w:tc>
      </w:tr>
      <w:tr>
        <w:tc>
          <w:tcPr>
            <w:tcW w:type="dxa" w:w="1984"/>
          </w:tcPr>
          <w:p>
            <w:pPr>
              <w:spacing w:lineRule="exact" w:line="600"/>
              <w:jc w:val="center"/>
            </w:pPr>
            <w:r/>
            <w:r>
              <w:rPr>
                <w:rFonts w:ascii="仿宋_GB2312" w:hAnsi="仿宋_GB2312" w:eastAsia="仿宋_GB2312"/>
                <w:b w:val="0"/>
                <w:color w:val="000000"/>
                <w:sz w:val="32"/>
              </w:rPr>
              <w:t>模制瓶</w:t>
            </w:r>
          </w:p>
        </w:tc>
        <w:tc>
          <w:tcPr>
            <w:tcW w:type="dxa" w:w="2835"/>
          </w:tcPr>
          <w:p>
            <w:pPr>
              <w:spacing w:lineRule="exact" w:line="600"/>
              <w:jc w:val="center"/>
            </w:pPr>
            <w:r/>
            <w:r>
              <w:rPr>
                <w:rFonts w:ascii="仿宋_GB2312" w:hAnsi="仿宋_GB2312" w:eastAsia="仿宋_GB2312"/>
                <w:b w:val="0"/>
                <w:color w:val="000000"/>
                <w:sz w:val="32"/>
              </w:rPr>
              <w:t>43.26%</w:t>
            </w:r>
          </w:p>
        </w:tc>
        <w:tc>
          <w:tcPr>
            <w:tcW w:type="dxa" w:w="3685"/>
          </w:tcPr>
          <w:p>
            <w:pPr>
              <w:spacing w:lineRule="exact" w:line="600"/>
              <w:jc w:val="center"/>
            </w:pPr>
            <w:r/>
            <w:r>
              <w:rPr>
                <w:rFonts w:ascii="仿宋_GB2312" w:hAnsi="仿宋_GB2312" w:eastAsia="仿宋_GB2312"/>
                <w:b w:val="0"/>
                <w:color w:val="000000"/>
                <w:sz w:val="32"/>
              </w:rPr>
              <w:t>+4.1pct</w:t>
            </w:r>
          </w:p>
        </w:tc>
      </w:tr>
      <w:tr>
        <w:tc>
          <w:tcPr>
            <w:tcW w:type="dxa" w:w="1984"/>
          </w:tcPr>
          <w:p>
            <w:pPr>
              <w:spacing w:lineRule="exact" w:line="600"/>
              <w:jc w:val="center"/>
            </w:pPr>
            <w:r/>
            <w:r>
              <w:rPr>
                <w:rFonts w:ascii="仿宋_GB2312" w:hAnsi="仿宋_GB2312" w:eastAsia="仿宋_GB2312"/>
                <w:b w:val="0"/>
                <w:color w:val="000000"/>
                <w:sz w:val="32"/>
              </w:rPr>
              <w:t>棕色瓶</w:t>
            </w:r>
          </w:p>
        </w:tc>
        <w:tc>
          <w:tcPr>
            <w:tcW w:type="dxa" w:w="2835"/>
          </w:tcPr>
          <w:p>
            <w:pPr>
              <w:spacing w:lineRule="exact" w:line="600"/>
              <w:jc w:val="center"/>
            </w:pPr>
            <w:r/>
            <w:r>
              <w:rPr>
                <w:rFonts w:ascii="仿宋_GB2312" w:hAnsi="仿宋_GB2312" w:eastAsia="仿宋_GB2312"/>
                <w:b w:val="0"/>
                <w:color w:val="000000"/>
                <w:sz w:val="32"/>
              </w:rPr>
              <w:t>28.39%</w:t>
            </w:r>
          </w:p>
        </w:tc>
        <w:tc>
          <w:tcPr>
            <w:tcW w:type="dxa" w:w="3685"/>
          </w:tcPr>
          <w:p>
            <w:pPr>
              <w:spacing w:lineRule="exact" w:line="600"/>
              <w:jc w:val="center"/>
            </w:pPr>
            <w:r/>
            <w:r>
              <w:rPr>
                <w:rFonts w:ascii="仿宋_GB2312" w:hAnsi="仿宋_GB2312" w:eastAsia="仿宋_GB2312"/>
                <w:b w:val="0"/>
                <w:color w:val="000000"/>
                <w:sz w:val="32"/>
              </w:rPr>
              <w:t>+4.6pct</w:t>
            </w:r>
          </w:p>
        </w:tc>
      </w:tr>
      <w:tr>
        <w:tc>
          <w:tcPr>
            <w:tcW w:type="dxa" w:w="1984"/>
          </w:tcPr>
          <w:p>
            <w:pPr>
              <w:spacing w:lineRule="exact" w:line="600"/>
              <w:jc w:val="center"/>
            </w:pPr>
            <w:r/>
            <w:r>
              <w:rPr>
                <w:rFonts w:ascii="仿宋_GB2312" w:hAnsi="仿宋_GB2312" w:eastAsia="仿宋_GB2312"/>
                <w:b w:val="0"/>
                <w:color w:val="000000"/>
                <w:sz w:val="32"/>
              </w:rPr>
              <w:t>丁基胶塞</w:t>
            </w:r>
          </w:p>
        </w:tc>
        <w:tc>
          <w:tcPr>
            <w:tcW w:type="dxa" w:w="2835"/>
          </w:tcPr>
          <w:p>
            <w:pPr>
              <w:spacing w:lineRule="exact" w:line="600"/>
              <w:jc w:val="center"/>
            </w:pPr>
            <w:r/>
            <w:r>
              <w:rPr>
                <w:rFonts w:ascii="仿宋_GB2312" w:hAnsi="仿宋_GB2312" w:eastAsia="仿宋_GB2312"/>
                <w:b w:val="0"/>
                <w:color w:val="000000"/>
                <w:sz w:val="32"/>
              </w:rPr>
              <w:t>35.46%</w:t>
            </w:r>
          </w:p>
        </w:tc>
        <w:tc>
          <w:tcPr>
            <w:tcW w:type="dxa" w:w="3685"/>
          </w:tcPr>
          <w:p>
            <w:pPr>
              <w:spacing w:lineRule="exact" w:line="600"/>
              <w:jc w:val="center"/>
            </w:pPr>
            <w:r/>
            <w:r>
              <w:rPr>
                <w:rFonts w:ascii="仿宋_GB2312" w:hAnsi="仿宋_GB2312" w:eastAsia="仿宋_GB2312"/>
                <w:b w:val="0"/>
                <w:color w:val="000000"/>
                <w:sz w:val="32"/>
              </w:rPr>
              <w:t>+10.91pct</w:t>
            </w:r>
          </w:p>
        </w:tc>
      </w:tr>
      <w:tr>
        <w:tc>
          <w:tcPr>
            <w:tcW w:type="dxa" w:w="1984"/>
          </w:tcPr>
          <w:p>
            <w:pPr>
              <w:spacing w:lineRule="exact" w:line="600"/>
              <w:jc w:val="center"/>
            </w:pPr>
            <w:r/>
            <w:r>
              <w:rPr>
                <w:rFonts w:ascii="仿宋_GB2312" w:hAnsi="仿宋_GB2312" w:eastAsia="仿宋_GB2312"/>
                <w:b w:val="0"/>
                <w:color w:val="000000"/>
                <w:sz w:val="32"/>
              </w:rPr>
              <w:t>综合</w:t>
            </w:r>
          </w:p>
        </w:tc>
        <w:tc>
          <w:tcPr>
            <w:tcW w:type="dxa" w:w="2835"/>
          </w:tcPr>
          <w:p>
            <w:pPr>
              <w:spacing w:lineRule="exact" w:line="600"/>
              <w:jc w:val="center"/>
            </w:pPr>
            <w:r/>
            <w:r>
              <w:rPr>
                <w:rFonts w:ascii="仿宋_GB2312" w:hAnsi="仿宋_GB2312" w:eastAsia="仿宋_GB2312"/>
                <w:b w:val="0"/>
                <w:color w:val="000000"/>
                <w:sz w:val="32"/>
              </w:rPr>
              <w:t>31.72%</w:t>
            </w:r>
          </w:p>
        </w:tc>
        <w:tc>
          <w:tcPr>
            <w:tcW w:type="dxa" w:w="3685"/>
          </w:tcPr>
          <w:p>
            <w:pPr>
              <w:spacing w:lineRule="exact" w:line="600"/>
              <w:jc w:val="center"/>
            </w:pPr>
            <w:r/>
            <w:r>
              <w:rPr>
                <w:rFonts w:ascii="仿宋_GB2312" w:hAnsi="仿宋_GB2312" w:eastAsia="仿宋_GB2312"/>
                <w:b w:val="0"/>
                <w:color w:val="000000"/>
                <w:sz w:val="32"/>
              </w:rPr>
              <w:t>+3.69pct</w:t>
            </w:r>
          </w:p>
        </w:tc>
      </w:tr>
    </w:tbl>
    <w:p>
      <w:pPr>
        <w:spacing w:lineRule="exact" w:line="600" w:before="120" w:after="120"/>
        <w:ind w:firstLine="420"/>
        <w:jc w:val="left"/>
      </w:pPr>
      <w:r>
        <w:rPr>
          <w:rFonts w:ascii="楷体_GB2312" w:hAnsi="楷体_GB2312" w:eastAsia="楷体_GB2312"/>
          <w:b w:val="0"/>
          <w:color w:val="000000"/>
          <w:sz w:val="32"/>
        </w:rPr>
        <w:t>（三）质量与认证体系</w:t>
      </w:r>
    </w:p>
    <w:p>
      <w:pPr>
        <w:spacing w:lineRule="exact" w:line="600" w:before="0" w:after="0"/>
        <w:ind w:firstLine="420"/>
        <w:jc w:val="both"/>
      </w:pPr>
      <w:r>
        <w:rPr>
          <w:rFonts w:ascii="仿宋_GB2312" w:hAnsi="仿宋_GB2312" w:eastAsia="仿宋_GB2312"/>
          <w:b w:val="0"/>
          <w:color w:val="000000"/>
          <w:sz w:val="32"/>
        </w:rPr>
        <w:t>药包材属高风险材料，需通过GMP、DMF等国内外认证。山东药玻作为行业龙头具备完善质量体系，产品供应国内外头部药企。新华制药通过FDA、加拿大、巴西、德国BJV现场审计，带动包材质量协同（来源：新华制药年报）。认证体系是进入高端供应链的门槛。</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认证</w:t>
            </w:r>
          </w:p>
        </w:tc>
        <w:tc>
          <w:tcPr>
            <w:tcW w:type="dxa" w:w="3118"/>
          </w:tcPr>
          <w:p>
            <w:pPr>
              <w:spacing w:lineRule="exact" w:line="600"/>
              <w:jc w:val="center"/>
            </w:pPr>
            <w:r/>
            <w:r>
              <w:rPr>
                <w:rFonts w:ascii="黑体" w:hAnsi="黑体" w:eastAsia="黑体"/>
                <w:b/>
                <w:color w:val="000000"/>
                <w:sz w:val="32"/>
              </w:rPr>
              <w:t>主体</w:t>
            </w:r>
          </w:p>
        </w:tc>
        <w:tc>
          <w:tcPr>
            <w:tcW w:type="dxa" w:w="3685"/>
          </w:tcPr>
          <w:p>
            <w:pPr>
              <w:spacing w:lineRule="exact" w:line="600"/>
              <w:jc w:val="center"/>
            </w:pPr>
            <w:r/>
            <w:r>
              <w:rPr>
                <w:rFonts w:ascii="黑体" w:hAnsi="黑体" w:eastAsia="黑体"/>
                <w:b/>
                <w:color w:val="000000"/>
                <w:sz w:val="32"/>
              </w:rPr>
              <w:t>作用</w:t>
            </w:r>
          </w:p>
        </w:tc>
      </w:tr>
      <w:tr>
        <w:tc>
          <w:tcPr>
            <w:tcW w:type="dxa" w:w="1984"/>
          </w:tcPr>
          <w:p>
            <w:pPr>
              <w:spacing w:lineRule="exact" w:line="600"/>
              <w:jc w:val="center"/>
            </w:pPr>
            <w:r/>
            <w:r>
              <w:rPr>
                <w:rFonts w:ascii="仿宋_GB2312" w:hAnsi="仿宋_GB2312" w:eastAsia="仿宋_GB2312"/>
                <w:b w:val="0"/>
                <w:color w:val="000000"/>
                <w:sz w:val="32"/>
              </w:rPr>
              <w:t>GMP</w:t>
            </w:r>
          </w:p>
        </w:tc>
        <w:tc>
          <w:tcPr>
            <w:tcW w:type="dxa" w:w="3118"/>
          </w:tcPr>
          <w:p>
            <w:pPr>
              <w:spacing w:lineRule="exact" w:line="600"/>
              <w:jc w:val="center"/>
            </w:pPr>
            <w:r/>
            <w:r>
              <w:rPr>
                <w:rFonts w:ascii="仿宋_GB2312" w:hAnsi="仿宋_GB2312" w:eastAsia="仿宋_GB2312"/>
                <w:b w:val="0"/>
                <w:color w:val="000000"/>
                <w:sz w:val="32"/>
              </w:rPr>
              <w:t>药玻/药企</w:t>
            </w:r>
          </w:p>
        </w:tc>
        <w:tc>
          <w:tcPr>
            <w:tcW w:type="dxa" w:w="3685"/>
          </w:tcPr>
          <w:p>
            <w:pPr>
              <w:spacing w:lineRule="exact" w:line="600"/>
              <w:jc w:val="center"/>
            </w:pPr>
            <w:r/>
            <w:r>
              <w:rPr>
                <w:rFonts w:ascii="仿宋_GB2312" w:hAnsi="仿宋_GB2312" w:eastAsia="仿宋_GB2312"/>
                <w:b w:val="0"/>
                <w:color w:val="000000"/>
                <w:sz w:val="32"/>
              </w:rPr>
              <w:t>质量</w:t>
            </w:r>
          </w:p>
        </w:tc>
      </w:tr>
      <w:tr>
        <w:tc>
          <w:tcPr>
            <w:tcW w:type="dxa" w:w="1984"/>
          </w:tcPr>
          <w:p>
            <w:pPr>
              <w:spacing w:lineRule="exact" w:line="600"/>
              <w:jc w:val="center"/>
            </w:pPr>
            <w:r/>
            <w:r>
              <w:rPr>
                <w:rFonts w:ascii="仿宋_GB2312" w:hAnsi="仿宋_GB2312" w:eastAsia="仿宋_GB2312"/>
                <w:b w:val="0"/>
                <w:color w:val="000000"/>
                <w:sz w:val="32"/>
              </w:rPr>
              <w:t>DMF</w:t>
            </w:r>
          </w:p>
        </w:tc>
        <w:tc>
          <w:tcPr>
            <w:tcW w:type="dxa" w:w="3118"/>
          </w:tcPr>
          <w:p>
            <w:pPr>
              <w:spacing w:lineRule="exact" w:line="600"/>
              <w:jc w:val="center"/>
            </w:pPr>
            <w:r/>
            <w:r>
              <w:rPr>
                <w:rFonts w:ascii="仿宋_GB2312" w:hAnsi="仿宋_GB2312" w:eastAsia="仿宋_GB2312"/>
                <w:b w:val="0"/>
                <w:color w:val="000000"/>
                <w:sz w:val="32"/>
              </w:rPr>
              <w:t>药玻</w:t>
            </w:r>
          </w:p>
        </w:tc>
        <w:tc>
          <w:tcPr>
            <w:tcW w:type="dxa" w:w="3685"/>
          </w:tcPr>
          <w:p>
            <w:pPr>
              <w:spacing w:lineRule="exact" w:line="600"/>
              <w:jc w:val="center"/>
            </w:pPr>
            <w:r/>
            <w:r>
              <w:rPr>
                <w:rFonts w:ascii="仿宋_GB2312" w:hAnsi="仿宋_GB2312" w:eastAsia="仿宋_GB2312"/>
                <w:b w:val="0"/>
                <w:color w:val="000000"/>
                <w:sz w:val="32"/>
              </w:rPr>
              <w:t>国际</w:t>
            </w:r>
          </w:p>
        </w:tc>
      </w:tr>
      <w:tr>
        <w:tc>
          <w:tcPr>
            <w:tcW w:type="dxa" w:w="1984"/>
          </w:tcPr>
          <w:p>
            <w:pPr>
              <w:spacing w:lineRule="exact" w:line="600"/>
              <w:jc w:val="center"/>
            </w:pPr>
            <w:r/>
            <w:r>
              <w:rPr>
                <w:rFonts w:ascii="仿宋_GB2312" w:hAnsi="仿宋_GB2312" w:eastAsia="仿宋_GB2312"/>
                <w:b w:val="0"/>
                <w:color w:val="000000"/>
                <w:sz w:val="32"/>
              </w:rPr>
              <w:t>FDA</w:t>
            </w:r>
          </w:p>
        </w:tc>
        <w:tc>
          <w:tcPr>
            <w:tcW w:type="dxa" w:w="3118"/>
          </w:tcPr>
          <w:p>
            <w:pPr>
              <w:spacing w:lineRule="exact" w:line="600"/>
              <w:jc w:val="center"/>
            </w:pPr>
            <w:r/>
            <w:r>
              <w:rPr>
                <w:rFonts w:ascii="仿宋_GB2312" w:hAnsi="仿宋_GB2312" w:eastAsia="仿宋_GB2312"/>
                <w:b w:val="0"/>
                <w:color w:val="000000"/>
                <w:sz w:val="32"/>
              </w:rPr>
              <w:t>新华制药</w:t>
            </w:r>
          </w:p>
        </w:tc>
        <w:tc>
          <w:tcPr>
            <w:tcW w:type="dxa" w:w="3685"/>
          </w:tcPr>
          <w:p>
            <w:pPr>
              <w:spacing w:lineRule="exact" w:line="600"/>
              <w:jc w:val="center"/>
            </w:pPr>
            <w:r/>
            <w:r>
              <w:rPr>
                <w:rFonts w:ascii="仿宋_GB2312" w:hAnsi="仿宋_GB2312" w:eastAsia="仿宋_GB2312"/>
                <w:b w:val="0"/>
                <w:color w:val="000000"/>
                <w:sz w:val="32"/>
              </w:rPr>
              <w:t>出口</w:t>
            </w:r>
          </w:p>
        </w:tc>
      </w:tr>
      <w:tr>
        <w:tc>
          <w:tcPr>
            <w:tcW w:type="dxa" w:w="1984"/>
          </w:tcPr>
          <w:p>
            <w:pPr>
              <w:spacing w:lineRule="exact" w:line="600"/>
              <w:jc w:val="center"/>
            </w:pPr>
            <w:r/>
            <w:r>
              <w:rPr>
                <w:rFonts w:ascii="仿宋_GB2312" w:hAnsi="仿宋_GB2312" w:eastAsia="仿宋_GB2312"/>
                <w:b w:val="0"/>
                <w:color w:val="000000"/>
                <w:sz w:val="32"/>
              </w:rPr>
              <w:t>体系</w:t>
            </w:r>
          </w:p>
        </w:tc>
        <w:tc>
          <w:tcPr>
            <w:tcW w:type="dxa" w:w="3118"/>
          </w:tcPr>
          <w:p>
            <w:pPr>
              <w:spacing w:lineRule="exact" w:line="600"/>
              <w:jc w:val="center"/>
            </w:pPr>
            <w:r/>
            <w:r>
              <w:rPr>
                <w:rFonts w:ascii="仿宋_GB2312" w:hAnsi="仿宋_GB2312" w:eastAsia="仿宋_GB2312"/>
                <w:b w:val="0"/>
                <w:color w:val="000000"/>
                <w:sz w:val="32"/>
              </w:rPr>
              <w:t>龙头</w:t>
            </w:r>
          </w:p>
        </w:tc>
        <w:tc>
          <w:tcPr>
            <w:tcW w:type="dxa" w:w="3685"/>
          </w:tcPr>
          <w:p>
            <w:pPr>
              <w:spacing w:lineRule="exact" w:line="600"/>
              <w:jc w:val="center"/>
            </w:pPr>
            <w:r/>
            <w:r>
              <w:rPr>
                <w:rFonts w:ascii="仿宋_GB2312" w:hAnsi="仿宋_GB2312" w:eastAsia="仿宋_GB2312"/>
                <w:b w:val="0"/>
                <w:color w:val="000000"/>
                <w:sz w:val="32"/>
              </w:rPr>
              <w:t>门槛</w:t>
            </w:r>
          </w:p>
        </w:tc>
      </w:tr>
    </w:tbl>
    <w:p>
      <w:pPr>
        <w:spacing w:lineRule="exact" w:line="600" w:before="120" w:after="120"/>
        <w:ind w:firstLine="420"/>
        <w:jc w:val="left"/>
      </w:pPr>
      <w:r>
        <w:rPr>
          <w:rFonts w:ascii="楷体_GB2312" w:hAnsi="楷体_GB2312" w:eastAsia="楷体_GB2312"/>
          <w:b w:val="0"/>
          <w:color w:val="000000"/>
          <w:sz w:val="32"/>
        </w:rPr>
        <w:t>（五）省级创新能力与技改政策框架参照</w:t>
      </w:r>
    </w:p>
    <w:p>
      <w:pPr>
        <w:spacing w:lineRule="exact" w:line="600" w:before="0" w:after="0"/>
        <w:ind w:firstLine="420"/>
        <w:jc w:val="both"/>
      </w:pPr>
      <w:r>
        <w:rPr>
          <w:rFonts w:ascii="仿宋_GB2312" w:hAnsi="仿宋_GB2312" w:eastAsia="仿宋_GB2312"/>
          <w:b w:val="0"/>
          <w:color w:val="000000"/>
          <w:sz w:val="32"/>
        </w:rPr>
        <w:t>从省级创新与技改政策看，山东省持续加大创新投入：省级科技资金2024年达145.2亿元，连续6年保持高强度投入；深入实施智能化技术改造行动计划，省财政安排技术改造资金6.25亿元，对符合条件的企业给予最高2000万元贷款贴息、最高500万元设备更新补贴，支持关键工序自动化、智能工厂与数字化车间建设。优质企业培育方面，到2025年力争培育专精特新中小企业1万家左右、制造业单项冠军企业1000家左右、产业生态主导型“链主”企业200家左右，构建覆盖创新型中小企业—专精特新—小巨人—单项冠军—领航企业的梯度培育体系。（来源：山东省财政厅，2024；省发展改革委/省工信厅，《先进制造业强省行动计划（2022—2025年）》）（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省级创新/技改指标</w:t>
            </w:r>
          </w:p>
        </w:tc>
        <w:tc>
          <w:tcPr>
            <w:tcW w:type="dxa" w:w="2551"/>
          </w:tcPr>
          <w:p>
            <w:pPr>
              <w:spacing w:lineRule="exact" w:line="600"/>
              <w:jc w:val="center"/>
            </w:pPr>
            <w:r/>
            <w:r>
              <w:rPr>
                <w:rFonts w:ascii="黑体" w:hAnsi="黑体" w:eastAsia="黑体"/>
                <w:b/>
                <w:color w:val="000000"/>
                <w:sz w:val="32"/>
              </w:rPr>
              <w:t>规模/目标</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省级科技资金（2024）</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bl>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120" w:after="120"/>
        <w:ind w:firstLine="420"/>
        <w:jc w:val="left"/>
      </w:pPr>
      <w:r>
        <w:rPr>
          <w:rFonts w:ascii="楷体_GB2312" w:hAnsi="楷体_GB2312" w:eastAsia="楷体_GB2312"/>
          <w:b w:val="0"/>
          <w:color w:val="000000"/>
          <w:sz w:val="32"/>
        </w:rPr>
        <w:t>（一）要素成本</w:t>
      </w:r>
    </w:p>
    <w:p>
      <w:pPr>
        <w:spacing w:lineRule="exact" w:line="600" w:before="0" w:after="0"/>
        <w:ind w:firstLine="420"/>
        <w:jc w:val="both"/>
      </w:pPr>
      <w:r>
        <w:rPr>
          <w:rFonts w:ascii="仿宋_GB2312" w:hAnsi="仿宋_GB2312" w:eastAsia="仿宋_GB2312"/>
          <w:b w:val="0"/>
          <w:color w:val="000000"/>
          <w:sz w:val="32"/>
        </w:rPr>
        <w:t>医药包装与流通要素以能源（煤炭、电力）、纯碱、硼砂、物流为主。山东药玻通过精准采购对冲价格波动（来源：申万研报）。淄博高新区为国家级绿色工业园区，物流与用地成本可控（来源：淄博市政府，2026）。要素保障支撑包材与流通稳健运营。</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要素</w:t>
            </w:r>
          </w:p>
        </w:tc>
        <w:tc>
          <w:tcPr>
            <w:tcW w:type="dxa" w:w="3402"/>
          </w:tcPr>
          <w:p>
            <w:pPr>
              <w:spacing w:lineRule="exact" w:line="600"/>
              <w:jc w:val="center"/>
            </w:pPr>
            <w:r/>
            <w:r>
              <w:rPr>
                <w:rFonts w:ascii="黑体" w:hAnsi="黑体" w:eastAsia="黑体"/>
                <w:b/>
                <w:color w:val="000000"/>
                <w:sz w:val="32"/>
              </w:rPr>
              <w:t>影响</w:t>
            </w:r>
          </w:p>
        </w:tc>
        <w:tc>
          <w:tcPr>
            <w:tcW w:type="dxa" w:w="3685"/>
          </w:tcPr>
          <w:p>
            <w:pPr>
              <w:spacing w:lineRule="exact" w:line="600"/>
              <w:jc w:val="center"/>
            </w:pPr>
            <w:r/>
            <w:r>
              <w:rPr>
                <w:rFonts w:ascii="黑体" w:hAnsi="黑体" w:eastAsia="黑体"/>
                <w:b/>
                <w:color w:val="000000"/>
                <w:sz w:val="32"/>
              </w:rPr>
              <w:t>保障</w:t>
            </w:r>
          </w:p>
        </w:tc>
      </w:tr>
      <w:tr>
        <w:tc>
          <w:tcPr>
            <w:tcW w:type="dxa" w:w="1701"/>
          </w:tcPr>
          <w:p>
            <w:pPr>
              <w:spacing w:lineRule="exact" w:line="600"/>
              <w:jc w:val="center"/>
            </w:pPr>
            <w:r/>
            <w:r>
              <w:rPr>
                <w:rFonts w:ascii="仿宋_GB2312" w:hAnsi="仿宋_GB2312" w:eastAsia="仿宋_GB2312"/>
                <w:b w:val="0"/>
                <w:color w:val="000000"/>
                <w:sz w:val="32"/>
              </w:rPr>
              <w:t>能源</w:t>
            </w:r>
          </w:p>
        </w:tc>
        <w:tc>
          <w:tcPr>
            <w:tcW w:type="dxa" w:w="3402"/>
          </w:tcPr>
          <w:p>
            <w:pPr>
              <w:spacing w:lineRule="exact" w:line="600"/>
              <w:jc w:val="center"/>
            </w:pPr>
            <w:r/>
            <w:r>
              <w:rPr>
                <w:rFonts w:ascii="仿宋_GB2312" w:hAnsi="仿宋_GB2312" w:eastAsia="仿宋_GB2312"/>
                <w:b w:val="0"/>
                <w:color w:val="000000"/>
                <w:sz w:val="32"/>
              </w:rPr>
              <w:t>煤炭/电</w:t>
            </w:r>
          </w:p>
        </w:tc>
        <w:tc>
          <w:tcPr>
            <w:tcW w:type="dxa" w:w="3685"/>
          </w:tcPr>
          <w:p>
            <w:pPr>
              <w:spacing w:lineRule="exact" w:line="600"/>
              <w:jc w:val="center"/>
            </w:pPr>
            <w:r/>
            <w:r>
              <w:rPr>
                <w:rFonts w:ascii="仿宋_GB2312" w:hAnsi="仿宋_GB2312" w:eastAsia="仿宋_GB2312"/>
                <w:b w:val="0"/>
                <w:color w:val="000000"/>
                <w:sz w:val="32"/>
              </w:rPr>
              <w:t>绿色园区</w:t>
            </w:r>
          </w:p>
        </w:tc>
      </w:tr>
      <w:tr>
        <w:tc>
          <w:tcPr>
            <w:tcW w:type="dxa" w:w="1701"/>
          </w:tcPr>
          <w:p>
            <w:pPr>
              <w:spacing w:lineRule="exact" w:line="600"/>
              <w:jc w:val="center"/>
            </w:pPr>
            <w:r/>
            <w:r>
              <w:rPr>
                <w:rFonts w:ascii="仿宋_GB2312" w:hAnsi="仿宋_GB2312" w:eastAsia="仿宋_GB2312"/>
                <w:b w:val="0"/>
                <w:color w:val="000000"/>
                <w:sz w:val="32"/>
              </w:rPr>
              <w:t>原料</w:t>
            </w:r>
          </w:p>
        </w:tc>
        <w:tc>
          <w:tcPr>
            <w:tcW w:type="dxa" w:w="3402"/>
          </w:tcPr>
          <w:p>
            <w:pPr>
              <w:spacing w:lineRule="exact" w:line="600"/>
              <w:jc w:val="center"/>
            </w:pPr>
            <w:r/>
            <w:r>
              <w:rPr>
                <w:rFonts w:ascii="仿宋_GB2312" w:hAnsi="仿宋_GB2312" w:eastAsia="仿宋_GB2312"/>
                <w:b w:val="0"/>
                <w:color w:val="000000"/>
                <w:sz w:val="32"/>
              </w:rPr>
              <w:t>纯碱/硼砂</w:t>
            </w:r>
          </w:p>
        </w:tc>
        <w:tc>
          <w:tcPr>
            <w:tcW w:type="dxa" w:w="3685"/>
          </w:tcPr>
          <w:p>
            <w:pPr>
              <w:spacing w:lineRule="exact" w:line="600"/>
              <w:jc w:val="center"/>
            </w:pPr>
            <w:r/>
            <w:r>
              <w:rPr>
                <w:rFonts w:ascii="仿宋_GB2312" w:hAnsi="仿宋_GB2312" w:eastAsia="仿宋_GB2312"/>
                <w:b w:val="0"/>
                <w:color w:val="000000"/>
                <w:sz w:val="32"/>
              </w:rPr>
              <w:t>一物料一策</w:t>
            </w:r>
          </w:p>
        </w:tc>
      </w:tr>
      <w:tr>
        <w:tc>
          <w:tcPr>
            <w:tcW w:type="dxa" w:w="1701"/>
          </w:tcPr>
          <w:p>
            <w:pPr>
              <w:spacing w:lineRule="exact" w:line="600"/>
              <w:jc w:val="center"/>
            </w:pPr>
            <w:r/>
            <w:r>
              <w:rPr>
                <w:rFonts w:ascii="仿宋_GB2312" w:hAnsi="仿宋_GB2312" w:eastAsia="仿宋_GB2312"/>
                <w:b w:val="0"/>
                <w:color w:val="000000"/>
                <w:sz w:val="32"/>
              </w:rPr>
              <w:t>物流</w:t>
            </w:r>
          </w:p>
        </w:tc>
        <w:tc>
          <w:tcPr>
            <w:tcW w:type="dxa" w:w="3402"/>
          </w:tcPr>
          <w:p>
            <w:pPr>
              <w:spacing w:lineRule="exact" w:line="600"/>
              <w:jc w:val="center"/>
            </w:pPr>
            <w:r/>
            <w:r>
              <w:rPr>
                <w:rFonts w:ascii="仿宋_GB2312" w:hAnsi="仿宋_GB2312" w:eastAsia="仿宋_GB2312"/>
                <w:b w:val="0"/>
                <w:color w:val="000000"/>
                <w:sz w:val="32"/>
              </w:rPr>
              <w:t>配送</w:t>
            </w:r>
          </w:p>
        </w:tc>
        <w:tc>
          <w:tcPr>
            <w:tcW w:type="dxa" w:w="3685"/>
          </w:tcPr>
          <w:p>
            <w:pPr>
              <w:spacing w:lineRule="exact" w:line="600"/>
              <w:jc w:val="center"/>
            </w:pPr>
            <w:r/>
            <w:r>
              <w:rPr>
                <w:rFonts w:ascii="仿宋_GB2312" w:hAnsi="仿宋_GB2312" w:eastAsia="仿宋_GB2312"/>
                <w:b w:val="0"/>
                <w:color w:val="000000"/>
                <w:sz w:val="32"/>
              </w:rPr>
              <w:t>成本可控</w:t>
            </w:r>
          </w:p>
        </w:tc>
      </w:tr>
      <w:tr>
        <w:tc>
          <w:tcPr>
            <w:tcW w:type="dxa" w:w="1701"/>
          </w:tcPr>
          <w:p>
            <w:pPr>
              <w:spacing w:lineRule="exact" w:line="600"/>
              <w:jc w:val="center"/>
            </w:pPr>
            <w:r/>
            <w:r>
              <w:rPr>
                <w:rFonts w:ascii="仿宋_GB2312" w:hAnsi="仿宋_GB2312" w:eastAsia="仿宋_GB2312"/>
                <w:b w:val="0"/>
                <w:color w:val="000000"/>
                <w:sz w:val="32"/>
              </w:rPr>
              <w:t>用地</w:t>
            </w:r>
          </w:p>
        </w:tc>
        <w:tc>
          <w:tcPr>
            <w:tcW w:type="dxa" w:w="3402"/>
          </w:tcPr>
          <w:p>
            <w:pPr>
              <w:spacing w:lineRule="exact" w:line="600"/>
              <w:jc w:val="center"/>
            </w:pPr>
            <w:r/>
            <w:r>
              <w:rPr>
                <w:rFonts w:ascii="仿宋_GB2312" w:hAnsi="仿宋_GB2312" w:eastAsia="仿宋_GB2312"/>
                <w:b w:val="0"/>
                <w:color w:val="000000"/>
                <w:sz w:val="32"/>
              </w:rPr>
              <w:t>厂房</w:t>
            </w:r>
          </w:p>
        </w:tc>
        <w:tc>
          <w:tcPr>
            <w:tcW w:type="dxa" w:w="3685"/>
          </w:tcPr>
          <w:p>
            <w:pPr>
              <w:spacing w:lineRule="exact" w:line="600"/>
              <w:jc w:val="center"/>
            </w:pPr>
            <w:r/>
            <w:r>
              <w:rPr>
                <w:rFonts w:ascii="仿宋_GB2312" w:hAnsi="仿宋_GB2312" w:eastAsia="仿宋_GB2312"/>
                <w:b w:val="0"/>
                <w:color w:val="000000"/>
                <w:sz w:val="32"/>
              </w:rPr>
              <w:t>园区</w:t>
            </w:r>
          </w:p>
        </w:tc>
      </w:tr>
    </w:tbl>
    <w:p>
      <w:pPr>
        <w:spacing w:lineRule="exact" w:line="600" w:before="120" w:after="120"/>
        <w:ind w:firstLine="420"/>
        <w:jc w:val="left"/>
      </w:pPr>
      <w:r>
        <w:rPr>
          <w:rFonts w:ascii="楷体_GB2312" w:hAnsi="楷体_GB2312" w:eastAsia="楷体_GB2312"/>
          <w:b w:val="0"/>
          <w:color w:val="000000"/>
          <w:sz w:val="32"/>
        </w:rPr>
        <w:t>（二）企业盈利状况</w:t>
      </w:r>
    </w:p>
    <w:p>
      <w:pPr>
        <w:spacing w:lineRule="exact" w:line="600" w:before="0" w:after="0"/>
        <w:ind w:firstLine="420"/>
        <w:jc w:val="both"/>
      </w:pPr>
      <w:r>
        <w:rPr>
          <w:rFonts w:ascii="仿宋_GB2312" w:hAnsi="仿宋_GB2312" w:eastAsia="仿宋_GB2312"/>
          <w:b w:val="0"/>
          <w:color w:val="000000"/>
          <w:sz w:val="32"/>
        </w:rPr>
        <w:t>山东药玻2024年营收51.25亿元（+2.87%）、归母净利润9.43亿元（+21.55%），盈利增速显著优于制造与器械同业（来源：山东药玻年报）。员工7116人，人均创利13.25万元（来源：中证数据）。高盈利得益于产品结构与成本优化，是集群优质现金流来源。</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山东药玻指标</w:t>
            </w:r>
          </w:p>
        </w:tc>
        <w:tc>
          <w:tcPr>
            <w:tcW w:type="dxa" w:w="3118"/>
          </w:tcPr>
          <w:p>
            <w:pPr>
              <w:spacing w:lineRule="exact" w:line="600"/>
              <w:jc w:val="center"/>
            </w:pPr>
            <w:r/>
            <w:r>
              <w:rPr>
                <w:rFonts w:ascii="黑体" w:hAnsi="黑体" w:eastAsia="黑体"/>
                <w:b/>
                <w:color w:val="000000"/>
                <w:sz w:val="32"/>
              </w:rPr>
              <w:t>2024年</w:t>
            </w:r>
          </w:p>
        </w:tc>
        <w:tc>
          <w:tcPr>
            <w:tcW w:type="dxa" w:w="3402"/>
          </w:tcPr>
          <w:p>
            <w:pPr>
              <w:spacing w:lineRule="exact" w:line="600"/>
              <w:jc w:val="center"/>
            </w:pPr>
            <w:r/>
            <w:r>
              <w:rPr>
                <w:rFonts w:ascii="黑体" w:hAnsi="黑体" w:eastAsia="黑体"/>
                <w:b/>
                <w:color w:val="000000"/>
                <w:sz w:val="32"/>
              </w:rPr>
              <w:t>同比</w:t>
            </w:r>
          </w:p>
        </w:tc>
      </w:tr>
      <w:tr>
        <w:tc>
          <w:tcPr>
            <w:tcW w:type="dxa" w:w="1984"/>
          </w:tcPr>
          <w:p>
            <w:pPr>
              <w:spacing w:lineRule="exact" w:line="600"/>
              <w:jc w:val="center"/>
            </w:pPr>
            <w:r/>
            <w:r>
              <w:rPr>
                <w:rFonts w:ascii="仿宋_GB2312" w:hAnsi="仿宋_GB2312" w:eastAsia="仿宋_GB2312"/>
                <w:b w:val="0"/>
                <w:color w:val="000000"/>
                <w:sz w:val="32"/>
              </w:rPr>
              <w:t>营业收入</w:t>
            </w:r>
          </w:p>
        </w:tc>
        <w:tc>
          <w:tcPr>
            <w:tcW w:type="dxa" w:w="3118"/>
          </w:tcPr>
          <w:p>
            <w:pPr>
              <w:spacing w:lineRule="exact" w:line="600"/>
              <w:jc w:val="center"/>
            </w:pPr>
            <w:r/>
            <w:r>
              <w:rPr>
                <w:rFonts w:ascii="仿宋_GB2312" w:hAnsi="仿宋_GB2312" w:eastAsia="仿宋_GB2312"/>
                <w:b w:val="0"/>
                <w:color w:val="000000"/>
                <w:sz w:val="32"/>
              </w:rPr>
              <w:t>51.25亿元</w:t>
            </w:r>
          </w:p>
        </w:tc>
        <w:tc>
          <w:tcPr>
            <w:tcW w:type="dxa" w:w="3402"/>
          </w:tcPr>
          <w:p>
            <w:pPr>
              <w:spacing w:lineRule="exact" w:line="600"/>
              <w:jc w:val="center"/>
            </w:pPr>
            <w:r/>
            <w:r>
              <w:rPr>
                <w:rFonts w:ascii="仿宋_GB2312" w:hAnsi="仿宋_GB2312" w:eastAsia="仿宋_GB2312"/>
                <w:b w:val="0"/>
                <w:color w:val="000000"/>
                <w:sz w:val="32"/>
              </w:rPr>
              <w:t>+2.87%</w:t>
            </w:r>
          </w:p>
        </w:tc>
      </w:tr>
      <w:tr>
        <w:tc>
          <w:tcPr>
            <w:tcW w:type="dxa" w:w="1984"/>
          </w:tcPr>
          <w:p>
            <w:pPr>
              <w:spacing w:lineRule="exact" w:line="600"/>
              <w:jc w:val="center"/>
            </w:pPr>
            <w:r/>
            <w:r>
              <w:rPr>
                <w:rFonts w:ascii="仿宋_GB2312" w:hAnsi="仿宋_GB2312" w:eastAsia="仿宋_GB2312"/>
                <w:b w:val="0"/>
                <w:color w:val="000000"/>
                <w:sz w:val="32"/>
              </w:rPr>
              <w:t>归母净利润</w:t>
            </w:r>
          </w:p>
        </w:tc>
        <w:tc>
          <w:tcPr>
            <w:tcW w:type="dxa" w:w="3118"/>
          </w:tcPr>
          <w:p>
            <w:pPr>
              <w:spacing w:lineRule="exact" w:line="600"/>
              <w:jc w:val="center"/>
            </w:pPr>
            <w:r/>
            <w:r>
              <w:rPr>
                <w:rFonts w:ascii="仿宋_GB2312" w:hAnsi="仿宋_GB2312" w:eastAsia="仿宋_GB2312"/>
                <w:b w:val="0"/>
                <w:color w:val="000000"/>
                <w:sz w:val="32"/>
              </w:rPr>
              <w:t>9.43亿元</w:t>
            </w:r>
          </w:p>
        </w:tc>
        <w:tc>
          <w:tcPr>
            <w:tcW w:type="dxa" w:w="3402"/>
          </w:tcPr>
          <w:p>
            <w:pPr>
              <w:spacing w:lineRule="exact" w:line="600"/>
              <w:jc w:val="center"/>
            </w:pPr>
            <w:r/>
            <w:r>
              <w:rPr>
                <w:rFonts w:ascii="仿宋_GB2312" w:hAnsi="仿宋_GB2312" w:eastAsia="仿宋_GB2312"/>
                <w:b w:val="0"/>
                <w:color w:val="000000"/>
                <w:sz w:val="32"/>
              </w:rPr>
              <w:t>+21.55%</w:t>
            </w:r>
          </w:p>
        </w:tc>
      </w:tr>
      <w:tr>
        <w:tc>
          <w:tcPr>
            <w:tcW w:type="dxa" w:w="1984"/>
          </w:tcPr>
          <w:p>
            <w:pPr>
              <w:spacing w:lineRule="exact" w:line="600"/>
              <w:jc w:val="center"/>
            </w:pPr>
            <w:r/>
            <w:r>
              <w:rPr>
                <w:rFonts w:ascii="仿宋_GB2312" w:hAnsi="仿宋_GB2312" w:eastAsia="仿宋_GB2312"/>
                <w:b w:val="0"/>
                <w:color w:val="000000"/>
                <w:sz w:val="32"/>
              </w:rPr>
              <w:t>毛利率</w:t>
            </w:r>
          </w:p>
        </w:tc>
        <w:tc>
          <w:tcPr>
            <w:tcW w:type="dxa" w:w="3118"/>
          </w:tcPr>
          <w:p>
            <w:pPr>
              <w:spacing w:lineRule="exact" w:line="600"/>
              <w:jc w:val="center"/>
            </w:pPr>
            <w:r/>
            <w:r>
              <w:rPr>
                <w:rFonts w:ascii="仿宋_GB2312" w:hAnsi="仿宋_GB2312" w:eastAsia="仿宋_GB2312"/>
                <w:b w:val="0"/>
                <w:color w:val="000000"/>
                <w:sz w:val="32"/>
              </w:rPr>
              <w:t>31.72%</w:t>
            </w:r>
          </w:p>
        </w:tc>
        <w:tc>
          <w:tcPr>
            <w:tcW w:type="dxa" w:w="3402"/>
          </w:tcPr>
          <w:p>
            <w:pPr>
              <w:spacing w:lineRule="exact" w:line="600"/>
              <w:jc w:val="center"/>
            </w:pPr>
            <w:r/>
            <w:r>
              <w:rPr>
                <w:rFonts w:ascii="仿宋_GB2312" w:hAnsi="仿宋_GB2312" w:eastAsia="仿宋_GB2312"/>
                <w:b w:val="0"/>
                <w:color w:val="000000"/>
                <w:sz w:val="32"/>
              </w:rPr>
              <w:t>+3.69pct</w:t>
            </w:r>
          </w:p>
        </w:tc>
      </w:tr>
      <w:tr>
        <w:tc>
          <w:tcPr>
            <w:tcW w:type="dxa" w:w="1984"/>
          </w:tcPr>
          <w:p>
            <w:pPr>
              <w:spacing w:lineRule="exact" w:line="600"/>
              <w:jc w:val="center"/>
            </w:pPr>
            <w:r/>
            <w:r>
              <w:rPr>
                <w:rFonts w:ascii="仿宋_GB2312" w:hAnsi="仿宋_GB2312" w:eastAsia="仿宋_GB2312"/>
                <w:b w:val="0"/>
                <w:color w:val="000000"/>
                <w:sz w:val="32"/>
              </w:rPr>
              <w:t>人均创利</w:t>
            </w:r>
          </w:p>
        </w:tc>
        <w:tc>
          <w:tcPr>
            <w:tcW w:type="dxa" w:w="3118"/>
          </w:tcPr>
          <w:p>
            <w:pPr>
              <w:spacing w:lineRule="exact" w:line="600"/>
              <w:jc w:val="center"/>
            </w:pPr>
            <w:r/>
            <w:r>
              <w:rPr>
                <w:rFonts w:ascii="仿宋_GB2312" w:hAnsi="仿宋_GB2312" w:eastAsia="仿宋_GB2312"/>
                <w:b w:val="0"/>
                <w:color w:val="000000"/>
                <w:sz w:val="32"/>
              </w:rPr>
              <w:t>13.25万元</w:t>
            </w:r>
          </w:p>
        </w:tc>
        <w:tc>
          <w:tcPr>
            <w:tcW w:type="dxa" w:w="3402"/>
          </w:tcPr>
          <w:p>
            <w:pPr>
              <w:spacing w:lineRule="exact" w:line="600"/>
              <w:jc w:val="center"/>
            </w:pPr>
            <w:r/>
            <w:r>
              <w:rPr>
                <w:rFonts w:ascii="仿宋_GB2312" w:hAnsi="仿宋_GB2312" w:eastAsia="仿宋_GB2312"/>
                <w:b w:val="0"/>
                <w:color w:val="000000"/>
                <w:sz w:val="32"/>
              </w:rPr>
              <w:t>+10.57%</w:t>
            </w:r>
          </w:p>
        </w:tc>
      </w:tr>
    </w:tbl>
    <w:p>
      <w:pPr>
        <w:spacing w:lineRule="exact" w:line="600" w:before="120" w:after="120"/>
        <w:ind w:firstLine="420"/>
        <w:jc w:val="left"/>
      </w:pPr>
      <w:r>
        <w:rPr>
          <w:rFonts w:ascii="楷体_GB2312" w:hAnsi="楷体_GB2312" w:eastAsia="楷体_GB2312"/>
          <w:b w:val="0"/>
          <w:color w:val="000000"/>
          <w:sz w:val="32"/>
        </w:rPr>
        <w:t>（三）基础设施保障</w:t>
      </w:r>
    </w:p>
    <w:p>
      <w:pPr>
        <w:spacing w:lineRule="exact" w:line="600" w:before="0" w:after="0"/>
        <w:ind w:firstLine="420"/>
        <w:jc w:val="both"/>
      </w:pPr>
      <w:r>
        <w:rPr>
          <w:rFonts w:ascii="仿宋_GB2312" w:hAnsi="仿宋_GB2312" w:eastAsia="仿宋_GB2312"/>
          <w:b w:val="0"/>
          <w:color w:val="000000"/>
          <w:sz w:val="32"/>
        </w:rPr>
        <w:t>高新区建设淄博科学城、中国育奇谷（25万㎡标准厂房）、五大公共技术服务平台（年均3万家次），为药包材与流通研发、中试、产业化提供空间与公共服务（来源：淄博市政府，2026）。现代医药物流项目基建由园区配套支撑（来源：新华制药年报）。</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保障</w:t>
            </w:r>
          </w:p>
        </w:tc>
        <w:tc>
          <w:tcPr>
            <w:tcW w:type="dxa" w:w="3402"/>
          </w:tcPr>
          <w:p>
            <w:pPr>
              <w:spacing w:lineRule="exact" w:line="600"/>
              <w:jc w:val="center"/>
            </w:pPr>
            <w:r/>
            <w:r>
              <w:rPr>
                <w:rFonts w:ascii="黑体" w:hAnsi="黑体" w:eastAsia="黑体"/>
                <w:b/>
                <w:color w:val="000000"/>
                <w:sz w:val="32"/>
              </w:rPr>
              <w:t>项目</w:t>
            </w:r>
          </w:p>
        </w:tc>
        <w:tc>
          <w:tcPr>
            <w:tcW w:type="dxa" w:w="3685"/>
          </w:tcPr>
          <w:p>
            <w:pPr>
              <w:spacing w:lineRule="exact" w:line="600"/>
              <w:jc w:val="center"/>
            </w:pPr>
            <w:r/>
            <w:r>
              <w:rPr>
                <w:rFonts w:ascii="黑体" w:hAnsi="黑体" w:eastAsia="黑体"/>
                <w:b/>
                <w:color w:val="000000"/>
                <w:sz w:val="32"/>
              </w:rPr>
              <w:t>状态</w:t>
            </w:r>
          </w:p>
        </w:tc>
      </w:tr>
      <w:tr>
        <w:tc>
          <w:tcPr>
            <w:tcW w:type="dxa" w:w="1701"/>
          </w:tcPr>
          <w:p>
            <w:pPr>
              <w:spacing w:lineRule="exact" w:line="600"/>
              <w:jc w:val="center"/>
            </w:pPr>
            <w:r/>
            <w:r>
              <w:rPr>
                <w:rFonts w:ascii="仿宋_GB2312" w:hAnsi="仿宋_GB2312" w:eastAsia="仿宋_GB2312"/>
                <w:b w:val="0"/>
                <w:color w:val="000000"/>
                <w:sz w:val="32"/>
              </w:rPr>
              <w:t>科学城</w:t>
            </w:r>
          </w:p>
        </w:tc>
        <w:tc>
          <w:tcPr>
            <w:tcW w:type="dxa" w:w="3402"/>
          </w:tcPr>
          <w:p>
            <w:pPr>
              <w:spacing w:lineRule="exact" w:line="600"/>
              <w:jc w:val="center"/>
            </w:pPr>
            <w:r/>
            <w:r>
              <w:rPr>
                <w:rFonts w:ascii="仿宋_GB2312" w:hAnsi="仿宋_GB2312" w:eastAsia="仿宋_GB2312"/>
                <w:b w:val="0"/>
                <w:color w:val="000000"/>
                <w:sz w:val="32"/>
              </w:rPr>
              <w:t>科研载体</w:t>
            </w:r>
          </w:p>
        </w:tc>
        <w:tc>
          <w:tcPr>
            <w:tcW w:type="dxa" w:w="3685"/>
          </w:tcPr>
          <w:p>
            <w:pPr>
              <w:spacing w:lineRule="exact" w:line="600"/>
              <w:jc w:val="center"/>
            </w:pPr>
            <w:r/>
            <w:r>
              <w:rPr>
                <w:rFonts w:ascii="仿宋_GB2312" w:hAnsi="仿宋_GB2312" w:eastAsia="仿宋_GB2312"/>
                <w:b w:val="0"/>
                <w:color w:val="000000"/>
                <w:sz w:val="32"/>
              </w:rPr>
              <w:t>建设</w:t>
            </w:r>
          </w:p>
        </w:tc>
      </w:tr>
      <w:tr>
        <w:tc>
          <w:tcPr>
            <w:tcW w:type="dxa" w:w="1701"/>
          </w:tcPr>
          <w:p>
            <w:pPr>
              <w:spacing w:lineRule="exact" w:line="600"/>
              <w:jc w:val="center"/>
            </w:pPr>
            <w:r/>
            <w:r>
              <w:rPr>
                <w:rFonts w:ascii="仿宋_GB2312" w:hAnsi="仿宋_GB2312" w:eastAsia="仿宋_GB2312"/>
                <w:b w:val="0"/>
                <w:color w:val="000000"/>
                <w:sz w:val="32"/>
              </w:rPr>
              <w:t>育奇谷</w:t>
            </w:r>
          </w:p>
        </w:tc>
        <w:tc>
          <w:tcPr>
            <w:tcW w:type="dxa" w:w="3402"/>
          </w:tcPr>
          <w:p>
            <w:pPr>
              <w:spacing w:lineRule="exact" w:line="600"/>
              <w:jc w:val="center"/>
            </w:pPr>
            <w:r/>
            <w:r>
              <w:rPr>
                <w:rFonts w:ascii="仿宋_GB2312" w:hAnsi="仿宋_GB2312" w:eastAsia="仿宋_GB2312"/>
                <w:b w:val="0"/>
                <w:color w:val="000000"/>
                <w:sz w:val="32"/>
              </w:rPr>
              <w:t>25万㎡</w:t>
            </w:r>
          </w:p>
        </w:tc>
        <w:tc>
          <w:tcPr>
            <w:tcW w:type="dxa" w:w="3685"/>
          </w:tcPr>
          <w:p>
            <w:pPr>
              <w:spacing w:lineRule="exact" w:line="600"/>
              <w:jc w:val="center"/>
            </w:pPr>
            <w:r/>
            <w:r>
              <w:rPr>
                <w:rFonts w:ascii="仿宋_GB2312" w:hAnsi="仿宋_GB2312" w:eastAsia="仿宋_GB2312"/>
                <w:b w:val="0"/>
                <w:color w:val="000000"/>
                <w:sz w:val="32"/>
              </w:rPr>
              <w:t>空间</w:t>
            </w:r>
          </w:p>
        </w:tc>
      </w:tr>
      <w:tr>
        <w:tc>
          <w:tcPr>
            <w:tcW w:type="dxa" w:w="1701"/>
          </w:tcPr>
          <w:p>
            <w:pPr>
              <w:spacing w:lineRule="exact" w:line="600"/>
              <w:jc w:val="center"/>
            </w:pPr>
            <w:r/>
            <w:r>
              <w:rPr>
                <w:rFonts w:ascii="仿宋_GB2312" w:hAnsi="仿宋_GB2312" w:eastAsia="仿宋_GB2312"/>
                <w:b w:val="0"/>
                <w:color w:val="000000"/>
                <w:sz w:val="32"/>
              </w:rPr>
              <w:t>公共平台</w:t>
            </w:r>
          </w:p>
        </w:tc>
        <w:tc>
          <w:tcPr>
            <w:tcW w:type="dxa" w:w="3402"/>
          </w:tcPr>
          <w:p>
            <w:pPr>
              <w:spacing w:lineRule="exact" w:line="600"/>
              <w:jc w:val="center"/>
            </w:pPr>
            <w:r/>
            <w:r>
              <w:rPr>
                <w:rFonts w:ascii="仿宋_GB2312" w:hAnsi="仿宋_GB2312" w:eastAsia="仿宋_GB2312"/>
                <w:b w:val="0"/>
                <w:color w:val="000000"/>
                <w:sz w:val="32"/>
              </w:rPr>
              <w:t>5大</w:t>
            </w:r>
          </w:p>
        </w:tc>
        <w:tc>
          <w:tcPr>
            <w:tcW w:type="dxa" w:w="3685"/>
          </w:tcPr>
          <w:p>
            <w:pPr>
              <w:spacing w:lineRule="exact" w:line="600"/>
              <w:jc w:val="center"/>
            </w:pPr>
            <w:r/>
            <w:r>
              <w:rPr>
                <w:rFonts w:ascii="仿宋_GB2312" w:hAnsi="仿宋_GB2312" w:eastAsia="仿宋_GB2312"/>
                <w:b w:val="0"/>
                <w:color w:val="000000"/>
                <w:sz w:val="32"/>
              </w:rPr>
              <w:t>服务</w:t>
            </w:r>
          </w:p>
        </w:tc>
      </w:tr>
      <w:tr>
        <w:tc>
          <w:tcPr>
            <w:tcW w:type="dxa" w:w="1701"/>
          </w:tcPr>
          <w:p>
            <w:pPr>
              <w:spacing w:lineRule="exact" w:line="600"/>
              <w:jc w:val="center"/>
            </w:pPr>
            <w:r/>
            <w:r>
              <w:rPr>
                <w:rFonts w:ascii="仿宋_GB2312" w:hAnsi="仿宋_GB2312" w:eastAsia="仿宋_GB2312"/>
                <w:b w:val="0"/>
                <w:color w:val="000000"/>
                <w:sz w:val="32"/>
              </w:rPr>
              <w:t>物流项目</w:t>
            </w:r>
          </w:p>
        </w:tc>
        <w:tc>
          <w:tcPr>
            <w:tcW w:type="dxa" w:w="3402"/>
          </w:tcPr>
          <w:p>
            <w:pPr>
              <w:spacing w:lineRule="exact" w:line="600"/>
              <w:jc w:val="center"/>
            </w:pPr>
            <w:r/>
            <w:r>
              <w:rPr>
                <w:rFonts w:ascii="仿宋_GB2312" w:hAnsi="仿宋_GB2312" w:eastAsia="仿宋_GB2312"/>
                <w:b w:val="0"/>
                <w:color w:val="000000"/>
                <w:sz w:val="32"/>
              </w:rPr>
              <w:t>新华制药</w:t>
            </w:r>
          </w:p>
        </w:tc>
        <w:tc>
          <w:tcPr>
            <w:tcW w:type="dxa" w:w="3685"/>
          </w:tcPr>
          <w:p>
            <w:pPr>
              <w:spacing w:lineRule="exact" w:line="600"/>
              <w:jc w:val="center"/>
            </w:pPr>
            <w:r/>
            <w:r>
              <w:rPr>
                <w:rFonts w:ascii="仿宋_GB2312" w:hAnsi="仿宋_GB2312" w:eastAsia="仿宋_GB2312"/>
                <w:b w:val="0"/>
                <w:color w:val="000000"/>
                <w:sz w:val="32"/>
              </w:rPr>
              <w:t>推进</w:t>
            </w:r>
          </w:p>
        </w:tc>
      </w:tr>
    </w:tbl>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120" w:after="120"/>
        <w:ind w:firstLine="420"/>
        <w:jc w:val="left"/>
      </w:pPr>
      <w:r>
        <w:rPr>
          <w:rFonts w:ascii="楷体_GB2312" w:hAnsi="楷体_GB2312" w:eastAsia="楷体_GB2312"/>
          <w:b w:val="0"/>
          <w:color w:val="000000"/>
          <w:sz w:val="32"/>
        </w:rPr>
        <w:t>（一）发展机遇</w:t>
      </w:r>
    </w:p>
    <w:p>
      <w:pPr>
        <w:spacing w:lineRule="exact" w:line="600" w:before="0" w:after="0"/>
        <w:ind w:firstLine="420"/>
        <w:jc w:val="both"/>
      </w:pPr>
      <w:r>
        <w:rPr>
          <w:rFonts w:ascii="仿宋_GB2312" w:hAnsi="仿宋_GB2312" w:eastAsia="仿宋_GB2312"/>
          <w:b w:val="0"/>
          <w:color w:val="000000"/>
          <w:sz w:val="32"/>
        </w:rPr>
        <w:t>机遇一：一致性评价与集采推动中硼硅包材渗透提升，山东药玻中硼硅模制瓶持续增长（来源：申万研报）。机遇二：制剂出海（新华制药出口近4亿美元）带动包材出口协同（来源：新华制药年报）。机遇三：棕色瓶出口强劲（28.6万吨，+4.8%）（来源：申万研报）。机遇四：医药物流标准化与冷链建设扩容（来源：新华制药年报）。</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机遇</w:t>
            </w:r>
          </w:p>
        </w:tc>
        <w:tc>
          <w:tcPr>
            <w:tcW w:type="dxa" w:w="3118"/>
          </w:tcPr>
          <w:p>
            <w:pPr>
              <w:spacing w:lineRule="exact" w:line="600"/>
              <w:jc w:val="center"/>
            </w:pPr>
            <w:r/>
            <w:r>
              <w:rPr>
                <w:rFonts w:ascii="黑体" w:hAnsi="黑体" w:eastAsia="黑体"/>
                <w:b/>
                <w:color w:val="000000"/>
                <w:sz w:val="32"/>
              </w:rPr>
              <w:t>依据</w:t>
            </w:r>
          </w:p>
        </w:tc>
        <w:tc>
          <w:tcPr>
            <w:tcW w:type="dxa" w:w="3402"/>
          </w:tcPr>
          <w:p>
            <w:pPr>
              <w:spacing w:lineRule="exact" w:line="600"/>
              <w:jc w:val="center"/>
            </w:pPr>
            <w:r/>
            <w:r>
              <w:rPr>
                <w:rFonts w:ascii="黑体" w:hAnsi="黑体" w:eastAsia="黑体"/>
                <w:b/>
                <w:color w:val="000000"/>
                <w:sz w:val="32"/>
              </w:rPr>
              <w:t>收益</w:t>
            </w:r>
          </w:p>
        </w:tc>
      </w:tr>
      <w:tr>
        <w:tc>
          <w:tcPr>
            <w:tcW w:type="dxa" w:w="1984"/>
          </w:tcPr>
          <w:p>
            <w:pPr>
              <w:spacing w:lineRule="exact" w:line="600"/>
              <w:jc w:val="center"/>
            </w:pPr>
            <w:r/>
            <w:r>
              <w:rPr>
                <w:rFonts w:ascii="仿宋_GB2312" w:hAnsi="仿宋_GB2312" w:eastAsia="仿宋_GB2312"/>
                <w:b w:val="0"/>
                <w:color w:val="000000"/>
                <w:sz w:val="32"/>
              </w:rPr>
              <w:t>中硼硅渗透</w:t>
            </w:r>
          </w:p>
        </w:tc>
        <w:tc>
          <w:tcPr>
            <w:tcW w:type="dxa" w:w="3118"/>
          </w:tcPr>
          <w:p>
            <w:pPr>
              <w:spacing w:lineRule="exact" w:line="600"/>
              <w:jc w:val="center"/>
            </w:pPr>
            <w:r/>
            <w:r>
              <w:rPr>
                <w:rFonts w:ascii="仿宋_GB2312" w:hAnsi="仿宋_GB2312" w:eastAsia="仿宋_GB2312"/>
                <w:b w:val="0"/>
                <w:color w:val="000000"/>
                <w:sz w:val="32"/>
              </w:rPr>
              <w:t>集采/一致性</w:t>
            </w:r>
          </w:p>
        </w:tc>
        <w:tc>
          <w:tcPr>
            <w:tcW w:type="dxa" w:w="3402"/>
          </w:tcPr>
          <w:p>
            <w:pPr>
              <w:spacing w:lineRule="exact" w:line="600"/>
              <w:jc w:val="center"/>
            </w:pPr>
            <w:r/>
            <w:r>
              <w:rPr>
                <w:rFonts w:ascii="仿宋_GB2312" w:hAnsi="仿宋_GB2312" w:eastAsia="仿宋_GB2312"/>
                <w:b w:val="0"/>
                <w:color w:val="000000"/>
                <w:sz w:val="32"/>
              </w:rPr>
              <w:t>高端</w:t>
            </w:r>
          </w:p>
        </w:tc>
      </w:tr>
      <w:tr>
        <w:tc>
          <w:tcPr>
            <w:tcW w:type="dxa" w:w="1984"/>
          </w:tcPr>
          <w:p>
            <w:pPr>
              <w:spacing w:lineRule="exact" w:line="600"/>
              <w:jc w:val="center"/>
            </w:pPr>
            <w:r/>
            <w:r>
              <w:rPr>
                <w:rFonts w:ascii="仿宋_GB2312" w:hAnsi="仿宋_GB2312" w:eastAsia="仿宋_GB2312"/>
                <w:b w:val="0"/>
                <w:color w:val="000000"/>
                <w:sz w:val="32"/>
              </w:rPr>
              <w:t>制剂出海</w:t>
            </w:r>
          </w:p>
        </w:tc>
        <w:tc>
          <w:tcPr>
            <w:tcW w:type="dxa" w:w="3118"/>
          </w:tcPr>
          <w:p>
            <w:pPr>
              <w:spacing w:lineRule="exact" w:line="600"/>
              <w:jc w:val="center"/>
            </w:pPr>
            <w:r/>
            <w:r>
              <w:rPr>
                <w:rFonts w:ascii="仿宋_GB2312" w:hAnsi="仿宋_GB2312" w:eastAsia="仿宋_GB2312"/>
                <w:b w:val="0"/>
                <w:color w:val="000000"/>
                <w:sz w:val="32"/>
              </w:rPr>
              <w:t>4亿美元</w:t>
            </w:r>
          </w:p>
        </w:tc>
        <w:tc>
          <w:tcPr>
            <w:tcW w:type="dxa" w:w="3402"/>
          </w:tcPr>
          <w:p>
            <w:pPr>
              <w:spacing w:lineRule="exact" w:line="600"/>
              <w:jc w:val="center"/>
            </w:pPr>
            <w:r/>
            <w:r>
              <w:rPr>
                <w:rFonts w:ascii="仿宋_GB2312" w:hAnsi="仿宋_GB2312" w:eastAsia="仿宋_GB2312"/>
                <w:b w:val="0"/>
                <w:color w:val="000000"/>
                <w:sz w:val="32"/>
              </w:rPr>
              <w:t>包材协同</w:t>
            </w:r>
          </w:p>
        </w:tc>
      </w:tr>
      <w:tr>
        <w:tc>
          <w:tcPr>
            <w:tcW w:type="dxa" w:w="1984"/>
          </w:tcPr>
          <w:p>
            <w:pPr>
              <w:spacing w:lineRule="exact" w:line="600"/>
              <w:jc w:val="center"/>
            </w:pPr>
            <w:r/>
            <w:r>
              <w:rPr>
                <w:rFonts w:ascii="仿宋_GB2312" w:hAnsi="仿宋_GB2312" w:eastAsia="仿宋_GB2312"/>
                <w:b w:val="0"/>
                <w:color w:val="000000"/>
                <w:sz w:val="32"/>
              </w:rPr>
              <w:t>棕色瓶</w:t>
            </w:r>
          </w:p>
        </w:tc>
        <w:tc>
          <w:tcPr>
            <w:tcW w:type="dxa" w:w="3118"/>
          </w:tcPr>
          <w:p>
            <w:pPr>
              <w:spacing w:lineRule="exact" w:line="600"/>
              <w:jc w:val="center"/>
            </w:pPr>
            <w:r/>
            <w:r>
              <w:rPr>
                <w:rFonts w:ascii="仿宋_GB2312" w:hAnsi="仿宋_GB2312" w:eastAsia="仿宋_GB2312"/>
                <w:b w:val="0"/>
                <w:color w:val="000000"/>
                <w:sz w:val="32"/>
              </w:rPr>
              <w:t>28.6万吨+4.8%</w:t>
            </w:r>
          </w:p>
        </w:tc>
        <w:tc>
          <w:tcPr>
            <w:tcW w:type="dxa" w:w="3402"/>
          </w:tcPr>
          <w:p>
            <w:pPr>
              <w:spacing w:lineRule="exact" w:line="600"/>
              <w:jc w:val="center"/>
            </w:pPr>
            <w:r/>
            <w:r>
              <w:rPr>
                <w:rFonts w:ascii="仿宋_GB2312" w:hAnsi="仿宋_GB2312" w:eastAsia="仿宋_GB2312"/>
                <w:b w:val="0"/>
                <w:color w:val="000000"/>
                <w:sz w:val="32"/>
              </w:rPr>
              <w:t>出口</w:t>
            </w:r>
          </w:p>
        </w:tc>
      </w:tr>
      <w:tr>
        <w:tc>
          <w:tcPr>
            <w:tcW w:type="dxa" w:w="1984"/>
          </w:tcPr>
          <w:p>
            <w:pPr>
              <w:spacing w:lineRule="exact" w:line="600"/>
              <w:jc w:val="center"/>
            </w:pPr>
            <w:r/>
            <w:r>
              <w:rPr>
                <w:rFonts w:ascii="仿宋_GB2312" w:hAnsi="仿宋_GB2312" w:eastAsia="仿宋_GB2312"/>
                <w:b w:val="0"/>
                <w:color w:val="000000"/>
                <w:sz w:val="32"/>
              </w:rPr>
              <w:t>医药物流</w:t>
            </w:r>
          </w:p>
        </w:tc>
        <w:tc>
          <w:tcPr>
            <w:tcW w:type="dxa" w:w="3118"/>
          </w:tcPr>
          <w:p>
            <w:pPr>
              <w:spacing w:lineRule="exact" w:line="600"/>
              <w:jc w:val="center"/>
            </w:pPr>
            <w:r/>
            <w:r>
              <w:rPr>
                <w:rFonts w:ascii="仿宋_GB2312" w:hAnsi="仿宋_GB2312" w:eastAsia="仿宋_GB2312"/>
                <w:b w:val="0"/>
                <w:color w:val="000000"/>
                <w:sz w:val="32"/>
              </w:rPr>
              <w:t>标准化</w:t>
            </w:r>
          </w:p>
        </w:tc>
        <w:tc>
          <w:tcPr>
            <w:tcW w:type="dxa" w:w="3402"/>
          </w:tcPr>
          <w:p>
            <w:pPr>
              <w:spacing w:lineRule="exact" w:line="600"/>
              <w:jc w:val="center"/>
            </w:pPr>
            <w:r/>
            <w:r>
              <w:rPr>
                <w:rFonts w:ascii="仿宋_GB2312" w:hAnsi="仿宋_GB2312" w:eastAsia="仿宋_GB2312"/>
                <w:b w:val="0"/>
                <w:color w:val="000000"/>
                <w:sz w:val="32"/>
              </w:rPr>
              <w:t>扩容</w:t>
            </w:r>
          </w:p>
        </w:tc>
      </w:tr>
    </w:tbl>
    <w:p>
      <w:pPr>
        <w:spacing w:lineRule="exact" w:line="600" w:before="120" w:after="120"/>
        <w:ind w:firstLine="420"/>
        <w:jc w:val="left"/>
      </w:pPr>
      <w:r>
        <w:rPr>
          <w:rFonts w:ascii="楷体_GB2312" w:hAnsi="楷体_GB2312" w:eastAsia="楷体_GB2312"/>
          <w:b w:val="0"/>
          <w:color w:val="000000"/>
          <w:sz w:val="32"/>
        </w:rPr>
        <w:t>（二）主要挑战</w:t>
      </w:r>
    </w:p>
    <w:p>
      <w:pPr>
        <w:spacing w:lineRule="exact" w:line="600" w:before="0" w:after="0"/>
        <w:ind w:firstLine="420"/>
        <w:jc w:val="both"/>
      </w:pPr>
      <w:r>
        <w:rPr>
          <w:rFonts w:ascii="仿宋_GB2312" w:hAnsi="仿宋_GB2312" w:eastAsia="仿宋_GB2312"/>
          <w:b w:val="0"/>
          <w:color w:val="000000"/>
          <w:sz w:val="32"/>
        </w:rPr>
        <w:t>挑战一：我国中硼硅药包材渗透率仍偏低，短期增量依赖政策推动（来源：申万研报）。挑战二：原料（纯碱、煤炭、硼砂）价格波动影响毛利率（来源：山东药玻年报）。挑战三：模制瓶销售37.5万吨仅微降0.4%，增长趋缓（来源：申万研报）。挑战四：流通环节集采压价、全国性流通商竞争。</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挑战</w:t>
            </w:r>
          </w:p>
        </w:tc>
        <w:tc>
          <w:tcPr>
            <w:tcW w:type="dxa" w:w="3402"/>
          </w:tcPr>
          <w:p>
            <w:pPr>
              <w:spacing w:lineRule="exact" w:line="600"/>
              <w:jc w:val="center"/>
            </w:pPr>
            <w:r/>
            <w:r>
              <w:rPr>
                <w:rFonts w:ascii="黑体" w:hAnsi="黑体" w:eastAsia="黑体"/>
                <w:b/>
                <w:color w:val="000000"/>
                <w:sz w:val="32"/>
              </w:rPr>
              <w:t>表现</w:t>
            </w:r>
          </w:p>
        </w:tc>
        <w:tc>
          <w:tcPr>
            <w:tcW w:type="dxa" w:w="3685"/>
          </w:tcPr>
          <w:p>
            <w:pPr>
              <w:spacing w:lineRule="exact" w:line="600"/>
              <w:jc w:val="center"/>
            </w:pPr>
            <w:r/>
            <w:r>
              <w:rPr>
                <w:rFonts w:ascii="黑体" w:hAnsi="黑体" w:eastAsia="黑体"/>
                <w:b/>
                <w:color w:val="000000"/>
                <w:sz w:val="32"/>
              </w:rPr>
              <w:t>影响</w:t>
            </w:r>
          </w:p>
        </w:tc>
      </w:tr>
      <w:tr>
        <w:tc>
          <w:tcPr>
            <w:tcW w:type="dxa" w:w="1701"/>
          </w:tcPr>
          <w:p>
            <w:pPr>
              <w:spacing w:lineRule="exact" w:line="600"/>
              <w:jc w:val="center"/>
            </w:pPr>
            <w:r/>
            <w:r>
              <w:rPr>
                <w:rFonts w:ascii="仿宋_GB2312" w:hAnsi="仿宋_GB2312" w:eastAsia="仿宋_GB2312"/>
                <w:b w:val="0"/>
                <w:color w:val="000000"/>
                <w:sz w:val="32"/>
              </w:rPr>
              <w:t>中硼硅渗透</w:t>
            </w:r>
          </w:p>
        </w:tc>
        <w:tc>
          <w:tcPr>
            <w:tcW w:type="dxa" w:w="3402"/>
          </w:tcPr>
          <w:p>
            <w:pPr>
              <w:spacing w:lineRule="exact" w:line="600"/>
              <w:jc w:val="center"/>
            </w:pPr>
            <w:r/>
            <w:r>
              <w:rPr>
                <w:rFonts w:ascii="仿宋_GB2312" w:hAnsi="仿宋_GB2312" w:eastAsia="仿宋_GB2312"/>
                <w:b w:val="0"/>
                <w:color w:val="000000"/>
                <w:sz w:val="32"/>
              </w:rPr>
              <w:t>偏低</w:t>
            </w:r>
          </w:p>
        </w:tc>
        <w:tc>
          <w:tcPr>
            <w:tcW w:type="dxa" w:w="3685"/>
          </w:tcPr>
          <w:p>
            <w:pPr>
              <w:spacing w:lineRule="exact" w:line="600"/>
              <w:jc w:val="center"/>
            </w:pPr>
            <w:r/>
            <w:r>
              <w:rPr>
                <w:rFonts w:ascii="仿宋_GB2312" w:hAnsi="仿宋_GB2312" w:eastAsia="仿宋_GB2312"/>
                <w:b w:val="0"/>
                <w:color w:val="000000"/>
                <w:sz w:val="32"/>
              </w:rPr>
              <w:t>增量缓</w:t>
            </w:r>
          </w:p>
        </w:tc>
      </w:tr>
      <w:tr>
        <w:tc>
          <w:tcPr>
            <w:tcW w:type="dxa" w:w="1701"/>
          </w:tcPr>
          <w:p>
            <w:pPr>
              <w:spacing w:lineRule="exact" w:line="600"/>
              <w:jc w:val="center"/>
            </w:pPr>
            <w:r/>
            <w:r>
              <w:rPr>
                <w:rFonts w:ascii="仿宋_GB2312" w:hAnsi="仿宋_GB2312" w:eastAsia="仿宋_GB2312"/>
                <w:b w:val="0"/>
                <w:color w:val="000000"/>
                <w:sz w:val="32"/>
              </w:rPr>
              <w:t>原料波动</w:t>
            </w:r>
          </w:p>
        </w:tc>
        <w:tc>
          <w:tcPr>
            <w:tcW w:type="dxa" w:w="3402"/>
          </w:tcPr>
          <w:p>
            <w:pPr>
              <w:spacing w:lineRule="exact" w:line="600"/>
              <w:jc w:val="center"/>
            </w:pPr>
            <w:r/>
            <w:r>
              <w:rPr>
                <w:rFonts w:ascii="仿宋_GB2312" w:hAnsi="仿宋_GB2312" w:eastAsia="仿宋_GB2312"/>
                <w:b w:val="0"/>
                <w:color w:val="000000"/>
                <w:sz w:val="32"/>
              </w:rPr>
              <w:t>纯碱/煤</w:t>
            </w:r>
          </w:p>
        </w:tc>
        <w:tc>
          <w:tcPr>
            <w:tcW w:type="dxa" w:w="3685"/>
          </w:tcPr>
          <w:p>
            <w:pPr>
              <w:spacing w:lineRule="exact" w:line="600"/>
              <w:jc w:val="center"/>
            </w:pPr>
            <w:r/>
            <w:r>
              <w:rPr>
                <w:rFonts w:ascii="仿宋_GB2312" w:hAnsi="仿宋_GB2312" w:eastAsia="仿宋_GB2312"/>
                <w:b w:val="0"/>
                <w:color w:val="000000"/>
                <w:sz w:val="32"/>
              </w:rPr>
              <w:t>毛利压</w:t>
            </w:r>
          </w:p>
        </w:tc>
      </w:tr>
      <w:tr>
        <w:tc>
          <w:tcPr>
            <w:tcW w:type="dxa" w:w="1701"/>
          </w:tcPr>
          <w:p>
            <w:pPr>
              <w:spacing w:lineRule="exact" w:line="600"/>
              <w:jc w:val="center"/>
            </w:pPr>
            <w:r/>
            <w:r>
              <w:rPr>
                <w:rFonts w:ascii="仿宋_GB2312" w:hAnsi="仿宋_GB2312" w:eastAsia="仿宋_GB2312"/>
                <w:b w:val="0"/>
                <w:color w:val="000000"/>
                <w:sz w:val="32"/>
              </w:rPr>
              <w:t>模制瓶</w:t>
            </w:r>
          </w:p>
        </w:tc>
        <w:tc>
          <w:tcPr>
            <w:tcW w:type="dxa" w:w="3402"/>
          </w:tcPr>
          <w:p>
            <w:pPr>
              <w:spacing w:lineRule="exact" w:line="600"/>
              <w:jc w:val="center"/>
            </w:pPr>
            <w:r/>
            <w:r>
              <w:rPr>
                <w:rFonts w:ascii="仿宋_GB2312" w:hAnsi="仿宋_GB2312" w:eastAsia="仿宋_GB2312"/>
                <w:b w:val="0"/>
                <w:color w:val="000000"/>
                <w:sz w:val="32"/>
              </w:rPr>
              <w:t>-0.4%</w:t>
            </w:r>
          </w:p>
        </w:tc>
        <w:tc>
          <w:tcPr>
            <w:tcW w:type="dxa" w:w="3685"/>
          </w:tcPr>
          <w:p>
            <w:pPr>
              <w:spacing w:lineRule="exact" w:line="600"/>
              <w:jc w:val="center"/>
            </w:pPr>
            <w:r/>
            <w:r>
              <w:rPr>
                <w:rFonts w:ascii="仿宋_GB2312" w:hAnsi="仿宋_GB2312" w:eastAsia="仿宋_GB2312"/>
                <w:b w:val="0"/>
                <w:color w:val="000000"/>
                <w:sz w:val="32"/>
              </w:rPr>
              <w:t>平稳</w:t>
            </w:r>
          </w:p>
        </w:tc>
      </w:tr>
      <w:tr>
        <w:tc>
          <w:tcPr>
            <w:tcW w:type="dxa" w:w="1701"/>
          </w:tcPr>
          <w:p>
            <w:pPr>
              <w:spacing w:lineRule="exact" w:line="600"/>
              <w:jc w:val="center"/>
            </w:pPr>
            <w:r/>
            <w:r>
              <w:rPr>
                <w:rFonts w:ascii="仿宋_GB2312" w:hAnsi="仿宋_GB2312" w:eastAsia="仿宋_GB2312"/>
                <w:b w:val="0"/>
                <w:color w:val="000000"/>
                <w:sz w:val="32"/>
              </w:rPr>
              <w:t>流通压价</w:t>
            </w:r>
          </w:p>
        </w:tc>
        <w:tc>
          <w:tcPr>
            <w:tcW w:type="dxa" w:w="3402"/>
          </w:tcPr>
          <w:p>
            <w:pPr>
              <w:spacing w:lineRule="exact" w:line="600"/>
              <w:jc w:val="center"/>
            </w:pPr>
            <w:r/>
            <w:r>
              <w:rPr>
                <w:rFonts w:ascii="仿宋_GB2312" w:hAnsi="仿宋_GB2312" w:eastAsia="仿宋_GB2312"/>
                <w:b w:val="0"/>
                <w:color w:val="000000"/>
                <w:sz w:val="32"/>
              </w:rPr>
              <w:t>集采</w:t>
            </w:r>
          </w:p>
        </w:tc>
        <w:tc>
          <w:tcPr>
            <w:tcW w:type="dxa" w:w="3685"/>
          </w:tcPr>
          <w:p>
            <w:pPr>
              <w:spacing w:lineRule="exact" w:line="600"/>
              <w:jc w:val="center"/>
            </w:pPr>
            <w:r/>
            <w:r>
              <w:rPr>
                <w:rFonts w:ascii="仿宋_GB2312" w:hAnsi="仿宋_GB2312" w:eastAsia="仿宋_GB2312"/>
                <w:b w:val="0"/>
                <w:color w:val="000000"/>
                <w:sz w:val="32"/>
              </w:rPr>
              <w:t>盈利薄</w:t>
            </w:r>
          </w:p>
        </w:tc>
      </w:tr>
    </w:tbl>
    <w:p>
      <w:pPr>
        <w:spacing w:lineRule="exact" w:line="600" w:before="120" w:after="120"/>
        <w:ind w:firstLine="420"/>
        <w:jc w:val="left"/>
      </w:pPr>
      <w:r>
        <w:rPr>
          <w:rFonts w:ascii="楷体_GB2312" w:hAnsi="楷体_GB2312" w:eastAsia="楷体_GB2312"/>
          <w:b w:val="0"/>
          <w:color w:val="000000"/>
          <w:sz w:val="32"/>
        </w:rPr>
        <w:t>（三）潜在风险</w:t>
      </w:r>
    </w:p>
    <w:p>
      <w:pPr>
        <w:spacing w:lineRule="exact" w:line="600" w:before="0" w:after="0"/>
        <w:ind w:firstLine="420"/>
        <w:jc w:val="both"/>
      </w:pPr>
      <w:r>
        <w:rPr>
          <w:rFonts w:ascii="仿宋_GB2312" w:hAnsi="仿宋_GB2312" w:eastAsia="仿宋_GB2312"/>
          <w:b w:val="0"/>
          <w:color w:val="000000"/>
          <w:sz w:val="32"/>
        </w:rPr>
        <w:t>风险一：若中硼硅渗透不及预期，高端化红利减弱。风险二：能源与原料价格上行吞噬成本优化红利。风险三：医药物流政策（配送集中度、冷链合规）变化增加运营成本。风险四：环保监管趋严，玻璃窑炉面临限产与技改。</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风险</w:t>
            </w:r>
          </w:p>
        </w:tc>
        <w:tc>
          <w:tcPr>
            <w:tcW w:type="dxa" w:w="3402"/>
          </w:tcPr>
          <w:p>
            <w:pPr>
              <w:spacing w:lineRule="exact" w:line="600"/>
              <w:jc w:val="center"/>
            </w:pPr>
            <w:r/>
            <w:r>
              <w:rPr>
                <w:rFonts w:ascii="黑体" w:hAnsi="黑体" w:eastAsia="黑体"/>
                <w:b/>
                <w:color w:val="000000"/>
                <w:sz w:val="32"/>
              </w:rPr>
              <w:t>触发</w:t>
            </w:r>
          </w:p>
        </w:tc>
        <w:tc>
          <w:tcPr>
            <w:tcW w:type="dxa" w:w="3685"/>
          </w:tcPr>
          <w:p>
            <w:pPr>
              <w:spacing w:lineRule="exact" w:line="600"/>
              <w:jc w:val="center"/>
            </w:pPr>
            <w:r/>
            <w:r>
              <w:rPr>
                <w:rFonts w:ascii="黑体" w:hAnsi="黑体" w:eastAsia="黑体"/>
                <w:b/>
                <w:color w:val="000000"/>
                <w:sz w:val="32"/>
              </w:rPr>
              <w:t>应对</w:t>
            </w:r>
          </w:p>
        </w:tc>
      </w:tr>
      <w:tr>
        <w:tc>
          <w:tcPr>
            <w:tcW w:type="dxa" w:w="1701"/>
          </w:tcPr>
          <w:p>
            <w:pPr>
              <w:spacing w:lineRule="exact" w:line="600"/>
              <w:jc w:val="center"/>
            </w:pPr>
            <w:r/>
            <w:r>
              <w:rPr>
                <w:rFonts w:ascii="仿宋_GB2312" w:hAnsi="仿宋_GB2312" w:eastAsia="仿宋_GB2312"/>
                <w:b w:val="0"/>
                <w:color w:val="000000"/>
                <w:sz w:val="32"/>
              </w:rPr>
              <w:t>渗透不及</w:t>
            </w:r>
          </w:p>
        </w:tc>
        <w:tc>
          <w:tcPr>
            <w:tcW w:type="dxa" w:w="3402"/>
          </w:tcPr>
          <w:p>
            <w:pPr>
              <w:spacing w:lineRule="exact" w:line="600"/>
              <w:jc w:val="center"/>
            </w:pPr>
            <w:r/>
            <w:r>
              <w:rPr>
                <w:rFonts w:ascii="仿宋_GB2312" w:hAnsi="仿宋_GB2312" w:eastAsia="仿宋_GB2312"/>
                <w:b w:val="0"/>
                <w:color w:val="000000"/>
                <w:sz w:val="32"/>
              </w:rPr>
              <w:t>政策弱</w:t>
            </w:r>
          </w:p>
        </w:tc>
        <w:tc>
          <w:tcPr>
            <w:tcW w:type="dxa" w:w="3685"/>
          </w:tcPr>
          <w:p>
            <w:pPr>
              <w:spacing w:lineRule="exact" w:line="600"/>
              <w:jc w:val="center"/>
            </w:pPr>
            <w:r/>
            <w:r>
              <w:rPr>
                <w:rFonts w:ascii="仿宋_GB2312" w:hAnsi="仿宋_GB2312" w:eastAsia="仿宋_GB2312"/>
                <w:b w:val="0"/>
                <w:color w:val="000000"/>
                <w:sz w:val="32"/>
              </w:rPr>
              <w:t>高端化</w:t>
            </w:r>
          </w:p>
        </w:tc>
      </w:tr>
      <w:tr>
        <w:tc>
          <w:tcPr>
            <w:tcW w:type="dxa" w:w="1701"/>
          </w:tcPr>
          <w:p>
            <w:pPr>
              <w:spacing w:lineRule="exact" w:line="600"/>
              <w:jc w:val="center"/>
            </w:pPr>
            <w:r/>
            <w:r>
              <w:rPr>
                <w:rFonts w:ascii="仿宋_GB2312" w:hAnsi="仿宋_GB2312" w:eastAsia="仿宋_GB2312"/>
                <w:b w:val="0"/>
                <w:color w:val="000000"/>
                <w:sz w:val="32"/>
              </w:rPr>
              <w:t>原料上行</w:t>
            </w:r>
          </w:p>
        </w:tc>
        <w:tc>
          <w:tcPr>
            <w:tcW w:type="dxa" w:w="3402"/>
          </w:tcPr>
          <w:p>
            <w:pPr>
              <w:spacing w:lineRule="exact" w:line="600"/>
              <w:jc w:val="center"/>
            </w:pPr>
            <w:r/>
            <w:r>
              <w:rPr>
                <w:rFonts w:ascii="仿宋_GB2312" w:hAnsi="仿宋_GB2312" w:eastAsia="仿宋_GB2312"/>
                <w:b w:val="0"/>
                <w:color w:val="000000"/>
                <w:sz w:val="32"/>
              </w:rPr>
              <w:t>价格</w:t>
            </w:r>
          </w:p>
        </w:tc>
        <w:tc>
          <w:tcPr>
            <w:tcW w:type="dxa" w:w="3685"/>
          </w:tcPr>
          <w:p>
            <w:pPr>
              <w:spacing w:lineRule="exact" w:line="600"/>
              <w:jc w:val="center"/>
            </w:pPr>
            <w:r/>
            <w:r>
              <w:rPr>
                <w:rFonts w:ascii="仿宋_GB2312" w:hAnsi="仿宋_GB2312" w:eastAsia="仿宋_GB2312"/>
                <w:b w:val="0"/>
                <w:color w:val="000000"/>
                <w:sz w:val="32"/>
              </w:rPr>
              <w:t>锁价</w:t>
            </w:r>
          </w:p>
        </w:tc>
      </w:tr>
      <w:tr>
        <w:tc>
          <w:tcPr>
            <w:tcW w:type="dxa" w:w="1701"/>
          </w:tcPr>
          <w:p>
            <w:pPr>
              <w:spacing w:lineRule="exact" w:line="600"/>
              <w:jc w:val="center"/>
            </w:pPr>
            <w:r/>
            <w:r>
              <w:rPr>
                <w:rFonts w:ascii="仿宋_GB2312" w:hAnsi="仿宋_GB2312" w:eastAsia="仿宋_GB2312"/>
                <w:b w:val="0"/>
                <w:color w:val="000000"/>
                <w:sz w:val="32"/>
              </w:rPr>
              <w:t>物流政策</w:t>
            </w:r>
          </w:p>
        </w:tc>
        <w:tc>
          <w:tcPr>
            <w:tcW w:type="dxa" w:w="3402"/>
          </w:tcPr>
          <w:p>
            <w:pPr>
              <w:spacing w:lineRule="exact" w:line="600"/>
              <w:jc w:val="center"/>
            </w:pPr>
            <w:r/>
            <w:r>
              <w:rPr>
                <w:rFonts w:ascii="仿宋_GB2312" w:hAnsi="仿宋_GB2312" w:eastAsia="仿宋_GB2312"/>
                <w:b w:val="0"/>
                <w:color w:val="000000"/>
                <w:sz w:val="32"/>
              </w:rPr>
              <w:t>合规</w:t>
            </w:r>
          </w:p>
        </w:tc>
        <w:tc>
          <w:tcPr>
            <w:tcW w:type="dxa" w:w="3685"/>
          </w:tcPr>
          <w:p>
            <w:pPr>
              <w:spacing w:lineRule="exact" w:line="600"/>
              <w:jc w:val="center"/>
            </w:pPr>
            <w:r/>
            <w:r>
              <w:rPr>
                <w:rFonts w:ascii="仿宋_GB2312" w:hAnsi="仿宋_GB2312" w:eastAsia="仿宋_GB2312"/>
                <w:b w:val="0"/>
                <w:color w:val="000000"/>
                <w:sz w:val="32"/>
              </w:rPr>
              <w:t>标准化</w:t>
            </w:r>
          </w:p>
        </w:tc>
      </w:tr>
      <w:tr>
        <w:tc>
          <w:tcPr>
            <w:tcW w:type="dxa" w:w="1701"/>
          </w:tcPr>
          <w:p>
            <w:pPr>
              <w:spacing w:lineRule="exact" w:line="600"/>
              <w:jc w:val="center"/>
            </w:pPr>
            <w:r/>
            <w:r>
              <w:rPr>
                <w:rFonts w:ascii="仿宋_GB2312" w:hAnsi="仿宋_GB2312" w:eastAsia="仿宋_GB2312"/>
                <w:b w:val="0"/>
                <w:color w:val="000000"/>
                <w:sz w:val="32"/>
              </w:rPr>
              <w:t>环保</w:t>
            </w:r>
          </w:p>
        </w:tc>
        <w:tc>
          <w:tcPr>
            <w:tcW w:type="dxa" w:w="3402"/>
          </w:tcPr>
          <w:p>
            <w:pPr>
              <w:spacing w:lineRule="exact" w:line="600"/>
              <w:jc w:val="center"/>
            </w:pPr>
            <w:r/>
            <w:r>
              <w:rPr>
                <w:rFonts w:ascii="仿宋_GB2312" w:hAnsi="仿宋_GB2312" w:eastAsia="仿宋_GB2312"/>
                <w:b w:val="0"/>
                <w:color w:val="000000"/>
                <w:sz w:val="32"/>
              </w:rPr>
              <w:t>窑炉</w:t>
            </w:r>
          </w:p>
        </w:tc>
        <w:tc>
          <w:tcPr>
            <w:tcW w:type="dxa" w:w="3685"/>
          </w:tcPr>
          <w:p>
            <w:pPr>
              <w:spacing w:lineRule="exact" w:line="600"/>
              <w:jc w:val="center"/>
            </w:pPr>
            <w:r/>
            <w:r>
              <w:rPr>
                <w:rFonts w:ascii="仿宋_GB2312" w:hAnsi="仿宋_GB2312" w:eastAsia="仿宋_GB2312"/>
                <w:b w:val="0"/>
                <w:color w:val="000000"/>
                <w:sz w:val="32"/>
              </w:rPr>
              <w:t>技改</w:t>
            </w:r>
          </w:p>
        </w:tc>
      </w:tr>
    </w:tbl>
    <w:p>
      <w:pPr>
        <w:spacing w:lineRule="exact" w:line="600" w:before="120" w:after="120"/>
        <w:ind w:firstLine="420"/>
        <w:jc w:val="left"/>
      </w:pPr>
      <w:r>
        <w:rPr>
          <w:rFonts w:ascii="楷体_GB2312" w:hAnsi="楷体_GB2312" w:eastAsia="楷体_GB2312"/>
          <w:b w:val="0"/>
          <w:color w:val="000000"/>
          <w:sz w:val="32"/>
        </w:rPr>
        <w:t>（七）省级层面机遇、挑战与风险框架参照</w:t>
      </w:r>
    </w:p>
    <w:p>
      <w:pPr>
        <w:spacing w:lineRule="exact" w:line="600" w:before="0" w:after="0"/>
        <w:ind w:firstLine="420"/>
        <w:jc w:val="both"/>
      </w:pPr>
      <w:r>
        <w:rPr>
          <w:rFonts w:ascii="仿宋_GB2312" w:hAnsi="仿宋_GB2312" w:eastAsia="仿宋_GB2312"/>
          <w:b w:val="0"/>
          <w:color w:val="000000"/>
          <w:sz w:val="32"/>
        </w:rPr>
        <w:t>从省级产业环境看，本集群面临三方面宏观态势。机遇：山东省以“链长制”（总链长+链长+链主，19条标志性产业链）推进“融链固链”，绿色低碳高质量发展先行区引导基金规模100亿元、撬动不低于300亿元投资，为升级项目提供资金与场景；省级科技资金2024年145.2亿元、技改专项贷等工具降低创新与技改成本。挑战：双碳约束趋紧，“十四五”期间规模以上工业单位增加值能耗需下降17%左右，重点行业先进产能占比到2027年目标超过60%，节能降碳改造压力大。风险：部分细分领域存在产能过剩与同质化竞争，国际贸易摩擦与原材料价格波动亦对出口型环节形成扰动，需强化产业链韧性与供应链安全。（来源：山东省发展改革委/省工信厅，《先进制造业强省行动计划（2022—2025年）》；省新动能基金/大众日报，2024—2025；省财政厅，2024）（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省级态势</w:t>
            </w:r>
          </w:p>
        </w:tc>
        <w:tc>
          <w:tcPr>
            <w:tcW w:type="dxa" w:w="3118"/>
          </w:tcPr>
          <w:p>
            <w:pPr>
              <w:spacing w:lineRule="exact" w:line="600"/>
              <w:jc w:val="center"/>
            </w:pPr>
            <w:r/>
            <w:r>
              <w:rPr>
                <w:rFonts w:ascii="黑体" w:hAnsi="黑体" w:eastAsia="黑体"/>
                <w:b/>
                <w:color w:val="000000"/>
                <w:sz w:val="32"/>
              </w:rPr>
              <w:t>关键指标/方向</w:t>
            </w:r>
          </w:p>
        </w:tc>
        <w:tc>
          <w:tcPr>
            <w:tcW w:type="dxa" w:w="2551"/>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机遇：标志性产业链</w:t>
            </w:r>
          </w:p>
        </w:tc>
        <w:tc>
          <w:tcPr>
            <w:tcW w:type="dxa" w:w="3118"/>
          </w:tcPr>
          <w:p>
            <w:pPr>
              <w:spacing w:lineRule="exact" w:line="600"/>
              <w:jc w:val="center"/>
            </w:pPr>
            <w:r/>
            <w:r>
              <w:rPr>
                <w:rFonts w:ascii="仿宋_GB2312" w:hAnsi="仿宋_GB2312" w:eastAsia="仿宋_GB2312"/>
                <w:b w:val="0"/>
                <w:color w:val="000000"/>
                <w:sz w:val="32"/>
              </w:rPr>
              <w:t>19条（链长制）</w:t>
            </w:r>
          </w:p>
        </w:tc>
        <w:tc>
          <w:tcPr>
            <w:tcW w:type="dxa" w:w="2551"/>
          </w:tcPr>
          <w:p>
            <w:pPr>
              <w:spacing w:lineRule="exact" w:line="600"/>
              <w:jc w:val="center"/>
            </w:pPr>
            <w:r/>
            <w:r>
              <w:rPr>
                <w:rFonts w:ascii="仿宋_GB2312" w:hAnsi="仿宋_GB2312" w:eastAsia="仿宋_GB2312"/>
                <w:b w:val="0"/>
                <w:color w:val="000000"/>
                <w:sz w:val="32"/>
              </w:rPr>
              <w:t>省工信厅，2025</w:t>
            </w:r>
          </w:p>
        </w:tc>
      </w:tr>
      <w:tr>
        <w:tc>
          <w:tcPr>
            <w:tcW w:type="dxa" w:w="3685"/>
          </w:tcPr>
          <w:p>
            <w:pPr>
              <w:spacing w:lineRule="exact" w:line="600"/>
              <w:jc w:val="center"/>
            </w:pPr>
            <w:r/>
            <w:r>
              <w:rPr>
                <w:rFonts w:ascii="仿宋_GB2312" w:hAnsi="仿宋_GB2312" w:eastAsia="仿宋_GB2312"/>
                <w:b w:val="0"/>
                <w:color w:val="000000"/>
                <w:sz w:val="32"/>
              </w:rPr>
              <w:t>机遇：绿色引导基金</w:t>
            </w:r>
          </w:p>
        </w:tc>
        <w:tc>
          <w:tcPr>
            <w:tcW w:type="dxa" w:w="3118"/>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3685"/>
          </w:tcPr>
          <w:p>
            <w:pPr>
              <w:spacing w:lineRule="exact" w:line="600"/>
              <w:jc w:val="center"/>
            </w:pPr>
            <w:r/>
            <w:r>
              <w:rPr>
                <w:rFonts w:ascii="仿宋_GB2312" w:hAnsi="仿宋_GB2312" w:eastAsia="仿宋_GB2312"/>
                <w:b w:val="0"/>
                <w:color w:val="000000"/>
                <w:sz w:val="32"/>
              </w:rPr>
              <w:t>机遇：科技/技改资金</w:t>
            </w:r>
          </w:p>
        </w:tc>
        <w:tc>
          <w:tcPr>
            <w:tcW w:type="dxa" w:w="3118"/>
          </w:tcPr>
          <w:p>
            <w:pPr>
              <w:spacing w:lineRule="exact" w:line="600"/>
              <w:jc w:val="center"/>
            </w:pPr>
            <w:r/>
            <w:r>
              <w:rPr>
                <w:rFonts w:ascii="仿宋_GB2312" w:hAnsi="仿宋_GB2312" w:eastAsia="仿宋_GB2312"/>
                <w:b w:val="0"/>
                <w:color w:val="000000"/>
                <w:sz w:val="32"/>
              </w:rPr>
              <w:t>145.2亿 / 6.25亿元</w:t>
            </w:r>
          </w:p>
        </w:tc>
        <w:tc>
          <w:tcPr>
            <w:tcW w:type="dxa" w:w="2551"/>
          </w:tcPr>
          <w:p>
            <w:pPr>
              <w:spacing w:lineRule="exact" w:line="600"/>
              <w:jc w:val="center"/>
            </w:pPr>
            <w:r/>
            <w:r>
              <w:rPr>
                <w:rFonts w:ascii="仿宋_GB2312" w:hAnsi="仿宋_GB2312" w:eastAsia="仿宋_GB2312"/>
                <w:b w:val="0"/>
                <w:color w:val="000000"/>
                <w:sz w:val="32"/>
              </w:rPr>
              <w:t>省财政厅/发改委，2024-2025</w:t>
            </w:r>
          </w:p>
        </w:tc>
      </w:tr>
      <w:tr>
        <w:tc>
          <w:tcPr>
            <w:tcW w:type="dxa" w:w="3685"/>
          </w:tcPr>
          <w:p>
            <w:pPr>
              <w:spacing w:lineRule="exact" w:line="600"/>
              <w:jc w:val="center"/>
            </w:pPr>
            <w:r/>
            <w:r>
              <w:rPr>
                <w:rFonts w:ascii="仿宋_GB2312" w:hAnsi="仿宋_GB2312" w:eastAsia="仿宋_GB2312"/>
                <w:b w:val="0"/>
                <w:color w:val="000000"/>
                <w:sz w:val="32"/>
              </w:rPr>
              <w:t>挑战：规上工业能耗</w:t>
            </w:r>
          </w:p>
        </w:tc>
        <w:tc>
          <w:tcPr>
            <w:tcW w:type="dxa" w:w="3118"/>
          </w:tcPr>
          <w:p>
            <w:pPr>
              <w:spacing w:lineRule="exact" w:line="600"/>
              <w:jc w:val="center"/>
            </w:pPr>
            <w:r/>
            <w:r>
              <w:rPr>
                <w:rFonts w:ascii="仿宋_GB2312" w:hAnsi="仿宋_GB2312" w:eastAsia="仿宋_GB2312"/>
                <w:b w:val="0"/>
                <w:color w:val="000000"/>
                <w:sz w:val="32"/>
              </w:rPr>
              <w:t>十四五降17%左右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挑战：先进产能占比</w:t>
            </w:r>
          </w:p>
        </w:tc>
        <w:tc>
          <w:tcPr>
            <w:tcW w:type="dxa" w:w="3118"/>
          </w:tcPr>
          <w:p>
            <w:pPr>
              <w:spacing w:lineRule="exact" w:line="600"/>
              <w:jc w:val="center"/>
            </w:pPr>
            <w:r/>
            <w:r>
              <w:rPr>
                <w:rFonts w:ascii="仿宋_GB2312" w:hAnsi="仿宋_GB2312" w:eastAsia="仿宋_GB2312"/>
                <w:b w:val="0"/>
                <w:color w:val="000000"/>
                <w:sz w:val="32"/>
              </w:rPr>
              <w:t>到2027年超过60%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风险：过剩/贸易/价格波动</w:t>
            </w:r>
          </w:p>
        </w:tc>
        <w:tc>
          <w:tcPr>
            <w:tcW w:type="dxa" w:w="3118"/>
          </w:tcPr>
          <w:p>
            <w:pPr>
              <w:spacing w:lineRule="exact" w:line="600"/>
              <w:jc w:val="center"/>
            </w:pPr>
            <w:r/>
            <w:r>
              <w:rPr>
                <w:rFonts w:ascii="仿宋_GB2312" w:hAnsi="仿宋_GB2312" w:eastAsia="仿宋_GB2312"/>
                <w:b w:val="0"/>
                <w:color w:val="000000"/>
                <w:sz w:val="32"/>
              </w:rPr>
              <w:t>需强化产业链韧性</w:t>
            </w:r>
          </w:p>
        </w:tc>
        <w:tc>
          <w:tcPr>
            <w:tcW w:type="dxa" w:w="2551"/>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120" w:after="120"/>
        <w:ind w:firstLine="420"/>
        <w:jc w:val="left"/>
      </w:pPr>
      <w:r>
        <w:rPr>
          <w:rFonts w:ascii="楷体_GB2312" w:hAnsi="楷体_GB2312" w:eastAsia="楷体_GB2312"/>
          <w:b w:val="0"/>
          <w:color w:val="000000"/>
          <w:sz w:val="32"/>
        </w:rPr>
        <w:t>（一）中硼硅高端化</w:t>
      </w:r>
    </w:p>
    <w:p>
      <w:pPr>
        <w:spacing w:lineRule="exact" w:line="600" w:before="0" w:after="0"/>
        <w:ind w:firstLine="420"/>
        <w:jc w:val="both"/>
      </w:pPr>
      <w:r>
        <w:rPr>
          <w:rFonts w:ascii="仿宋_GB2312" w:hAnsi="仿宋_GB2312" w:eastAsia="仿宋_GB2312"/>
          <w:b w:val="0"/>
          <w:color w:val="000000"/>
          <w:sz w:val="32"/>
        </w:rPr>
        <w:t>路径一：持续扩产中硼硅模制瓶/管制瓶，抓住一致性评价与集采渗透红利（来源：申万研报）。路径二：提升中硼硅在冻干、生物药等高附加值场景占比，优化产品结构（来源：申万研报）。路径三：棕色瓶巩固出口优势（28.6万吨）。</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路径</w:t>
            </w:r>
          </w:p>
        </w:tc>
        <w:tc>
          <w:tcPr>
            <w:tcW w:type="dxa" w:w="3685"/>
          </w:tcPr>
          <w:p>
            <w:pPr>
              <w:spacing w:lineRule="exact" w:line="600"/>
              <w:jc w:val="center"/>
            </w:pPr>
            <w:r/>
            <w:r>
              <w:rPr>
                <w:rFonts w:ascii="黑体" w:hAnsi="黑体" w:eastAsia="黑体"/>
                <w:b/>
                <w:color w:val="000000"/>
                <w:sz w:val="32"/>
              </w:rPr>
              <w:t>举措</w:t>
            </w:r>
          </w:p>
        </w:tc>
        <w:tc>
          <w:tcPr>
            <w:tcW w:type="dxa" w:w="3402"/>
          </w:tcPr>
          <w:p>
            <w:pPr>
              <w:spacing w:lineRule="exact" w:line="600"/>
              <w:jc w:val="center"/>
            </w:pPr>
            <w:r/>
            <w:r>
              <w:rPr>
                <w:rFonts w:ascii="黑体" w:hAnsi="黑体" w:eastAsia="黑体"/>
                <w:b/>
                <w:color w:val="000000"/>
                <w:sz w:val="32"/>
              </w:rPr>
              <w:t>目标</w:t>
            </w:r>
          </w:p>
        </w:tc>
      </w:tr>
      <w:tr>
        <w:tc>
          <w:tcPr>
            <w:tcW w:type="dxa" w:w="1701"/>
          </w:tcPr>
          <w:p>
            <w:pPr>
              <w:spacing w:lineRule="exact" w:line="600"/>
              <w:jc w:val="center"/>
            </w:pPr>
            <w:r/>
            <w:r>
              <w:rPr>
                <w:rFonts w:ascii="仿宋_GB2312" w:hAnsi="仿宋_GB2312" w:eastAsia="仿宋_GB2312"/>
                <w:b w:val="0"/>
                <w:color w:val="000000"/>
                <w:sz w:val="32"/>
              </w:rPr>
              <w:t>中硼硅扩产</w:t>
            </w:r>
          </w:p>
        </w:tc>
        <w:tc>
          <w:tcPr>
            <w:tcW w:type="dxa" w:w="3685"/>
          </w:tcPr>
          <w:p>
            <w:pPr>
              <w:spacing w:lineRule="exact" w:line="600"/>
              <w:jc w:val="center"/>
            </w:pPr>
            <w:r/>
            <w:r>
              <w:rPr>
                <w:rFonts w:ascii="仿宋_GB2312" w:hAnsi="仿宋_GB2312" w:eastAsia="仿宋_GB2312"/>
                <w:b w:val="0"/>
                <w:color w:val="000000"/>
                <w:sz w:val="32"/>
              </w:rPr>
              <w:t>产能扩张</w:t>
            </w:r>
          </w:p>
        </w:tc>
        <w:tc>
          <w:tcPr>
            <w:tcW w:type="dxa" w:w="3402"/>
          </w:tcPr>
          <w:p>
            <w:pPr>
              <w:spacing w:lineRule="exact" w:line="600"/>
              <w:jc w:val="center"/>
            </w:pPr>
            <w:r/>
            <w:r>
              <w:rPr>
                <w:rFonts w:ascii="仿宋_GB2312" w:hAnsi="仿宋_GB2312" w:eastAsia="仿宋_GB2312"/>
                <w:b w:val="0"/>
                <w:color w:val="000000"/>
                <w:sz w:val="32"/>
              </w:rPr>
              <w:t>渗透提升</w:t>
            </w:r>
          </w:p>
        </w:tc>
      </w:tr>
      <w:tr>
        <w:tc>
          <w:tcPr>
            <w:tcW w:type="dxa" w:w="1701"/>
          </w:tcPr>
          <w:p>
            <w:pPr>
              <w:spacing w:lineRule="exact" w:line="600"/>
              <w:jc w:val="center"/>
            </w:pPr>
            <w:r/>
            <w:r>
              <w:rPr>
                <w:rFonts w:ascii="仿宋_GB2312" w:hAnsi="仿宋_GB2312" w:eastAsia="仿宋_GB2312"/>
                <w:b w:val="0"/>
                <w:color w:val="000000"/>
                <w:sz w:val="32"/>
              </w:rPr>
              <w:t>结构优化</w:t>
            </w:r>
          </w:p>
        </w:tc>
        <w:tc>
          <w:tcPr>
            <w:tcW w:type="dxa" w:w="3685"/>
          </w:tcPr>
          <w:p>
            <w:pPr>
              <w:spacing w:lineRule="exact" w:line="600"/>
              <w:jc w:val="center"/>
            </w:pPr>
            <w:r/>
            <w:r>
              <w:rPr>
                <w:rFonts w:ascii="仿宋_GB2312" w:hAnsi="仿宋_GB2312" w:eastAsia="仿宋_GB2312"/>
                <w:b w:val="0"/>
                <w:color w:val="000000"/>
                <w:sz w:val="32"/>
              </w:rPr>
              <w:t>高附加值</w:t>
            </w:r>
          </w:p>
        </w:tc>
        <w:tc>
          <w:tcPr>
            <w:tcW w:type="dxa" w:w="3402"/>
          </w:tcPr>
          <w:p>
            <w:pPr>
              <w:spacing w:lineRule="exact" w:line="600"/>
              <w:jc w:val="center"/>
            </w:pPr>
            <w:r/>
            <w:r>
              <w:rPr>
                <w:rFonts w:ascii="仿宋_GB2312" w:hAnsi="仿宋_GB2312" w:eastAsia="仿宋_GB2312"/>
                <w:b w:val="0"/>
                <w:color w:val="000000"/>
                <w:sz w:val="32"/>
              </w:rPr>
              <w:t>毛利</w:t>
            </w:r>
          </w:p>
        </w:tc>
      </w:tr>
      <w:tr>
        <w:tc>
          <w:tcPr>
            <w:tcW w:type="dxa" w:w="1701"/>
          </w:tcPr>
          <w:p>
            <w:pPr>
              <w:spacing w:lineRule="exact" w:line="600"/>
              <w:jc w:val="center"/>
            </w:pPr>
            <w:r/>
            <w:r>
              <w:rPr>
                <w:rFonts w:ascii="仿宋_GB2312" w:hAnsi="仿宋_GB2312" w:eastAsia="仿宋_GB2312"/>
                <w:b w:val="0"/>
                <w:color w:val="000000"/>
                <w:sz w:val="32"/>
              </w:rPr>
              <w:t>棕色瓶</w:t>
            </w:r>
          </w:p>
        </w:tc>
        <w:tc>
          <w:tcPr>
            <w:tcW w:type="dxa" w:w="3685"/>
          </w:tcPr>
          <w:p>
            <w:pPr>
              <w:spacing w:lineRule="exact" w:line="600"/>
              <w:jc w:val="center"/>
            </w:pPr>
            <w:r/>
            <w:r>
              <w:rPr>
                <w:rFonts w:ascii="仿宋_GB2312" w:hAnsi="仿宋_GB2312" w:eastAsia="仿宋_GB2312"/>
                <w:b w:val="0"/>
                <w:color w:val="000000"/>
                <w:sz w:val="32"/>
              </w:rPr>
              <w:t>出口巩固</w:t>
            </w:r>
          </w:p>
        </w:tc>
        <w:tc>
          <w:tcPr>
            <w:tcW w:type="dxa" w:w="3402"/>
          </w:tcPr>
          <w:p>
            <w:pPr>
              <w:spacing w:lineRule="exact" w:line="600"/>
              <w:jc w:val="center"/>
            </w:pPr>
            <w:r/>
            <w:r>
              <w:rPr>
                <w:rFonts w:ascii="仿宋_GB2312" w:hAnsi="仿宋_GB2312" w:eastAsia="仿宋_GB2312"/>
                <w:b w:val="0"/>
                <w:color w:val="000000"/>
                <w:sz w:val="32"/>
              </w:rPr>
              <w:t>海外</w:t>
            </w:r>
          </w:p>
        </w:tc>
      </w:tr>
    </w:tbl>
    <w:p>
      <w:pPr>
        <w:spacing w:lineRule="exact" w:line="600" w:before="120" w:after="120"/>
        <w:ind w:firstLine="420"/>
        <w:jc w:val="left"/>
      </w:pPr>
      <w:r>
        <w:rPr>
          <w:rFonts w:ascii="楷体_GB2312" w:hAnsi="楷体_GB2312" w:eastAsia="楷体_GB2312"/>
          <w:b w:val="0"/>
          <w:color w:val="000000"/>
          <w:sz w:val="32"/>
        </w:rPr>
        <w:t>（二）成本与质量升级</w:t>
      </w:r>
    </w:p>
    <w:p>
      <w:pPr>
        <w:spacing w:lineRule="exact" w:line="600" w:before="0" w:after="0"/>
        <w:ind w:firstLine="420"/>
        <w:jc w:val="both"/>
      </w:pPr>
      <w:r>
        <w:rPr>
          <w:rFonts w:ascii="仿宋_GB2312" w:hAnsi="仿宋_GB2312" w:eastAsia="仿宋_GB2312"/>
          <w:b w:val="0"/>
          <w:color w:val="000000"/>
          <w:sz w:val="32"/>
        </w:rPr>
        <w:t>路径一：深化「一物料一策略」精准采购与窑炉节能，稳固毛利率（来源：申万研报）。路径二：推进药包材DMF/国内外认证，进入全球头部药企供应链。路径三：与新华制药等制剂链主协同质量体系（来源：新华制药年报）。</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路径</w:t>
            </w:r>
          </w:p>
        </w:tc>
        <w:tc>
          <w:tcPr>
            <w:tcW w:type="dxa" w:w="3685"/>
          </w:tcPr>
          <w:p>
            <w:pPr>
              <w:spacing w:lineRule="exact" w:line="600"/>
              <w:jc w:val="center"/>
            </w:pPr>
            <w:r/>
            <w:r>
              <w:rPr>
                <w:rFonts w:ascii="黑体" w:hAnsi="黑体" w:eastAsia="黑体"/>
                <w:b/>
                <w:color w:val="000000"/>
                <w:sz w:val="32"/>
              </w:rPr>
              <w:t>内容</w:t>
            </w:r>
          </w:p>
        </w:tc>
        <w:tc>
          <w:tcPr>
            <w:tcW w:type="dxa" w:w="3402"/>
          </w:tcPr>
          <w:p>
            <w:pPr>
              <w:spacing w:lineRule="exact" w:line="600"/>
              <w:jc w:val="center"/>
            </w:pPr>
            <w:r/>
            <w:r>
              <w:rPr>
                <w:rFonts w:ascii="黑体" w:hAnsi="黑体" w:eastAsia="黑体"/>
                <w:b/>
                <w:color w:val="000000"/>
                <w:sz w:val="32"/>
              </w:rPr>
              <w:t>效果</w:t>
            </w:r>
          </w:p>
        </w:tc>
      </w:tr>
      <w:tr>
        <w:tc>
          <w:tcPr>
            <w:tcW w:type="dxa" w:w="1701"/>
          </w:tcPr>
          <w:p>
            <w:pPr>
              <w:spacing w:lineRule="exact" w:line="600"/>
              <w:jc w:val="center"/>
            </w:pPr>
            <w:r/>
            <w:r>
              <w:rPr>
                <w:rFonts w:ascii="仿宋_GB2312" w:hAnsi="仿宋_GB2312" w:eastAsia="仿宋_GB2312"/>
                <w:b w:val="0"/>
                <w:color w:val="000000"/>
                <w:sz w:val="32"/>
              </w:rPr>
              <w:t>精准采购</w:t>
            </w:r>
          </w:p>
        </w:tc>
        <w:tc>
          <w:tcPr>
            <w:tcW w:type="dxa" w:w="3685"/>
          </w:tcPr>
          <w:p>
            <w:pPr>
              <w:spacing w:lineRule="exact" w:line="600"/>
              <w:jc w:val="center"/>
            </w:pPr>
            <w:r/>
            <w:r>
              <w:rPr>
                <w:rFonts w:ascii="仿宋_GB2312" w:hAnsi="仿宋_GB2312" w:eastAsia="仿宋_GB2312"/>
                <w:b w:val="0"/>
                <w:color w:val="000000"/>
                <w:sz w:val="32"/>
              </w:rPr>
              <w:t>一物料一策</w:t>
            </w:r>
          </w:p>
        </w:tc>
        <w:tc>
          <w:tcPr>
            <w:tcW w:type="dxa" w:w="3402"/>
          </w:tcPr>
          <w:p>
            <w:pPr>
              <w:spacing w:lineRule="exact" w:line="600"/>
              <w:jc w:val="center"/>
            </w:pPr>
            <w:r/>
            <w:r>
              <w:rPr>
                <w:rFonts w:ascii="仿宋_GB2312" w:hAnsi="仿宋_GB2312" w:eastAsia="仿宋_GB2312"/>
                <w:b w:val="0"/>
                <w:color w:val="000000"/>
                <w:sz w:val="32"/>
              </w:rPr>
              <w:t>降本</w:t>
            </w:r>
          </w:p>
        </w:tc>
      </w:tr>
      <w:tr>
        <w:tc>
          <w:tcPr>
            <w:tcW w:type="dxa" w:w="1701"/>
          </w:tcPr>
          <w:p>
            <w:pPr>
              <w:spacing w:lineRule="exact" w:line="600"/>
              <w:jc w:val="center"/>
            </w:pPr>
            <w:r/>
            <w:r>
              <w:rPr>
                <w:rFonts w:ascii="仿宋_GB2312" w:hAnsi="仿宋_GB2312" w:eastAsia="仿宋_GB2312"/>
                <w:b w:val="0"/>
                <w:color w:val="000000"/>
                <w:sz w:val="32"/>
              </w:rPr>
              <w:t>认证</w:t>
            </w:r>
          </w:p>
        </w:tc>
        <w:tc>
          <w:tcPr>
            <w:tcW w:type="dxa" w:w="3685"/>
          </w:tcPr>
          <w:p>
            <w:pPr>
              <w:spacing w:lineRule="exact" w:line="600"/>
              <w:jc w:val="center"/>
            </w:pPr>
            <w:r/>
            <w:r>
              <w:rPr>
                <w:rFonts w:ascii="仿宋_GB2312" w:hAnsi="仿宋_GB2312" w:eastAsia="仿宋_GB2312"/>
                <w:b w:val="0"/>
                <w:color w:val="000000"/>
                <w:sz w:val="32"/>
              </w:rPr>
              <w:t>DMF/国际</w:t>
            </w:r>
          </w:p>
        </w:tc>
        <w:tc>
          <w:tcPr>
            <w:tcW w:type="dxa" w:w="3402"/>
          </w:tcPr>
          <w:p>
            <w:pPr>
              <w:spacing w:lineRule="exact" w:line="600"/>
              <w:jc w:val="center"/>
            </w:pPr>
            <w:r/>
            <w:r>
              <w:rPr>
                <w:rFonts w:ascii="仿宋_GB2312" w:hAnsi="仿宋_GB2312" w:eastAsia="仿宋_GB2312"/>
                <w:b w:val="0"/>
                <w:color w:val="000000"/>
                <w:sz w:val="32"/>
              </w:rPr>
              <w:t>高端</w:t>
            </w:r>
          </w:p>
        </w:tc>
      </w:tr>
      <w:tr>
        <w:tc>
          <w:tcPr>
            <w:tcW w:type="dxa" w:w="1701"/>
          </w:tcPr>
          <w:p>
            <w:pPr>
              <w:spacing w:lineRule="exact" w:line="600"/>
              <w:jc w:val="center"/>
            </w:pPr>
            <w:r/>
            <w:r>
              <w:rPr>
                <w:rFonts w:ascii="仿宋_GB2312" w:hAnsi="仿宋_GB2312" w:eastAsia="仿宋_GB2312"/>
                <w:b w:val="0"/>
                <w:color w:val="000000"/>
                <w:sz w:val="32"/>
              </w:rPr>
              <w:t>协同</w:t>
            </w:r>
          </w:p>
        </w:tc>
        <w:tc>
          <w:tcPr>
            <w:tcW w:type="dxa" w:w="3685"/>
          </w:tcPr>
          <w:p>
            <w:pPr>
              <w:spacing w:lineRule="exact" w:line="600"/>
              <w:jc w:val="center"/>
            </w:pPr>
            <w:r/>
            <w:r>
              <w:rPr>
                <w:rFonts w:ascii="仿宋_GB2312" w:hAnsi="仿宋_GB2312" w:eastAsia="仿宋_GB2312"/>
                <w:b w:val="0"/>
                <w:color w:val="000000"/>
                <w:sz w:val="32"/>
              </w:rPr>
              <w:t>药企质量</w:t>
            </w:r>
          </w:p>
        </w:tc>
        <w:tc>
          <w:tcPr>
            <w:tcW w:type="dxa" w:w="3402"/>
          </w:tcPr>
          <w:p>
            <w:pPr>
              <w:spacing w:lineRule="exact" w:line="600"/>
              <w:jc w:val="center"/>
            </w:pPr>
            <w:r/>
            <w:r>
              <w:rPr>
                <w:rFonts w:ascii="仿宋_GB2312" w:hAnsi="仿宋_GB2312" w:eastAsia="仿宋_GB2312"/>
                <w:b w:val="0"/>
                <w:color w:val="000000"/>
                <w:sz w:val="32"/>
              </w:rPr>
              <w:t>一致</w:t>
            </w:r>
          </w:p>
        </w:tc>
      </w:tr>
    </w:tbl>
    <w:p>
      <w:pPr>
        <w:spacing w:lineRule="exact" w:line="600" w:before="120" w:after="120"/>
        <w:ind w:firstLine="420"/>
        <w:jc w:val="left"/>
      </w:pPr>
      <w:r>
        <w:rPr>
          <w:rFonts w:ascii="楷体_GB2312" w:hAnsi="楷体_GB2312" w:eastAsia="楷体_GB2312"/>
          <w:b w:val="0"/>
          <w:color w:val="000000"/>
          <w:sz w:val="32"/>
        </w:rPr>
        <w:t>（三）流通服务现代化</w:t>
      </w:r>
    </w:p>
    <w:p>
      <w:pPr>
        <w:spacing w:lineRule="exact" w:line="600" w:before="0" w:after="0"/>
        <w:ind w:firstLine="420"/>
        <w:jc w:val="both"/>
      </w:pPr>
      <w:r>
        <w:rPr>
          <w:rFonts w:ascii="仿宋_GB2312" w:hAnsi="仿宋_GB2312" w:eastAsia="仿宋_GB2312"/>
          <w:b w:val="0"/>
          <w:color w:val="000000"/>
          <w:sz w:val="32"/>
        </w:rPr>
        <w:t>路径一：推进新华制药现代医药物流项目与自动化仓，提升集采配送能力（来源：新华制药年报）。路径二：依托医药国际合作中心发展OEM与出口流通（来源：淄博高新区）。路径三：冷链与标准化建设，融入全国流通网络。</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路径</w:t>
            </w:r>
          </w:p>
        </w:tc>
        <w:tc>
          <w:tcPr>
            <w:tcW w:type="dxa" w:w="3685"/>
          </w:tcPr>
          <w:p>
            <w:pPr>
              <w:spacing w:lineRule="exact" w:line="600"/>
              <w:jc w:val="center"/>
            </w:pPr>
            <w:r/>
            <w:r>
              <w:rPr>
                <w:rFonts w:ascii="黑体" w:hAnsi="黑体" w:eastAsia="黑体"/>
                <w:b/>
                <w:color w:val="000000"/>
                <w:sz w:val="32"/>
              </w:rPr>
              <w:t>内容</w:t>
            </w:r>
          </w:p>
        </w:tc>
        <w:tc>
          <w:tcPr>
            <w:tcW w:type="dxa" w:w="3402"/>
          </w:tcPr>
          <w:p>
            <w:pPr>
              <w:spacing w:lineRule="exact" w:line="600"/>
              <w:jc w:val="center"/>
            </w:pPr>
            <w:r/>
            <w:r>
              <w:rPr>
                <w:rFonts w:ascii="黑体" w:hAnsi="黑体" w:eastAsia="黑体"/>
                <w:b/>
                <w:color w:val="000000"/>
                <w:sz w:val="32"/>
              </w:rPr>
              <w:t>效果</w:t>
            </w:r>
          </w:p>
        </w:tc>
      </w:tr>
      <w:tr>
        <w:tc>
          <w:tcPr>
            <w:tcW w:type="dxa" w:w="1701"/>
          </w:tcPr>
          <w:p>
            <w:pPr>
              <w:spacing w:lineRule="exact" w:line="600"/>
              <w:jc w:val="center"/>
            </w:pPr>
            <w:r/>
            <w:r>
              <w:rPr>
                <w:rFonts w:ascii="仿宋_GB2312" w:hAnsi="仿宋_GB2312" w:eastAsia="仿宋_GB2312"/>
                <w:b w:val="0"/>
                <w:color w:val="000000"/>
                <w:sz w:val="32"/>
              </w:rPr>
              <w:t>物流项目</w:t>
            </w:r>
          </w:p>
        </w:tc>
        <w:tc>
          <w:tcPr>
            <w:tcW w:type="dxa" w:w="3685"/>
          </w:tcPr>
          <w:p>
            <w:pPr>
              <w:spacing w:lineRule="exact" w:line="600"/>
              <w:jc w:val="center"/>
            </w:pPr>
            <w:r/>
            <w:r>
              <w:rPr>
                <w:rFonts w:ascii="仿宋_GB2312" w:hAnsi="仿宋_GB2312" w:eastAsia="仿宋_GB2312"/>
                <w:b w:val="0"/>
                <w:color w:val="000000"/>
                <w:sz w:val="32"/>
              </w:rPr>
              <w:t>自动化仓</w:t>
            </w:r>
          </w:p>
        </w:tc>
        <w:tc>
          <w:tcPr>
            <w:tcW w:type="dxa" w:w="3402"/>
          </w:tcPr>
          <w:p>
            <w:pPr>
              <w:spacing w:lineRule="exact" w:line="600"/>
              <w:jc w:val="center"/>
            </w:pPr>
            <w:r/>
            <w:r>
              <w:rPr>
                <w:rFonts w:ascii="仿宋_GB2312" w:hAnsi="仿宋_GB2312" w:eastAsia="仿宋_GB2312"/>
                <w:b w:val="0"/>
                <w:color w:val="000000"/>
                <w:sz w:val="32"/>
              </w:rPr>
              <w:t>配送力</w:t>
            </w:r>
          </w:p>
        </w:tc>
      </w:tr>
      <w:tr>
        <w:tc>
          <w:tcPr>
            <w:tcW w:type="dxa" w:w="1701"/>
          </w:tcPr>
          <w:p>
            <w:pPr>
              <w:spacing w:lineRule="exact" w:line="600"/>
              <w:jc w:val="center"/>
            </w:pPr>
            <w:r/>
            <w:r>
              <w:rPr>
                <w:rFonts w:ascii="仿宋_GB2312" w:hAnsi="仿宋_GB2312" w:eastAsia="仿宋_GB2312"/>
                <w:b w:val="0"/>
                <w:color w:val="000000"/>
                <w:sz w:val="32"/>
              </w:rPr>
              <w:t>国际合作</w:t>
            </w:r>
          </w:p>
        </w:tc>
        <w:tc>
          <w:tcPr>
            <w:tcW w:type="dxa" w:w="3685"/>
          </w:tcPr>
          <w:p>
            <w:pPr>
              <w:spacing w:lineRule="exact" w:line="600"/>
              <w:jc w:val="center"/>
            </w:pPr>
            <w:r/>
            <w:r>
              <w:rPr>
                <w:rFonts w:ascii="仿宋_GB2312" w:hAnsi="仿宋_GB2312" w:eastAsia="仿宋_GB2312"/>
                <w:b w:val="0"/>
                <w:color w:val="000000"/>
                <w:sz w:val="32"/>
              </w:rPr>
              <w:t>OEM出口</w:t>
            </w:r>
          </w:p>
        </w:tc>
        <w:tc>
          <w:tcPr>
            <w:tcW w:type="dxa" w:w="3402"/>
          </w:tcPr>
          <w:p>
            <w:pPr>
              <w:spacing w:lineRule="exact" w:line="600"/>
              <w:jc w:val="center"/>
            </w:pPr>
            <w:r/>
            <w:r>
              <w:rPr>
                <w:rFonts w:ascii="仿宋_GB2312" w:hAnsi="仿宋_GB2312" w:eastAsia="仿宋_GB2312"/>
                <w:b w:val="0"/>
                <w:color w:val="000000"/>
                <w:sz w:val="32"/>
              </w:rPr>
              <w:t>流通</w:t>
            </w:r>
          </w:p>
        </w:tc>
      </w:tr>
      <w:tr>
        <w:tc>
          <w:tcPr>
            <w:tcW w:type="dxa" w:w="1701"/>
          </w:tcPr>
          <w:p>
            <w:pPr>
              <w:spacing w:lineRule="exact" w:line="600"/>
              <w:jc w:val="center"/>
            </w:pPr>
            <w:r/>
            <w:r>
              <w:rPr>
                <w:rFonts w:ascii="仿宋_GB2312" w:hAnsi="仿宋_GB2312" w:eastAsia="仿宋_GB2312"/>
                <w:b w:val="0"/>
                <w:color w:val="000000"/>
                <w:sz w:val="32"/>
              </w:rPr>
              <w:t>冷链</w:t>
            </w:r>
          </w:p>
        </w:tc>
        <w:tc>
          <w:tcPr>
            <w:tcW w:type="dxa" w:w="3685"/>
          </w:tcPr>
          <w:p>
            <w:pPr>
              <w:spacing w:lineRule="exact" w:line="600"/>
              <w:jc w:val="center"/>
            </w:pPr>
            <w:r/>
            <w:r>
              <w:rPr>
                <w:rFonts w:ascii="仿宋_GB2312" w:hAnsi="仿宋_GB2312" w:eastAsia="仿宋_GB2312"/>
                <w:b w:val="0"/>
                <w:color w:val="000000"/>
                <w:sz w:val="32"/>
              </w:rPr>
              <w:t>标准化</w:t>
            </w:r>
          </w:p>
        </w:tc>
        <w:tc>
          <w:tcPr>
            <w:tcW w:type="dxa" w:w="3402"/>
          </w:tcPr>
          <w:p>
            <w:pPr>
              <w:spacing w:lineRule="exact" w:line="600"/>
              <w:jc w:val="center"/>
            </w:pPr>
            <w:r/>
            <w:r>
              <w:rPr>
                <w:rFonts w:ascii="仿宋_GB2312" w:hAnsi="仿宋_GB2312" w:eastAsia="仿宋_GB2312"/>
                <w:b w:val="0"/>
                <w:color w:val="000000"/>
                <w:sz w:val="32"/>
              </w:rPr>
              <w:t>合规</w:t>
            </w:r>
          </w:p>
        </w:tc>
      </w:tr>
    </w:tbl>
    <w:p>
      <w:pPr>
        <w:spacing w:lineRule="exact" w:line="600" w:before="120" w:after="120"/>
        <w:ind w:firstLine="420"/>
        <w:jc w:val="left"/>
      </w:pPr>
      <w:r>
        <w:rPr>
          <w:rFonts w:ascii="楷体_GB2312" w:hAnsi="楷体_GB2312" w:eastAsia="楷体_GB2312"/>
          <w:b w:val="0"/>
          <w:color w:val="000000"/>
          <w:sz w:val="32"/>
        </w:rPr>
        <w:t>（八）省级制造业升级政策框架参照</w:t>
      </w:r>
    </w:p>
    <w:p>
      <w:pPr>
        <w:spacing w:lineRule="exact" w:line="600" w:before="0" w:after="0"/>
        <w:ind w:firstLine="420"/>
        <w:jc w:val="both"/>
      </w:pPr>
      <w:r>
        <w:rPr>
          <w:rFonts w:ascii="仿宋_GB2312" w:hAnsi="仿宋_GB2312" w:eastAsia="仿宋_GB2312"/>
          <w:b w:val="0"/>
          <w:color w:val="000000"/>
          <w:sz w:val="32"/>
        </w:rPr>
        <w:t>从省级层面看，山东省以“链长制”（总链长+链长+链主，19条标志性产业链）系统推进制造业升级。《先进制造业强省行动计划（2022—2025年）》明确，到2025年培育专精特新中小企业1万家左右、制造业单项冠军企业1000家左右、产业生态主导型“链主”企业200家左右，打造11条左右标志性产业链；力争到2027年重点行业先进产能占比超过60%，“十四五”期间规模以上工业单位增加值能耗下降17%左右。省财政安排技术改造资金6.25亿元，综合运用“技改专项贷”、设备更新补贴、技改股权投资等政策工具，对符合条件的企业给予最高2000万元贷款贴息、最高500万元设备更新补贴。（来源：山东省发展改革委、省工信厅，《先进制造业强省行动计划（2022—2025年）》《山东省“十四五”制造强省建设规划》，2022—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省级升级指标</w:t>
            </w:r>
          </w:p>
        </w:tc>
        <w:tc>
          <w:tcPr>
            <w:tcW w:type="dxa" w:w="2551"/>
          </w:tcPr>
          <w:p>
            <w:pPr>
              <w:spacing w:lineRule="exact" w:line="600"/>
              <w:jc w:val="center"/>
            </w:pPr>
            <w:r/>
            <w:r>
              <w:rPr>
                <w:rFonts w:ascii="黑体" w:hAnsi="黑体" w:eastAsia="黑体"/>
                <w:b/>
                <w:color w:val="000000"/>
                <w:sz w:val="32"/>
              </w:rPr>
              <w:t>目标/规模</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制造业单项冠军企业（到2025）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标志性产业链</w:t>
            </w:r>
          </w:p>
        </w:tc>
        <w:tc>
          <w:tcPr>
            <w:tcW w:type="dxa" w:w="2551"/>
          </w:tcPr>
          <w:p>
            <w:pPr>
              <w:spacing w:lineRule="exact" w:line="600"/>
              <w:jc w:val="center"/>
            </w:pPr>
            <w:r/>
            <w:r>
              <w:rPr>
                <w:rFonts w:ascii="仿宋_GB2312" w:hAnsi="仿宋_GB2312" w:eastAsia="仿宋_GB2312"/>
                <w:b w:val="0"/>
                <w:color w:val="000000"/>
                <w:sz w:val="32"/>
              </w:rPr>
              <w:t>11条左右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重点行业先进产能占比（到2027）</w:t>
            </w:r>
          </w:p>
        </w:tc>
        <w:tc>
          <w:tcPr>
            <w:tcW w:type="dxa" w:w="2551"/>
          </w:tcPr>
          <w:p>
            <w:pPr>
              <w:spacing w:lineRule="exact" w:line="600"/>
              <w:jc w:val="center"/>
            </w:pPr>
            <w:r/>
            <w:r>
              <w:rPr>
                <w:rFonts w:ascii="仿宋_GB2312" w:hAnsi="仿宋_GB2312" w:eastAsia="仿宋_GB2312"/>
                <w:b w:val="0"/>
                <w:color w:val="000000"/>
                <w:sz w:val="32"/>
              </w:rPr>
              <w:t>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规上工业单位增加值能耗（十四五）</w:t>
            </w:r>
          </w:p>
        </w:tc>
        <w:tc>
          <w:tcPr>
            <w:tcW w:type="dxa" w:w="2551"/>
          </w:tcPr>
          <w:p>
            <w:pPr>
              <w:spacing w:lineRule="exact" w:line="600"/>
              <w:jc w:val="center"/>
            </w:pPr>
            <w:r/>
            <w:r>
              <w:rPr>
                <w:rFonts w:ascii="仿宋_GB2312" w:hAnsi="仿宋_GB2312" w:eastAsia="仿宋_GB2312"/>
                <w:b w:val="0"/>
                <w:color w:val="000000"/>
                <w:sz w:val="32"/>
              </w:rPr>
              <w:t>下降17%左右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120" w:after="120"/>
        <w:ind w:firstLine="420"/>
        <w:jc w:val="left"/>
      </w:pPr>
      <w:r>
        <w:rPr>
          <w:rFonts w:ascii="楷体_GB2312" w:hAnsi="楷体_GB2312" w:eastAsia="楷体_GB2312"/>
          <w:b w:val="0"/>
          <w:color w:val="000000"/>
          <w:sz w:val="32"/>
        </w:rPr>
        <w:t>（一）中硼硅产能扩建</w:t>
      </w:r>
    </w:p>
    <w:p>
      <w:pPr>
        <w:spacing w:lineRule="exact" w:line="600" w:before="0" w:after="0"/>
        <w:ind w:firstLine="420"/>
        <w:jc w:val="both"/>
      </w:pPr>
      <w:r>
        <w:rPr>
          <w:rFonts w:ascii="仿宋_GB2312" w:hAnsi="仿宋_GB2312" w:eastAsia="仿宋_GB2312"/>
          <w:b w:val="0"/>
          <w:color w:val="000000"/>
          <w:sz w:val="32"/>
        </w:rPr>
        <w:t>山东药玻中硼硅模制瓶/管制瓶产能扩张、窑炉节能技改需项目贷与设备融资（来源：申万研报）。棕色瓶出口产线维持资本开支。园区育奇谷、科学城基建配套融资（来源：淄博市政府）。</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融资主体</w:t>
            </w:r>
          </w:p>
        </w:tc>
        <w:tc>
          <w:tcPr>
            <w:tcW w:type="dxa" w:w="3685"/>
          </w:tcPr>
          <w:p>
            <w:pPr>
              <w:spacing w:lineRule="exact" w:line="600"/>
              <w:jc w:val="center"/>
            </w:pPr>
            <w:r/>
            <w:r>
              <w:rPr>
                <w:rFonts w:ascii="黑体" w:hAnsi="黑体" w:eastAsia="黑体"/>
                <w:b/>
                <w:color w:val="000000"/>
                <w:sz w:val="32"/>
              </w:rPr>
              <w:t>项目</w:t>
            </w:r>
          </w:p>
        </w:tc>
        <w:tc>
          <w:tcPr>
            <w:tcW w:type="dxa" w:w="3402"/>
          </w:tcPr>
          <w:p>
            <w:pPr>
              <w:spacing w:lineRule="exact" w:line="600"/>
              <w:jc w:val="center"/>
            </w:pPr>
            <w:r/>
            <w:r>
              <w:rPr>
                <w:rFonts w:ascii="黑体" w:hAnsi="黑体" w:eastAsia="黑体"/>
                <w:b/>
                <w:color w:val="000000"/>
                <w:sz w:val="32"/>
              </w:rPr>
              <w:t>工具</w:t>
            </w:r>
          </w:p>
        </w:tc>
      </w:tr>
      <w:tr>
        <w:tc>
          <w:tcPr>
            <w:tcW w:type="dxa" w:w="1701"/>
          </w:tcPr>
          <w:p>
            <w:pPr>
              <w:spacing w:lineRule="exact" w:line="600"/>
              <w:jc w:val="center"/>
            </w:pPr>
            <w:r/>
            <w:r>
              <w:rPr>
                <w:rFonts w:ascii="仿宋_GB2312" w:hAnsi="仿宋_GB2312" w:eastAsia="仿宋_GB2312"/>
                <w:b w:val="0"/>
                <w:color w:val="000000"/>
                <w:sz w:val="32"/>
              </w:rPr>
              <w:t>山东药玻</w:t>
            </w:r>
          </w:p>
        </w:tc>
        <w:tc>
          <w:tcPr>
            <w:tcW w:type="dxa" w:w="3685"/>
          </w:tcPr>
          <w:p>
            <w:pPr>
              <w:spacing w:lineRule="exact" w:line="600"/>
              <w:jc w:val="center"/>
            </w:pPr>
            <w:r/>
            <w:r>
              <w:rPr>
                <w:rFonts w:ascii="仿宋_GB2312" w:hAnsi="仿宋_GB2312" w:eastAsia="仿宋_GB2312"/>
                <w:b w:val="0"/>
                <w:color w:val="000000"/>
                <w:sz w:val="32"/>
              </w:rPr>
              <w:t>中硼硅扩产</w:t>
            </w:r>
          </w:p>
        </w:tc>
        <w:tc>
          <w:tcPr>
            <w:tcW w:type="dxa" w:w="3402"/>
          </w:tcPr>
          <w:p>
            <w:pPr>
              <w:spacing w:lineRule="exact" w:line="600"/>
              <w:jc w:val="center"/>
            </w:pPr>
            <w:r/>
            <w:r>
              <w:rPr>
                <w:rFonts w:ascii="仿宋_GB2312" w:hAnsi="仿宋_GB2312" w:eastAsia="仿宋_GB2312"/>
                <w:b w:val="0"/>
                <w:color w:val="000000"/>
                <w:sz w:val="32"/>
              </w:rPr>
              <w:t>项目贷</w:t>
            </w:r>
          </w:p>
        </w:tc>
      </w:tr>
      <w:tr>
        <w:tc>
          <w:tcPr>
            <w:tcW w:type="dxa" w:w="1701"/>
          </w:tcPr>
          <w:p>
            <w:pPr>
              <w:spacing w:lineRule="exact" w:line="600"/>
              <w:jc w:val="center"/>
            </w:pPr>
            <w:r/>
            <w:r>
              <w:rPr>
                <w:rFonts w:ascii="仿宋_GB2312" w:hAnsi="仿宋_GB2312" w:eastAsia="仿宋_GB2312"/>
                <w:b w:val="0"/>
                <w:color w:val="000000"/>
                <w:sz w:val="32"/>
              </w:rPr>
              <w:t>药玻</w:t>
            </w:r>
          </w:p>
        </w:tc>
        <w:tc>
          <w:tcPr>
            <w:tcW w:type="dxa" w:w="3685"/>
          </w:tcPr>
          <w:p>
            <w:pPr>
              <w:spacing w:lineRule="exact" w:line="600"/>
              <w:jc w:val="center"/>
            </w:pPr>
            <w:r/>
            <w:r>
              <w:rPr>
                <w:rFonts w:ascii="仿宋_GB2312" w:hAnsi="仿宋_GB2312" w:eastAsia="仿宋_GB2312"/>
                <w:b w:val="0"/>
                <w:color w:val="000000"/>
                <w:sz w:val="32"/>
              </w:rPr>
              <w:t>窑炉技改</w:t>
            </w:r>
          </w:p>
        </w:tc>
        <w:tc>
          <w:tcPr>
            <w:tcW w:type="dxa" w:w="3402"/>
          </w:tcPr>
          <w:p>
            <w:pPr>
              <w:spacing w:lineRule="exact" w:line="600"/>
              <w:jc w:val="center"/>
            </w:pPr>
            <w:r/>
            <w:r>
              <w:rPr>
                <w:rFonts w:ascii="仿宋_GB2312" w:hAnsi="仿宋_GB2312" w:eastAsia="仿宋_GB2312"/>
                <w:b w:val="0"/>
                <w:color w:val="000000"/>
                <w:sz w:val="32"/>
              </w:rPr>
              <w:t>设备贷</w:t>
            </w:r>
          </w:p>
        </w:tc>
      </w:tr>
      <w:tr>
        <w:tc>
          <w:tcPr>
            <w:tcW w:type="dxa" w:w="1701"/>
          </w:tcPr>
          <w:p>
            <w:pPr>
              <w:spacing w:lineRule="exact" w:line="600"/>
              <w:jc w:val="center"/>
            </w:pPr>
            <w:r/>
            <w:r>
              <w:rPr>
                <w:rFonts w:ascii="仿宋_GB2312" w:hAnsi="仿宋_GB2312" w:eastAsia="仿宋_GB2312"/>
                <w:b w:val="0"/>
                <w:color w:val="000000"/>
                <w:sz w:val="32"/>
              </w:rPr>
              <w:t>育奇谷</w:t>
            </w:r>
          </w:p>
        </w:tc>
        <w:tc>
          <w:tcPr>
            <w:tcW w:type="dxa" w:w="3685"/>
          </w:tcPr>
          <w:p>
            <w:pPr>
              <w:spacing w:lineRule="exact" w:line="600"/>
              <w:jc w:val="center"/>
            </w:pPr>
            <w:r/>
            <w:r>
              <w:rPr>
                <w:rFonts w:ascii="仿宋_GB2312" w:hAnsi="仿宋_GB2312" w:eastAsia="仿宋_GB2312"/>
                <w:b w:val="0"/>
                <w:color w:val="000000"/>
                <w:sz w:val="32"/>
              </w:rPr>
              <w:t>25万㎡</w:t>
            </w:r>
          </w:p>
        </w:tc>
        <w:tc>
          <w:tcPr>
            <w:tcW w:type="dxa" w:w="3402"/>
          </w:tcPr>
          <w:p>
            <w:pPr>
              <w:spacing w:lineRule="exact" w:line="600"/>
              <w:jc w:val="center"/>
            </w:pPr>
            <w:r/>
            <w:r>
              <w:rPr>
                <w:rFonts w:ascii="仿宋_GB2312" w:hAnsi="仿宋_GB2312" w:eastAsia="仿宋_GB2312"/>
                <w:b w:val="0"/>
                <w:color w:val="000000"/>
                <w:sz w:val="32"/>
              </w:rPr>
              <w:t>园区债</w:t>
            </w:r>
          </w:p>
        </w:tc>
      </w:tr>
      <w:tr>
        <w:tc>
          <w:tcPr>
            <w:tcW w:type="dxa" w:w="1701"/>
          </w:tcPr>
          <w:p>
            <w:pPr>
              <w:spacing w:lineRule="exact" w:line="600"/>
              <w:jc w:val="center"/>
            </w:pPr>
            <w:r/>
            <w:r>
              <w:rPr>
                <w:rFonts w:ascii="仿宋_GB2312" w:hAnsi="仿宋_GB2312" w:eastAsia="仿宋_GB2312"/>
                <w:b w:val="0"/>
                <w:color w:val="000000"/>
                <w:sz w:val="32"/>
              </w:rPr>
              <w:t>科学城</w:t>
            </w:r>
          </w:p>
        </w:tc>
        <w:tc>
          <w:tcPr>
            <w:tcW w:type="dxa" w:w="3685"/>
          </w:tcPr>
          <w:p>
            <w:pPr>
              <w:spacing w:lineRule="exact" w:line="600"/>
              <w:jc w:val="center"/>
            </w:pPr>
            <w:r/>
            <w:r>
              <w:rPr>
                <w:rFonts w:ascii="仿宋_GB2312" w:hAnsi="仿宋_GB2312" w:eastAsia="仿宋_GB2312"/>
                <w:b w:val="0"/>
                <w:color w:val="000000"/>
                <w:sz w:val="32"/>
              </w:rPr>
              <w:t>科研</w:t>
            </w:r>
          </w:p>
        </w:tc>
        <w:tc>
          <w:tcPr>
            <w:tcW w:type="dxa" w:w="3402"/>
          </w:tcPr>
          <w:p>
            <w:pPr>
              <w:spacing w:lineRule="exact" w:line="600"/>
              <w:jc w:val="center"/>
            </w:pPr>
            <w:r/>
            <w:r>
              <w:rPr>
                <w:rFonts w:ascii="仿宋_GB2312" w:hAnsi="仿宋_GB2312" w:eastAsia="仿宋_GB2312"/>
                <w:b w:val="0"/>
                <w:color w:val="000000"/>
                <w:sz w:val="32"/>
              </w:rPr>
              <w:t>基建</w:t>
            </w:r>
          </w:p>
        </w:tc>
      </w:tr>
    </w:tbl>
    <w:p>
      <w:pPr>
        <w:spacing w:lineRule="exact" w:line="600" w:before="120" w:after="120"/>
        <w:ind w:firstLine="420"/>
        <w:jc w:val="left"/>
      </w:pPr>
      <w:r>
        <w:rPr>
          <w:rFonts w:ascii="楷体_GB2312" w:hAnsi="楷体_GB2312" w:eastAsia="楷体_GB2312"/>
          <w:b w:val="0"/>
          <w:color w:val="000000"/>
          <w:sz w:val="32"/>
        </w:rPr>
        <w:t>（二）物流与流通升级</w:t>
      </w:r>
    </w:p>
    <w:p>
      <w:pPr>
        <w:spacing w:lineRule="exact" w:line="600" w:before="0" w:after="0"/>
        <w:ind w:firstLine="420"/>
        <w:jc w:val="both"/>
      </w:pPr>
      <w:r>
        <w:rPr>
          <w:rFonts w:ascii="仿宋_GB2312" w:hAnsi="仿宋_GB2312" w:eastAsia="仿宋_GB2312"/>
          <w:b w:val="0"/>
          <w:color w:val="000000"/>
          <w:sz w:val="32"/>
        </w:rPr>
        <w:t>新华制药现代医药物流项目、口服液生产线建设需项目贷与流动资金（来源：新华制药年报）。医药物流自动化、冷链设备适用绿色金融与专项债。流通企业扩网需营运资金。</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方向</w:t>
            </w:r>
          </w:p>
        </w:tc>
        <w:tc>
          <w:tcPr>
            <w:tcW w:type="dxa" w:w="3118"/>
          </w:tcPr>
          <w:p>
            <w:pPr>
              <w:spacing w:lineRule="exact" w:line="600"/>
              <w:jc w:val="center"/>
            </w:pPr>
            <w:r/>
            <w:r>
              <w:rPr>
                <w:rFonts w:ascii="黑体" w:hAnsi="黑体" w:eastAsia="黑体"/>
                <w:b/>
                <w:color w:val="000000"/>
                <w:sz w:val="32"/>
              </w:rPr>
              <w:t>内容</w:t>
            </w:r>
          </w:p>
        </w:tc>
        <w:tc>
          <w:tcPr>
            <w:tcW w:type="dxa" w:w="3402"/>
          </w:tcPr>
          <w:p>
            <w:pPr>
              <w:spacing w:lineRule="exact" w:line="600"/>
              <w:jc w:val="center"/>
            </w:pPr>
            <w:r/>
            <w:r>
              <w:rPr>
                <w:rFonts w:ascii="黑体" w:hAnsi="黑体" w:eastAsia="黑体"/>
                <w:b/>
                <w:color w:val="000000"/>
                <w:sz w:val="32"/>
              </w:rPr>
              <w:t>工具</w:t>
            </w:r>
          </w:p>
        </w:tc>
      </w:tr>
      <w:tr>
        <w:tc>
          <w:tcPr>
            <w:tcW w:type="dxa" w:w="1984"/>
          </w:tcPr>
          <w:p>
            <w:pPr>
              <w:spacing w:lineRule="exact" w:line="600"/>
              <w:jc w:val="center"/>
            </w:pPr>
            <w:r/>
            <w:r>
              <w:rPr>
                <w:rFonts w:ascii="仿宋_GB2312" w:hAnsi="仿宋_GB2312" w:eastAsia="仿宋_GB2312"/>
                <w:b w:val="0"/>
                <w:color w:val="000000"/>
                <w:sz w:val="32"/>
              </w:rPr>
              <w:t>医药物流</w:t>
            </w:r>
          </w:p>
        </w:tc>
        <w:tc>
          <w:tcPr>
            <w:tcW w:type="dxa" w:w="3118"/>
          </w:tcPr>
          <w:p>
            <w:pPr>
              <w:spacing w:lineRule="exact" w:line="600"/>
              <w:jc w:val="center"/>
            </w:pPr>
            <w:r/>
            <w:r>
              <w:rPr>
                <w:rFonts w:ascii="仿宋_GB2312" w:hAnsi="仿宋_GB2312" w:eastAsia="仿宋_GB2312"/>
                <w:b w:val="0"/>
                <w:color w:val="000000"/>
                <w:sz w:val="32"/>
              </w:rPr>
              <w:t>现代项目</w:t>
            </w:r>
          </w:p>
        </w:tc>
        <w:tc>
          <w:tcPr>
            <w:tcW w:type="dxa" w:w="3402"/>
          </w:tcPr>
          <w:p>
            <w:pPr>
              <w:spacing w:lineRule="exact" w:line="600"/>
              <w:jc w:val="center"/>
            </w:pPr>
            <w:r/>
            <w:r>
              <w:rPr>
                <w:rFonts w:ascii="仿宋_GB2312" w:hAnsi="仿宋_GB2312" w:eastAsia="仿宋_GB2312"/>
                <w:b w:val="0"/>
                <w:color w:val="000000"/>
                <w:sz w:val="32"/>
              </w:rPr>
              <w:t>项目贷</w:t>
            </w:r>
          </w:p>
        </w:tc>
      </w:tr>
      <w:tr>
        <w:tc>
          <w:tcPr>
            <w:tcW w:type="dxa" w:w="1984"/>
          </w:tcPr>
          <w:p>
            <w:pPr>
              <w:spacing w:lineRule="exact" w:line="600"/>
              <w:jc w:val="center"/>
            </w:pPr>
            <w:r/>
            <w:r>
              <w:rPr>
                <w:rFonts w:ascii="仿宋_GB2312" w:hAnsi="仿宋_GB2312" w:eastAsia="仿宋_GB2312"/>
                <w:b w:val="0"/>
                <w:color w:val="000000"/>
                <w:sz w:val="32"/>
              </w:rPr>
              <w:t>冷链</w:t>
            </w:r>
          </w:p>
        </w:tc>
        <w:tc>
          <w:tcPr>
            <w:tcW w:type="dxa" w:w="3118"/>
          </w:tcPr>
          <w:p>
            <w:pPr>
              <w:spacing w:lineRule="exact" w:line="600"/>
              <w:jc w:val="center"/>
            </w:pPr>
            <w:r/>
            <w:r>
              <w:rPr>
                <w:rFonts w:ascii="仿宋_GB2312" w:hAnsi="仿宋_GB2312" w:eastAsia="仿宋_GB2312"/>
                <w:b w:val="0"/>
                <w:color w:val="000000"/>
                <w:sz w:val="32"/>
              </w:rPr>
              <w:t>设备</w:t>
            </w:r>
          </w:p>
        </w:tc>
        <w:tc>
          <w:tcPr>
            <w:tcW w:type="dxa" w:w="3402"/>
          </w:tcPr>
          <w:p>
            <w:pPr>
              <w:spacing w:lineRule="exact" w:line="600"/>
              <w:jc w:val="center"/>
            </w:pPr>
            <w:r/>
            <w:r>
              <w:rPr>
                <w:rFonts w:ascii="仿宋_GB2312" w:hAnsi="仿宋_GB2312" w:eastAsia="仿宋_GB2312"/>
                <w:b w:val="0"/>
                <w:color w:val="000000"/>
                <w:sz w:val="32"/>
              </w:rPr>
              <w:t>绿色</w:t>
            </w:r>
          </w:p>
        </w:tc>
      </w:tr>
      <w:tr>
        <w:tc>
          <w:tcPr>
            <w:tcW w:type="dxa" w:w="1984"/>
          </w:tcPr>
          <w:p>
            <w:pPr>
              <w:spacing w:lineRule="exact" w:line="600"/>
              <w:jc w:val="center"/>
            </w:pPr>
            <w:r/>
            <w:r>
              <w:rPr>
                <w:rFonts w:ascii="仿宋_GB2312" w:hAnsi="仿宋_GB2312" w:eastAsia="仿宋_GB2312"/>
                <w:b w:val="0"/>
                <w:color w:val="000000"/>
                <w:sz w:val="32"/>
              </w:rPr>
              <w:t>流通网络</w:t>
            </w:r>
          </w:p>
        </w:tc>
        <w:tc>
          <w:tcPr>
            <w:tcW w:type="dxa" w:w="3118"/>
          </w:tcPr>
          <w:p>
            <w:pPr>
              <w:spacing w:lineRule="exact" w:line="600"/>
              <w:jc w:val="center"/>
            </w:pPr>
            <w:r/>
            <w:r>
              <w:rPr>
                <w:rFonts w:ascii="仿宋_GB2312" w:hAnsi="仿宋_GB2312" w:eastAsia="仿宋_GB2312"/>
                <w:b w:val="0"/>
                <w:color w:val="000000"/>
                <w:sz w:val="32"/>
              </w:rPr>
              <w:t>扩网</w:t>
            </w:r>
          </w:p>
        </w:tc>
        <w:tc>
          <w:tcPr>
            <w:tcW w:type="dxa" w:w="3402"/>
          </w:tcPr>
          <w:p>
            <w:pPr>
              <w:spacing w:lineRule="exact" w:line="600"/>
              <w:jc w:val="center"/>
            </w:pPr>
            <w:r/>
            <w:r>
              <w:rPr>
                <w:rFonts w:ascii="仿宋_GB2312" w:hAnsi="仿宋_GB2312" w:eastAsia="仿宋_GB2312"/>
                <w:b w:val="0"/>
                <w:color w:val="000000"/>
                <w:sz w:val="32"/>
              </w:rPr>
              <w:t>流贷</w:t>
            </w:r>
          </w:p>
        </w:tc>
      </w:tr>
    </w:tbl>
    <w:p>
      <w:pPr>
        <w:spacing w:lineRule="exact" w:line="600" w:before="120" w:after="120"/>
        <w:ind w:firstLine="420"/>
        <w:jc w:val="left"/>
      </w:pPr>
      <w:r>
        <w:rPr>
          <w:rFonts w:ascii="楷体_GB2312" w:hAnsi="楷体_GB2312" w:eastAsia="楷体_GB2312"/>
          <w:b w:val="0"/>
          <w:color w:val="000000"/>
          <w:sz w:val="32"/>
        </w:rPr>
        <w:t>（三）研发与认证</w:t>
      </w:r>
    </w:p>
    <w:p>
      <w:pPr>
        <w:spacing w:lineRule="exact" w:line="600" w:before="0" w:after="0"/>
        <w:ind w:firstLine="420"/>
        <w:jc w:val="both"/>
      </w:pPr>
      <w:r>
        <w:rPr>
          <w:rFonts w:ascii="仿宋_GB2312" w:hAnsi="仿宋_GB2312" w:eastAsia="仿宋_GB2312"/>
          <w:b w:val="0"/>
          <w:color w:val="000000"/>
          <w:sz w:val="32"/>
        </w:rPr>
        <w:t>面向中硼硅配方、成型工艺与DMF/国际认证的研发需投入；政策鼓励中试平台（参照地区奖补）。科创贷、知识产权质押适用药包材与流通数字化改造。</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方向</w:t>
            </w:r>
          </w:p>
        </w:tc>
        <w:tc>
          <w:tcPr>
            <w:tcW w:type="dxa" w:w="3118"/>
          </w:tcPr>
          <w:p>
            <w:pPr>
              <w:spacing w:lineRule="exact" w:line="600"/>
              <w:jc w:val="center"/>
            </w:pPr>
            <w:r/>
            <w:r>
              <w:rPr>
                <w:rFonts w:ascii="黑体" w:hAnsi="黑体" w:eastAsia="黑体"/>
                <w:b/>
                <w:color w:val="000000"/>
                <w:sz w:val="32"/>
              </w:rPr>
              <w:t>内容</w:t>
            </w:r>
          </w:p>
        </w:tc>
        <w:tc>
          <w:tcPr>
            <w:tcW w:type="dxa" w:w="3402"/>
          </w:tcPr>
          <w:p>
            <w:pPr>
              <w:spacing w:lineRule="exact" w:line="600"/>
              <w:jc w:val="center"/>
            </w:pPr>
            <w:r/>
            <w:r>
              <w:rPr>
                <w:rFonts w:ascii="黑体" w:hAnsi="黑体" w:eastAsia="黑体"/>
                <w:b/>
                <w:color w:val="000000"/>
                <w:sz w:val="32"/>
              </w:rPr>
              <w:t>工具</w:t>
            </w:r>
          </w:p>
        </w:tc>
      </w:tr>
      <w:tr>
        <w:tc>
          <w:tcPr>
            <w:tcW w:type="dxa" w:w="1984"/>
          </w:tcPr>
          <w:p>
            <w:pPr>
              <w:spacing w:lineRule="exact" w:line="600"/>
              <w:jc w:val="center"/>
            </w:pPr>
            <w:r/>
            <w:r>
              <w:rPr>
                <w:rFonts w:ascii="仿宋_GB2312" w:hAnsi="仿宋_GB2312" w:eastAsia="仿宋_GB2312"/>
                <w:b w:val="0"/>
                <w:color w:val="000000"/>
                <w:sz w:val="32"/>
              </w:rPr>
              <w:t>中硼硅研发</w:t>
            </w:r>
          </w:p>
        </w:tc>
        <w:tc>
          <w:tcPr>
            <w:tcW w:type="dxa" w:w="3118"/>
          </w:tcPr>
          <w:p>
            <w:pPr>
              <w:spacing w:lineRule="exact" w:line="600"/>
              <w:jc w:val="center"/>
            </w:pPr>
            <w:r/>
            <w:r>
              <w:rPr>
                <w:rFonts w:ascii="仿宋_GB2312" w:hAnsi="仿宋_GB2312" w:eastAsia="仿宋_GB2312"/>
                <w:b w:val="0"/>
                <w:color w:val="000000"/>
                <w:sz w:val="32"/>
              </w:rPr>
              <w:t>配方/工艺</w:t>
            </w:r>
          </w:p>
        </w:tc>
        <w:tc>
          <w:tcPr>
            <w:tcW w:type="dxa" w:w="3402"/>
          </w:tcPr>
          <w:p>
            <w:pPr>
              <w:spacing w:lineRule="exact" w:line="600"/>
              <w:jc w:val="center"/>
            </w:pPr>
            <w:r/>
            <w:r>
              <w:rPr>
                <w:rFonts w:ascii="仿宋_GB2312" w:hAnsi="仿宋_GB2312" w:eastAsia="仿宋_GB2312"/>
                <w:b w:val="0"/>
                <w:color w:val="000000"/>
                <w:sz w:val="32"/>
              </w:rPr>
              <w:t>科创贷</w:t>
            </w:r>
          </w:p>
        </w:tc>
      </w:tr>
      <w:tr>
        <w:tc>
          <w:tcPr>
            <w:tcW w:type="dxa" w:w="1984"/>
          </w:tcPr>
          <w:p>
            <w:pPr>
              <w:spacing w:lineRule="exact" w:line="600"/>
              <w:jc w:val="center"/>
            </w:pPr>
            <w:r/>
            <w:r>
              <w:rPr>
                <w:rFonts w:ascii="仿宋_GB2312" w:hAnsi="仿宋_GB2312" w:eastAsia="仿宋_GB2312"/>
                <w:b w:val="0"/>
                <w:color w:val="000000"/>
                <w:sz w:val="32"/>
              </w:rPr>
              <w:t>国际认证</w:t>
            </w:r>
          </w:p>
        </w:tc>
        <w:tc>
          <w:tcPr>
            <w:tcW w:type="dxa" w:w="3118"/>
          </w:tcPr>
          <w:p>
            <w:pPr>
              <w:spacing w:lineRule="exact" w:line="600"/>
              <w:jc w:val="center"/>
            </w:pPr>
            <w:r/>
            <w:r>
              <w:rPr>
                <w:rFonts w:ascii="仿宋_GB2312" w:hAnsi="仿宋_GB2312" w:eastAsia="仿宋_GB2312"/>
                <w:b w:val="0"/>
                <w:color w:val="000000"/>
                <w:sz w:val="32"/>
              </w:rPr>
              <w:t>DMF</w:t>
            </w:r>
          </w:p>
        </w:tc>
        <w:tc>
          <w:tcPr>
            <w:tcW w:type="dxa" w:w="3402"/>
          </w:tcPr>
          <w:p>
            <w:pPr>
              <w:spacing w:lineRule="exact" w:line="600"/>
              <w:jc w:val="center"/>
            </w:pPr>
            <w:r/>
            <w:r>
              <w:rPr>
                <w:rFonts w:ascii="仿宋_GB2312" w:hAnsi="仿宋_GB2312" w:eastAsia="仿宋_GB2312"/>
                <w:b w:val="0"/>
                <w:color w:val="000000"/>
                <w:sz w:val="32"/>
              </w:rPr>
              <w:t>研发贷</w:t>
            </w:r>
          </w:p>
        </w:tc>
      </w:tr>
      <w:tr>
        <w:tc>
          <w:tcPr>
            <w:tcW w:type="dxa" w:w="1984"/>
          </w:tcPr>
          <w:p>
            <w:pPr>
              <w:spacing w:lineRule="exact" w:line="600"/>
              <w:jc w:val="center"/>
            </w:pPr>
            <w:r/>
            <w:r>
              <w:rPr>
                <w:rFonts w:ascii="仿宋_GB2312" w:hAnsi="仿宋_GB2312" w:eastAsia="仿宋_GB2312"/>
                <w:b w:val="0"/>
                <w:color w:val="000000"/>
                <w:sz w:val="32"/>
              </w:rPr>
              <w:t>数字化</w:t>
            </w:r>
          </w:p>
        </w:tc>
        <w:tc>
          <w:tcPr>
            <w:tcW w:type="dxa" w:w="3118"/>
          </w:tcPr>
          <w:p>
            <w:pPr>
              <w:spacing w:lineRule="exact" w:line="600"/>
              <w:jc w:val="center"/>
            </w:pPr>
            <w:r/>
            <w:r>
              <w:rPr>
                <w:rFonts w:ascii="仿宋_GB2312" w:hAnsi="仿宋_GB2312" w:eastAsia="仿宋_GB2312"/>
                <w:b w:val="0"/>
                <w:color w:val="000000"/>
                <w:sz w:val="32"/>
              </w:rPr>
              <w:t>流通系统</w:t>
            </w:r>
          </w:p>
        </w:tc>
        <w:tc>
          <w:tcPr>
            <w:tcW w:type="dxa" w:w="3402"/>
          </w:tcPr>
          <w:p>
            <w:pPr>
              <w:spacing w:lineRule="exact" w:line="600"/>
              <w:jc w:val="center"/>
            </w:pPr>
            <w:r/>
            <w:r>
              <w:rPr>
                <w:rFonts w:ascii="仿宋_GB2312" w:hAnsi="仿宋_GB2312" w:eastAsia="仿宋_GB2312"/>
                <w:b w:val="0"/>
                <w:color w:val="000000"/>
                <w:sz w:val="32"/>
              </w:rPr>
              <w:t>转型贷</w:t>
            </w:r>
          </w:p>
        </w:tc>
      </w:tr>
    </w:tbl>
    <w:p>
      <w:pPr>
        <w:spacing w:lineRule="exact" w:line="600" w:before="120" w:after="120"/>
        <w:ind w:firstLine="420"/>
        <w:jc w:val="left"/>
      </w:pPr>
      <w:r>
        <w:rPr>
          <w:rFonts w:ascii="楷体_GB2312" w:hAnsi="楷体_GB2312" w:eastAsia="楷体_GB2312"/>
          <w:b w:val="0"/>
          <w:color w:val="000000"/>
          <w:sz w:val="32"/>
        </w:rPr>
        <w:t>（九）省级产业投融资工具参照</w:t>
      </w:r>
    </w:p>
    <w:p>
      <w:pPr>
        <w:spacing w:lineRule="exact" w:line="600" w:before="0" w:after="0"/>
        <w:ind w:firstLine="420"/>
        <w:jc w:val="both"/>
      </w:pPr>
      <w:r>
        <w:rPr>
          <w:rFonts w:ascii="仿宋_GB2312" w:hAnsi="仿宋_GB2312" w:eastAsia="仿宋_GB2312"/>
          <w:b w:val="0"/>
          <w:color w:val="000000"/>
          <w:sz w:val="32"/>
        </w:rPr>
        <w:t>从省级产业投融资体系看，山东省已构建多层次资金支持工具。2024年12月，规模100亿元的省级绿色低碳高质量发展先行区建设引导基金完成注册，通过子基金和直接投资撬动不低于300亿元投资规模；省新旧动能转换基金累计投资“十强”产业项目1300多个、金额约1300亿元，带动社会资本投融资超5000亿元，其中绿色低碳相关项目355个、带动社会资本投资1824亿元。省级科技资金2024年达145.2亿元；人民银行济南分行每年安排再贷款专项额度100亿元扩大绿色信贷供给。对企业端，“技改专项贷”与设备更新补贴可对符合条件的项目给予最高2000万元贷款贴息、最高500万元设备更新补贴。（来源：山东省新动能基金管理有限公司/大众日报，2024—2025；山东省财政厅，2024；省发展改革委，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省级金融工具</w:t>
            </w:r>
          </w:p>
        </w:tc>
        <w:tc>
          <w:tcPr>
            <w:tcW w:type="dxa" w:w="2551"/>
          </w:tcPr>
          <w:p>
            <w:pPr>
              <w:spacing w:lineRule="exact" w:line="600"/>
              <w:jc w:val="center"/>
            </w:pPr>
            <w:r/>
            <w:r>
              <w:rPr>
                <w:rFonts w:ascii="黑体" w:hAnsi="黑体" w:eastAsia="黑体"/>
                <w:b/>
                <w:color w:val="000000"/>
                <w:sz w:val="32"/>
              </w:rPr>
              <w:t>规模/力度</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绿色低碳高质量发展先行区引导基金</w:t>
            </w:r>
          </w:p>
        </w:tc>
        <w:tc>
          <w:tcPr>
            <w:tcW w:type="dxa" w:w="2551"/>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省新动能基金/大众日报，2024</w:t>
            </w:r>
          </w:p>
        </w:tc>
      </w:tr>
      <w:tr>
        <w:tc>
          <w:tcPr>
            <w:tcW w:type="dxa" w:w="4252"/>
          </w:tcPr>
          <w:p>
            <w:pPr>
              <w:spacing w:lineRule="exact" w:line="600"/>
              <w:jc w:val="center"/>
            </w:pPr>
            <w:r/>
            <w:r>
              <w:rPr>
                <w:rFonts w:ascii="仿宋_GB2312" w:hAnsi="仿宋_GB2312" w:eastAsia="仿宋_GB2312"/>
                <w:b w:val="0"/>
                <w:color w:val="000000"/>
                <w:sz w:val="32"/>
              </w:rPr>
              <w:t>新旧动能转换基金（十强产业）</w:t>
            </w:r>
          </w:p>
        </w:tc>
        <w:tc>
          <w:tcPr>
            <w:tcW w:type="dxa" w:w="2551"/>
          </w:tcPr>
          <w:p>
            <w:pPr>
              <w:spacing w:lineRule="exact" w:line="600"/>
              <w:jc w:val="center"/>
            </w:pPr>
            <w:r/>
            <w:r>
              <w:rPr>
                <w:rFonts w:ascii="仿宋_GB2312" w:hAnsi="仿宋_GB2312" w:eastAsia="仿宋_GB2312"/>
                <w:b w:val="0"/>
                <w:color w:val="000000"/>
                <w:sz w:val="32"/>
              </w:rPr>
              <w:t>投资约1300亿元、带动超5000亿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绿色低碳相关项目投资</w:t>
            </w:r>
          </w:p>
        </w:tc>
        <w:tc>
          <w:tcPr>
            <w:tcW w:type="dxa" w:w="2551"/>
          </w:tcPr>
          <w:p>
            <w:pPr>
              <w:spacing w:lineRule="exact" w:line="600"/>
              <w:jc w:val="center"/>
            </w:pPr>
            <w:r/>
            <w:r>
              <w:rPr>
                <w:rFonts w:ascii="仿宋_GB2312" w:hAnsi="仿宋_GB2312" w:eastAsia="仿宋_GB2312"/>
                <w:b w:val="0"/>
                <w:color w:val="000000"/>
                <w:sz w:val="32"/>
              </w:rPr>
              <w:t>355个、带动1824亿元</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省级科技资金</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绿色再贷款专项额度</w:t>
            </w:r>
          </w:p>
        </w:tc>
        <w:tc>
          <w:tcPr>
            <w:tcW w:type="dxa" w:w="2551"/>
          </w:tcPr>
          <w:p>
            <w:pPr>
              <w:spacing w:lineRule="exact" w:line="600"/>
              <w:jc w:val="center"/>
            </w:pPr>
            <w:r/>
            <w:r>
              <w:rPr>
                <w:rFonts w:ascii="仿宋_GB2312" w:hAnsi="仿宋_GB2312" w:eastAsia="仿宋_GB2312"/>
                <w:b w:val="0"/>
                <w:color w:val="000000"/>
                <w:sz w:val="32"/>
              </w:rPr>
              <w:t>100亿元/年</w:t>
            </w:r>
          </w:p>
        </w:tc>
        <w:tc>
          <w:tcPr>
            <w:tcW w:type="dxa" w:w="2551"/>
          </w:tcPr>
          <w:p>
            <w:pPr>
              <w:spacing w:lineRule="exact" w:line="600"/>
              <w:jc w:val="center"/>
            </w:pPr>
            <w:r/>
            <w:r>
              <w:rPr>
                <w:rFonts w:ascii="仿宋_GB2312" w:hAnsi="仿宋_GB2312" w:eastAsia="仿宋_GB2312"/>
                <w:b w:val="0"/>
                <w:color w:val="000000"/>
                <w:sz w:val="32"/>
              </w:rPr>
              <w:t>人民银行济南分行，2024</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省药用玻璃股份有限公司（600529）：国内药用玻璃包装龙头，2024年营收51.25亿元（+2.87%）、归母净利润9.43亿元（+21.55%）；模制瓶系列收入23.53亿元（占45.9%）、棕色瓶11.57亿元（占22.58%）、丁基胶塞2.86亿元、管制瓶2.15亿元；模制瓶销售37.5万吨、棕色瓶28.6万吨、丁基胶塞62.2亿支；中硼硅模制瓶随一致性评价与集采持续增长，毛利率31.72%。来源：山东药玻2024年报、申万宏源研报。</w:t>
      </w:r>
    </w:p>
    <w:p>
      <w:pPr>
        <w:spacing w:lineRule="exact" w:line="600" w:before="0" w:after="0"/>
        <w:ind w:firstLine="420"/>
        <w:jc w:val="both"/>
      </w:pPr>
      <w:r>
        <w:rPr>
          <w:rFonts w:ascii="仿宋_GB2312" w:hAnsi="仿宋_GB2312" w:eastAsia="仿宋_GB2312"/>
          <w:b w:val="0"/>
          <w:color w:val="000000"/>
          <w:sz w:val="32"/>
        </w:rPr>
        <w:t>新华制药现代医药物流项目：新华制药（000756）建设的医药物流与口服液生产线项目，商业板块与头部企业战略合作加深，构成高新区医药流通服务支柱。来源：新华制药2024年报。</w:t>
      </w:r>
    </w:p>
    <w:p>
      <w:pPr>
        <w:spacing w:lineRule="exact" w:line="600" w:before="0" w:after="0"/>
        <w:ind w:firstLine="420"/>
        <w:jc w:val="both"/>
      </w:pPr>
      <w:r>
        <w:rPr>
          <w:rFonts w:ascii="仿宋_GB2312" w:hAnsi="仿宋_GB2312" w:eastAsia="仿宋_GB2312"/>
          <w:b w:val="0"/>
          <w:color w:val="000000"/>
          <w:sz w:val="32"/>
        </w:rPr>
        <w:t>新华医疗医疗商贸板块：新华医疗（600587）医疗商贸产品2024年收入31.25亿元，提供医疗器械渠道与终端服务，与器械制造、医疗服务形成「2+2」协同布局。来源：新华医疗2024年报。</w:t>
      </w:r>
    </w:p>
    <w:p>
      <w:pPr>
        <w:spacing w:lineRule="exact" w:line="600" w:before="0" w:after="0"/>
        <w:jc w:val="left"/>
      </w:pPr>
      <w:r>
        <w:rPr>
          <w:rFonts w:ascii="仿宋_GB2312" w:hAnsi="仿宋_GB2312" w:eastAsia="仿宋_GB2312"/>
          <w:b w:val="0"/>
          <w:color w:val="000000"/>
          <w:sz w:val="28"/>
        </w:rPr>
        <w:t>主要数据来源：淄博高新区官网（china-zibo.gov.cn）：《高新区新医药产业「链」出发展新动能》等，2024—2026；淄博市人民政府：《投资区域 淄博高新技术产业开发区》，2026年2月；山东省药用玻璃股份有限公司2024年年度报告（上交所600529）；申万宏源研究：《山东药玻(600529)价值回归 利润率改善驱动业绩增长》，2025；山东新华制药股份有限公司2024年年度报告（深交所000756）；山东新华医疗器械股份有限公司2024年年度报告（上交所600587）；国家药监局仿制药一致性评价、集采公开信息</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