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山东淄博周村区(矿物功能新材料)特色产业集群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矿物功能填料行业深度分析报告</w:t>
      </w:r>
    </w:p>
    <w:p>
      <w:pPr>
        <w:spacing w:lineRule="exact" w:line="600" w:before="0" w:after="0"/>
        <w:jc w:val="left"/>
      </w:pPr>
      <w:r>
        <w:rPr>
          <w:rFonts w:ascii="仿宋_GB2312" w:hAnsi="仿宋_GB2312" w:eastAsia="仿宋_GB2312"/>
          <w:b w:val="0"/>
          <w:color w:val="000000"/>
          <w:sz w:val="28"/>
        </w:rPr>
        <w:t>本报告数据来源于经济日报、华经产业研究院、企业公开工商/官网信息（淄博同发等）及行业研究报告。数据截至2024—2025年，部分本地中小企业公开财务有限，已标注「公开资料有限」或「行业共性研判」。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周村矿物功能填料以硅酸铝纤维（陶瓷纤维）等耐火保温填料为核心，依托王村镇「矿石开采—焦宝石煅烧—耐材制造」产业链。淄博同发耐火保温材料位于周村，拥有连熔连甩线6条、真空成型线6条等，年产普通/标准/高纯/高铝等硅酸铝纤维棉、针刺毯、毡、板、纸及纺织品10000余吨，产品销全国30余省并出口美、日、德、韩等，通过ISO9001，导热系数约0.03、使用温度达1200℃。周村区新材料产业2025年规上企业43家、产值112.9亿元，王村镇耐材占比近80%（来源：经济日报，2026）。全国陶瓷纤维（硅酸铝）2024年市场规模约76亿元、2020—2024年CAGR 11.1%，预计2029年近100亿元（来源：华经产业研究院）。挑战为耐材属「两高」行业、环保趋严，以及高端多晶纤维仍由国际巨头主导。</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指标</w:t>
            </w:r>
          </w:p>
        </w:tc>
        <w:tc>
          <w:tcPr>
            <w:tcW w:type="dxa" w:w="2835"/>
          </w:tcPr>
          <w:p>
            <w:pPr>
              <w:spacing w:lineRule="exact" w:line="600"/>
              <w:jc w:val="center"/>
            </w:pPr>
            <w:r/>
            <w:r>
              <w:rPr>
                <w:rFonts w:ascii="仿宋_GB2312" w:hAnsi="仿宋_GB2312" w:eastAsia="仿宋_GB2312"/>
                <w:b w:val="0"/>
                <w:color w:val="000000"/>
                <w:sz w:val="32"/>
              </w:rPr>
              <w:t>数值</w:t>
            </w:r>
          </w:p>
        </w:tc>
        <w:tc>
          <w:tcPr>
            <w:tcW w:type="dxa" w:w="3118"/>
          </w:tcPr>
          <w:p>
            <w:pPr>
              <w:spacing w:lineRule="exact" w:line="600"/>
              <w:jc w:val="center"/>
            </w:pPr>
            <w:r/>
            <w:r>
              <w:rPr>
                <w:rFonts w:ascii="仿宋_GB2312" w:hAnsi="仿宋_GB2312" w:eastAsia="仿宋_GB2312"/>
                <w:b w:val="0"/>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周村新材料规上企业</w:t>
            </w:r>
          </w:p>
        </w:tc>
        <w:tc>
          <w:tcPr>
            <w:tcW w:type="dxa" w:w="2835"/>
          </w:tcPr>
          <w:p>
            <w:pPr>
              <w:spacing w:lineRule="exact" w:line="600"/>
              <w:jc w:val="center"/>
            </w:pPr>
            <w:r/>
            <w:r>
              <w:rPr>
                <w:rFonts w:ascii="仿宋_GB2312" w:hAnsi="仿宋_GB2312" w:eastAsia="仿宋_GB2312"/>
                <w:b w:val="0"/>
                <w:color w:val="000000"/>
                <w:sz w:val="32"/>
              </w:rPr>
              <w:t>43家</w:t>
            </w:r>
          </w:p>
        </w:tc>
        <w:tc>
          <w:tcPr>
            <w:tcW w:type="dxa" w:w="3118"/>
          </w:tcPr>
          <w:p>
            <w:pPr>
              <w:spacing w:lineRule="exact" w:line="600"/>
              <w:jc w:val="center"/>
            </w:pPr>
            <w:r/>
            <w:r>
              <w:rPr>
                <w:rFonts w:ascii="仿宋_GB2312" w:hAnsi="仿宋_GB2312" w:eastAsia="仿宋_GB2312"/>
                <w:b w:val="0"/>
                <w:color w:val="000000"/>
                <w:sz w:val="32"/>
              </w:rPr>
              <w:t>经济日报，2025</w:t>
            </w:r>
          </w:p>
        </w:tc>
      </w:tr>
      <w:tr>
        <w:tc>
          <w:tcPr>
            <w:tcW w:type="dxa" w:w="2835"/>
          </w:tcPr>
          <w:p>
            <w:pPr>
              <w:spacing w:lineRule="exact" w:line="600"/>
              <w:jc w:val="center"/>
            </w:pPr>
            <w:r/>
            <w:r>
              <w:rPr>
                <w:rFonts w:ascii="仿宋_GB2312" w:hAnsi="仿宋_GB2312" w:eastAsia="仿宋_GB2312"/>
                <w:b w:val="0"/>
                <w:color w:val="000000"/>
                <w:sz w:val="32"/>
              </w:rPr>
              <w:t>周村新材料产值</w:t>
            </w:r>
          </w:p>
        </w:tc>
        <w:tc>
          <w:tcPr>
            <w:tcW w:type="dxa" w:w="2835"/>
          </w:tcPr>
          <w:p>
            <w:pPr>
              <w:spacing w:lineRule="exact" w:line="600"/>
              <w:jc w:val="center"/>
            </w:pPr>
            <w:r/>
            <w:r>
              <w:rPr>
                <w:rFonts w:ascii="仿宋_GB2312" w:hAnsi="仿宋_GB2312" w:eastAsia="仿宋_GB2312"/>
                <w:b w:val="0"/>
                <w:color w:val="000000"/>
                <w:sz w:val="32"/>
              </w:rPr>
              <w:t>112.9亿元</w:t>
            </w:r>
          </w:p>
        </w:tc>
        <w:tc>
          <w:tcPr>
            <w:tcW w:type="dxa" w:w="3118"/>
          </w:tcPr>
          <w:p>
            <w:pPr>
              <w:spacing w:lineRule="exact" w:line="600"/>
              <w:jc w:val="center"/>
            </w:pPr>
            <w:r/>
            <w:r>
              <w:rPr>
                <w:rFonts w:ascii="仿宋_GB2312" w:hAnsi="仿宋_GB2312" w:eastAsia="仿宋_GB2312"/>
                <w:b w:val="0"/>
                <w:color w:val="000000"/>
                <w:sz w:val="32"/>
              </w:rPr>
              <w:t>经济日报，2025</w:t>
            </w:r>
          </w:p>
        </w:tc>
      </w:tr>
      <w:tr>
        <w:tc>
          <w:tcPr>
            <w:tcW w:type="dxa" w:w="2835"/>
          </w:tcPr>
          <w:p>
            <w:pPr>
              <w:spacing w:lineRule="exact" w:line="600"/>
              <w:jc w:val="center"/>
            </w:pPr>
            <w:r/>
            <w:r>
              <w:rPr>
                <w:rFonts w:ascii="仿宋_GB2312" w:hAnsi="仿宋_GB2312" w:eastAsia="仿宋_GB2312"/>
                <w:b w:val="0"/>
                <w:color w:val="000000"/>
                <w:sz w:val="32"/>
              </w:rPr>
              <w:t>王村耐材占比</w:t>
            </w:r>
          </w:p>
        </w:tc>
        <w:tc>
          <w:tcPr>
            <w:tcW w:type="dxa" w:w="2835"/>
          </w:tcPr>
          <w:p>
            <w:pPr>
              <w:spacing w:lineRule="exact" w:line="600"/>
              <w:jc w:val="center"/>
            </w:pPr>
            <w:r/>
            <w:r>
              <w:rPr>
                <w:rFonts w:ascii="仿宋_GB2312" w:hAnsi="仿宋_GB2312" w:eastAsia="仿宋_GB2312"/>
                <w:b w:val="0"/>
                <w:color w:val="000000"/>
                <w:sz w:val="32"/>
              </w:rPr>
              <w:t>近80%</w:t>
            </w:r>
          </w:p>
        </w:tc>
        <w:tc>
          <w:tcPr>
            <w:tcW w:type="dxa" w:w="3118"/>
          </w:tcPr>
          <w:p>
            <w:pPr>
              <w:spacing w:lineRule="exact" w:line="600"/>
              <w:jc w:val="center"/>
            </w:pPr>
            <w:r/>
            <w:r>
              <w:rPr>
                <w:rFonts w:ascii="仿宋_GB2312" w:hAnsi="仿宋_GB2312" w:eastAsia="仿宋_GB2312"/>
                <w:b w:val="0"/>
                <w:color w:val="000000"/>
                <w:sz w:val="32"/>
              </w:rPr>
              <w:t>经济日报，2026</w:t>
            </w:r>
          </w:p>
        </w:tc>
      </w:tr>
      <w:tr>
        <w:tc>
          <w:tcPr>
            <w:tcW w:type="dxa" w:w="2835"/>
          </w:tcPr>
          <w:p>
            <w:pPr>
              <w:spacing w:lineRule="exact" w:line="600"/>
              <w:jc w:val="center"/>
            </w:pPr>
            <w:r/>
            <w:r>
              <w:rPr>
                <w:rFonts w:ascii="仿宋_GB2312" w:hAnsi="仿宋_GB2312" w:eastAsia="仿宋_GB2312"/>
                <w:b w:val="0"/>
                <w:color w:val="000000"/>
                <w:sz w:val="32"/>
              </w:rPr>
              <w:t>中国陶瓷纤维市场</w:t>
            </w:r>
          </w:p>
        </w:tc>
        <w:tc>
          <w:tcPr>
            <w:tcW w:type="dxa" w:w="2835"/>
          </w:tcPr>
          <w:p>
            <w:pPr>
              <w:spacing w:lineRule="exact" w:line="600"/>
              <w:jc w:val="center"/>
            </w:pPr>
            <w:r/>
            <w:r>
              <w:rPr>
                <w:rFonts w:ascii="仿宋_GB2312" w:hAnsi="仿宋_GB2312" w:eastAsia="仿宋_GB2312"/>
                <w:b w:val="0"/>
                <w:color w:val="000000"/>
                <w:sz w:val="32"/>
              </w:rPr>
              <w:t>76亿元(2024)</w:t>
            </w:r>
          </w:p>
        </w:tc>
        <w:tc>
          <w:tcPr>
            <w:tcW w:type="dxa" w:w="3118"/>
          </w:tcPr>
          <w:p>
            <w:pPr>
              <w:spacing w:lineRule="exact" w:line="600"/>
              <w:jc w:val="center"/>
            </w:pPr>
            <w:r/>
            <w:r>
              <w:rPr>
                <w:rFonts w:ascii="仿宋_GB2312" w:hAnsi="仿宋_GB2312" w:eastAsia="仿宋_GB2312"/>
                <w:b w:val="0"/>
                <w:color w:val="000000"/>
                <w:sz w:val="32"/>
              </w:rPr>
              <w:t>华经院，2026</w:t>
            </w:r>
          </w:p>
        </w:tc>
      </w:tr>
      <w:tr>
        <w:tc>
          <w:tcPr>
            <w:tcW w:type="dxa" w:w="2835"/>
          </w:tcPr>
          <w:p>
            <w:pPr>
              <w:spacing w:lineRule="exact" w:line="600"/>
              <w:jc w:val="center"/>
            </w:pPr>
            <w:r/>
            <w:r>
              <w:rPr>
                <w:rFonts w:ascii="仿宋_GB2312" w:hAnsi="仿宋_GB2312" w:eastAsia="仿宋_GB2312"/>
                <w:b w:val="0"/>
                <w:color w:val="000000"/>
                <w:sz w:val="32"/>
              </w:rPr>
              <w:t>陶瓷纤维CAGR</w:t>
            </w:r>
          </w:p>
        </w:tc>
        <w:tc>
          <w:tcPr>
            <w:tcW w:type="dxa" w:w="2835"/>
          </w:tcPr>
          <w:p>
            <w:pPr>
              <w:spacing w:lineRule="exact" w:line="600"/>
              <w:jc w:val="center"/>
            </w:pPr>
            <w:r/>
            <w:r>
              <w:rPr>
                <w:rFonts w:ascii="仿宋_GB2312" w:hAnsi="仿宋_GB2312" w:eastAsia="仿宋_GB2312"/>
                <w:b w:val="0"/>
                <w:color w:val="000000"/>
                <w:sz w:val="32"/>
              </w:rPr>
              <w:t>11.1%(2020-24)</w:t>
            </w:r>
          </w:p>
        </w:tc>
        <w:tc>
          <w:tcPr>
            <w:tcW w:type="dxa" w:w="3118"/>
          </w:tcPr>
          <w:p>
            <w:pPr>
              <w:spacing w:lineRule="exact" w:line="600"/>
              <w:jc w:val="center"/>
            </w:pPr>
            <w:r/>
            <w:r>
              <w:rPr>
                <w:rFonts w:ascii="仿宋_GB2312" w:hAnsi="仿宋_GB2312" w:eastAsia="仿宋_GB2312"/>
                <w:b w:val="0"/>
                <w:color w:val="000000"/>
                <w:sz w:val="32"/>
              </w:rPr>
              <w:t>华经院</w:t>
            </w:r>
          </w:p>
        </w:tc>
      </w:tr>
      <w:tr>
        <w:tc>
          <w:tcPr>
            <w:tcW w:type="dxa" w:w="2835"/>
          </w:tcPr>
          <w:p>
            <w:pPr>
              <w:spacing w:lineRule="exact" w:line="600"/>
              <w:jc w:val="center"/>
            </w:pPr>
            <w:r/>
            <w:r>
              <w:rPr>
                <w:rFonts w:ascii="仿宋_GB2312" w:hAnsi="仿宋_GB2312" w:eastAsia="仿宋_GB2312"/>
                <w:b w:val="0"/>
                <w:color w:val="000000"/>
                <w:sz w:val="32"/>
              </w:rPr>
              <w:t>2029预测</w:t>
            </w:r>
          </w:p>
        </w:tc>
        <w:tc>
          <w:tcPr>
            <w:tcW w:type="dxa" w:w="2835"/>
          </w:tcPr>
          <w:p>
            <w:pPr>
              <w:spacing w:lineRule="exact" w:line="600"/>
              <w:jc w:val="center"/>
            </w:pPr>
            <w:r/>
            <w:r>
              <w:rPr>
                <w:rFonts w:ascii="仿宋_GB2312" w:hAnsi="仿宋_GB2312" w:eastAsia="仿宋_GB2312"/>
                <w:b w:val="0"/>
                <w:color w:val="000000"/>
                <w:sz w:val="32"/>
              </w:rPr>
              <w:t>近100亿元</w:t>
            </w:r>
          </w:p>
        </w:tc>
        <w:tc>
          <w:tcPr>
            <w:tcW w:type="dxa" w:w="3118"/>
          </w:tcPr>
          <w:p>
            <w:pPr>
              <w:spacing w:lineRule="exact" w:line="600"/>
              <w:jc w:val="center"/>
            </w:pPr>
            <w:r/>
            <w:r>
              <w:rPr>
                <w:rFonts w:ascii="仿宋_GB2312" w:hAnsi="仿宋_GB2312" w:eastAsia="仿宋_GB2312"/>
                <w:b w:val="0"/>
                <w:color w:val="000000"/>
                <w:sz w:val="32"/>
              </w:rPr>
              <w:t>华经院</w:t>
            </w:r>
          </w:p>
        </w:tc>
      </w:tr>
      <w:tr>
        <w:tc>
          <w:tcPr>
            <w:tcW w:type="dxa" w:w="2835"/>
          </w:tcPr>
          <w:p>
            <w:pPr>
              <w:spacing w:lineRule="exact" w:line="600"/>
              <w:jc w:val="center"/>
            </w:pPr>
            <w:r/>
            <w:r>
              <w:rPr>
                <w:rFonts w:ascii="仿宋_GB2312" w:hAnsi="仿宋_GB2312" w:eastAsia="仿宋_GB2312"/>
                <w:b w:val="0"/>
                <w:color w:val="000000"/>
                <w:sz w:val="32"/>
              </w:rPr>
              <w:t>同发产能</w:t>
            </w:r>
          </w:p>
        </w:tc>
        <w:tc>
          <w:tcPr>
            <w:tcW w:type="dxa" w:w="2835"/>
          </w:tcPr>
          <w:p>
            <w:pPr>
              <w:spacing w:lineRule="exact" w:line="600"/>
              <w:jc w:val="center"/>
            </w:pPr>
            <w:r/>
            <w:r>
              <w:rPr>
                <w:rFonts w:ascii="仿宋_GB2312" w:hAnsi="仿宋_GB2312" w:eastAsia="仿宋_GB2312"/>
                <w:b w:val="0"/>
                <w:color w:val="000000"/>
                <w:sz w:val="32"/>
              </w:rPr>
              <w:t>10000余吨/年</w:t>
            </w:r>
          </w:p>
        </w:tc>
        <w:tc>
          <w:tcPr>
            <w:tcW w:type="dxa" w:w="3118"/>
          </w:tcPr>
          <w:p>
            <w:pPr>
              <w:spacing w:lineRule="exact" w:line="600"/>
              <w:jc w:val="center"/>
            </w:pPr>
            <w:r/>
            <w:r>
              <w:rPr>
                <w:rFonts w:ascii="仿宋_GB2312" w:hAnsi="仿宋_GB2312" w:eastAsia="仿宋_GB2312"/>
                <w:b w:val="0"/>
                <w:color w:val="000000"/>
                <w:sz w:val="32"/>
              </w:rPr>
              <w:t>企业介绍</w:t>
            </w:r>
          </w:p>
        </w:tc>
      </w:tr>
      <w:tr>
        <w:tc>
          <w:tcPr>
            <w:tcW w:type="dxa" w:w="2835"/>
          </w:tcPr>
          <w:p>
            <w:pPr>
              <w:spacing w:lineRule="exact" w:line="600"/>
              <w:jc w:val="center"/>
            </w:pPr>
            <w:r/>
            <w:r>
              <w:rPr>
                <w:rFonts w:ascii="仿宋_GB2312" w:hAnsi="仿宋_GB2312" w:eastAsia="仿宋_GB2312"/>
                <w:b w:val="0"/>
                <w:color w:val="000000"/>
                <w:sz w:val="32"/>
              </w:rPr>
              <w:t>全球硅酸铝市场</w:t>
            </w:r>
          </w:p>
        </w:tc>
        <w:tc>
          <w:tcPr>
            <w:tcW w:type="dxa" w:w="2835"/>
          </w:tcPr>
          <w:p>
            <w:pPr>
              <w:spacing w:lineRule="exact" w:line="600"/>
              <w:jc w:val="center"/>
            </w:pPr>
            <w:r/>
            <w:r>
              <w:rPr>
                <w:rFonts w:ascii="仿宋_GB2312" w:hAnsi="仿宋_GB2312" w:eastAsia="仿宋_GB2312"/>
                <w:b w:val="0"/>
                <w:color w:val="000000"/>
                <w:sz w:val="32"/>
              </w:rPr>
              <w:t>158亿美元(2024)</w:t>
            </w:r>
          </w:p>
        </w:tc>
        <w:tc>
          <w:tcPr>
            <w:tcW w:type="dxa" w:w="3118"/>
          </w:tcPr>
          <w:p>
            <w:pPr>
              <w:spacing w:lineRule="exact" w:line="600"/>
              <w:jc w:val="center"/>
            </w:pPr>
            <w:r/>
            <w:r>
              <w:rPr>
                <w:rFonts w:ascii="仿宋_GB2312" w:hAnsi="仿宋_GB2312" w:eastAsia="仿宋_GB2312"/>
                <w:b w:val="0"/>
                <w:color w:val="000000"/>
                <w:sz w:val="32"/>
              </w:rPr>
              <w:t>cninfo360</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双碳」目标下，工业窑炉节能降耗推动硅酸铝纤维等高效隔热填料需求；耐火材料被列入「两高」行业，环保与能耗约束趋严，倒逼绿色转型（来源：经济日报，2026）。国家发改委与工信部鼓励节能耐火材料替代传统重质耐火砖。山东省将新材料列为「十强产业」，淄博市将周村新材料作为重点（来源：周村区新材料报道）。政策端「双控」导向明确。</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政策</w:t>
            </w:r>
          </w:p>
        </w:tc>
        <w:tc>
          <w:tcPr>
            <w:tcW w:type="dxa" w:w="3118"/>
          </w:tcPr>
          <w:p>
            <w:pPr>
              <w:spacing w:lineRule="exact" w:line="600"/>
              <w:jc w:val="center"/>
            </w:pPr>
            <w:r/>
            <w:r>
              <w:rPr>
                <w:rFonts w:ascii="黑体" w:hAnsi="黑体" w:eastAsia="黑体"/>
                <w:b/>
                <w:color w:val="000000"/>
                <w:sz w:val="32"/>
              </w:rPr>
              <w:t>内容</w:t>
            </w:r>
          </w:p>
        </w:tc>
        <w:tc>
          <w:tcPr>
            <w:tcW w:type="dxa" w:w="3685"/>
          </w:tcPr>
          <w:p>
            <w:pPr>
              <w:spacing w:lineRule="exact" w:line="600"/>
              <w:jc w:val="center"/>
            </w:pPr>
            <w:r/>
            <w:r>
              <w:rPr>
                <w:rFonts w:ascii="黑体" w:hAnsi="黑体" w:eastAsia="黑体"/>
                <w:b/>
                <w:color w:val="000000"/>
                <w:sz w:val="32"/>
              </w:rPr>
              <w:t>影响</w:t>
            </w:r>
          </w:p>
        </w:tc>
      </w:tr>
      <w:tr>
        <w:tc>
          <w:tcPr>
            <w:tcW w:type="dxa" w:w="1984"/>
          </w:tcPr>
          <w:p>
            <w:pPr>
              <w:spacing w:lineRule="exact" w:line="600"/>
              <w:jc w:val="center"/>
            </w:pPr>
            <w:r/>
            <w:r>
              <w:rPr>
                <w:rFonts w:ascii="仿宋_GB2312" w:hAnsi="仿宋_GB2312" w:eastAsia="仿宋_GB2312"/>
                <w:b w:val="0"/>
                <w:color w:val="000000"/>
                <w:sz w:val="32"/>
              </w:rPr>
              <w:t>双碳目标</w:t>
            </w:r>
          </w:p>
        </w:tc>
        <w:tc>
          <w:tcPr>
            <w:tcW w:type="dxa" w:w="3118"/>
          </w:tcPr>
          <w:p>
            <w:pPr>
              <w:spacing w:lineRule="exact" w:line="600"/>
              <w:jc w:val="center"/>
            </w:pPr>
            <w:r/>
            <w:r>
              <w:rPr>
                <w:rFonts w:ascii="仿宋_GB2312" w:hAnsi="仿宋_GB2312" w:eastAsia="仿宋_GB2312"/>
                <w:b w:val="0"/>
                <w:color w:val="000000"/>
                <w:sz w:val="32"/>
              </w:rPr>
              <w:t>工业节能</w:t>
            </w:r>
          </w:p>
        </w:tc>
        <w:tc>
          <w:tcPr>
            <w:tcW w:type="dxa" w:w="3685"/>
          </w:tcPr>
          <w:p>
            <w:pPr>
              <w:spacing w:lineRule="exact" w:line="600"/>
              <w:jc w:val="center"/>
            </w:pPr>
            <w:r/>
            <w:r>
              <w:rPr>
                <w:rFonts w:ascii="仿宋_GB2312" w:hAnsi="仿宋_GB2312" w:eastAsia="仿宋_GB2312"/>
                <w:b w:val="0"/>
                <w:color w:val="000000"/>
                <w:sz w:val="32"/>
              </w:rPr>
              <w:t>填料需求</w:t>
            </w:r>
          </w:p>
        </w:tc>
      </w:tr>
      <w:tr>
        <w:tc>
          <w:tcPr>
            <w:tcW w:type="dxa" w:w="1984"/>
          </w:tcPr>
          <w:p>
            <w:pPr>
              <w:spacing w:lineRule="exact" w:line="600"/>
              <w:jc w:val="center"/>
            </w:pPr>
            <w:r/>
            <w:r>
              <w:rPr>
                <w:rFonts w:ascii="仿宋_GB2312" w:hAnsi="仿宋_GB2312" w:eastAsia="仿宋_GB2312"/>
                <w:b w:val="0"/>
                <w:color w:val="000000"/>
                <w:sz w:val="32"/>
              </w:rPr>
              <w:t>两高管控</w:t>
            </w:r>
          </w:p>
        </w:tc>
        <w:tc>
          <w:tcPr>
            <w:tcW w:type="dxa" w:w="3118"/>
          </w:tcPr>
          <w:p>
            <w:pPr>
              <w:spacing w:lineRule="exact" w:line="600"/>
              <w:jc w:val="center"/>
            </w:pPr>
            <w:r/>
            <w:r>
              <w:rPr>
                <w:rFonts w:ascii="仿宋_GB2312" w:hAnsi="仿宋_GB2312" w:eastAsia="仿宋_GB2312"/>
                <w:b w:val="0"/>
                <w:color w:val="000000"/>
                <w:sz w:val="32"/>
              </w:rPr>
              <w:t>耐材限产</w:t>
            </w:r>
          </w:p>
        </w:tc>
        <w:tc>
          <w:tcPr>
            <w:tcW w:type="dxa" w:w="3685"/>
          </w:tcPr>
          <w:p>
            <w:pPr>
              <w:spacing w:lineRule="exact" w:line="600"/>
              <w:jc w:val="center"/>
            </w:pPr>
            <w:r/>
            <w:r>
              <w:rPr>
                <w:rFonts w:ascii="仿宋_GB2312" w:hAnsi="仿宋_GB2312" w:eastAsia="仿宋_GB2312"/>
                <w:b w:val="0"/>
                <w:color w:val="000000"/>
                <w:sz w:val="32"/>
              </w:rPr>
              <w:t>绿色转型</w:t>
            </w:r>
          </w:p>
        </w:tc>
      </w:tr>
      <w:tr>
        <w:tc>
          <w:tcPr>
            <w:tcW w:type="dxa" w:w="1984"/>
          </w:tcPr>
          <w:p>
            <w:pPr>
              <w:spacing w:lineRule="exact" w:line="600"/>
              <w:jc w:val="center"/>
            </w:pPr>
            <w:r/>
            <w:r>
              <w:rPr>
                <w:rFonts w:ascii="仿宋_GB2312" w:hAnsi="仿宋_GB2312" w:eastAsia="仿宋_GB2312"/>
                <w:b w:val="0"/>
                <w:color w:val="000000"/>
                <w:sz w:val="32"/>
              </w:rPr>
              <w:t>山东十强</w:t>
            </w:r>
          </w:p>
        </w:tc>
        <w:tc>
          <w:tcPr>
            <w:tcW w:type="dxa" w:w="3118"/>
          </w:tcPr>
          <w:p>
            <w:pPr>
              <w:spacing w:lineRule="exact" w:line="600"/>
              <w:jc w:val="center"/>
            </w:pPr>
            <w:r/>
            <w:r>
              <w:rPr>
                <w:rFonts w:ascii="仿宋_GB2312" w:hAnsi="仿宋_GB2312" w:eastAsia="仿宋_GB2312"/>
                <w:b w:val="0"/>
                <w:color w:val="000000"/>
                <w:sz w:val="32"/>
              </w:rPr>
              <w:t>新材料</w:t>
            </w:r>
          </w:p>
        </w:tc>
        <w:tc>
          <w:tcPr>
            <w:tcW w:type="dxa" w:w="3685"/>
          </w:tcPr>
          <w:p>
            <w:pPr>
              <w:spacing w:lineRule="exact" w:line="600"/>
              <w:jc w:val="center"/>
            </w:pPr>
            <w:r/>
            <w:r>
              <w:rPr>
                <w:rFonts w:ascii="仿宋_GB2312" w:hAnsi="仿宋_GB2312" w:eastAsia="仿宋_GB2312"/>
                <w:b w:val="0"/>
                <w:color w:val="000000"/>
                <w:sz w:val="32"/>
              </w:rPr>
              <w:t>重点</w:t>
            </w:r>
          </w:p>
        </w:tc>
      </w:tr>
      <w:tr>
        <w:tc>
          <w:tcPr>
            <w:tcW w:type="dxa" w:w="1984"/>
          </w:tcPr>
          <w:p>
            <w:pPr>
              <w:spacing w:lineRule="exact" w:line="600"/>
              <w:jc w:val="center"/>
            </w:pPr>
            <w:r/>
            <w:r>
              <w:rPr>
                <w:rFonts w:ascii="仿宋_GB2312" w:hAnsi="仿宋_GB2312" w:eastAsia="仿宋_GB2312"/>
                <w:b w:val="0"/>
                <w:color w:val="000000"/>
                <w:sz w:val="32"/>
              </w:rPr>
              <w:t>双控</w:t>
            </w:r>
          </w:p>
        </w:tc>
        <w:tc>
          <w:tcPr>
            <w:tcW w:type="dxa" w:w="3118"/>
          </w:tcPr>
          <w:p>
            <w:pPr>
              <w:spacing w:lineRule="exact" w:line="600"/>
              <w:jc w:val="center"/>
            </w:pPr>
            <w:r/>
            <w:r>
              <w:rPr>
                <w:rFonts w:ascii="仿宋_GB2312" w:hAnsi="仿宋_GB2312" w:eastAsia="仿宋_GB2312"/>
                <w:b w:val="0"/>
                <w:color w:val="000000"/>
                <w:sz w:val="32"/>
              </w:rPr>
              <w:t>能耗强度</w:t>
            </w:r>
          </w:p>
        </w:tc>
        <w:tc>
          <w:tcPr>
            <w:tcW w:type="dxa" w:w="3685"/>
          </w:tcPr>
          <w:p>
            <w:pPr>
              <w:spacing w:lineRule="exact" w:line="600"/>
              <w:jc w:val="center"/>
            </w:pPr>
            <w:r/>
            <w:r>
              <w:rPr>
                <w:rFonts w:ascii="仿宋_GB2312" w:hAnsi="仿宋_GB2312" w:eastAsia="仿宋_GB2312"/>
                <w:b w:val="0"/>
                <w:color w:val="000000"/>
                <w:sz w:val="32"/>
              </w:rPr>
              <w:t>技改</w:t>
            </w:r>
          </w:p>
        </w:tc>
      </w:tr>
    </w:tbl>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周村区将新材料作为主导产业，王村镇为耐材重镇、耐材占全镇工业近80%（来源：经济日报，2026）。构建「矿石开采—焦宝石煅烧—耐材制造」绿色低碳产业链（来源：经济日报）。周村新材料2025年规上企业43家、产值112.9亿元（来源：经济日报）。矿物功能填料（硅酸铝纤维）是产业链核心上游环节。</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定位</w:t>
            </w:r>
          </w:p>
        </w:tc>
        <w:tc>
          <w:tcPr>
            <w:tcW w:type="dxa" w:w="3402"/>
          </w:tcPr>
          <w:p>
            <w:pPr>
              <w:spacing w:lineRule="exact" w:line="600"/>
              <w:jc w:val="center"/>
            </w:pPr>
            <w:r/>
            <w:r>
              <w:rPr>
                <w:rFonts w:ascii="黑体" w:hAnsi="黑体" w:eastAsia="黑体"/>
                <w:b/>
                <w:color w:val="000000"/>
                <w:sz w:val="32"/>
              </w:rPr>
              <w:t>内容</w:t>
            </w:r>
          </w:p>
        </w:tc>
        <w:tc>
          <w:tcPr>
            <w:tcW w:type="dxa" w:w="3685"/>
          </w:tcPr>
          <w:p>
            <w:pPr>
              <w:spacing w:lineRule="exact" w:line="600"/>
              <w:jc w:val="center"/>
            </w:pPr>
            <w:r/>
            <w:r>
              <w:rPr>
                <w:rFonts w:ascii="黑体" w:hAnsi="黑体" w:eastAsia="黑体"/>
                <w:b/>
                <w:color w:val="000000"/>
                <w:sz w:val="32"/>
              </w:rPr>
              <w:t>数据</w:t>
            </w:r>
          </w:p>
        </w:tc>
      </w:tr>
      <w:tr>
        <w:tc>
          <w:tcPr>
            <w:tcW w:type="dxa" w:w="1984"/>
          </w:tcPr>
          <w:p>
            <w:pPr>
              <w:spacing w:lineRule="exact" w:line="600"/>
              <w:jc w:val="center"/>
            </w:pPr>
            <w:r/>
            <w:r>
              <w:rPr>
                <w:rFonts w:ascii="仿宋_GB2312" w:hAnsi="仿宋_GB2312" w:eastAsia="仿宋_GB2312"/>
                <w:b w:val="0"/>
                <w:color w:val="000000"/>
                <w:sz w:val="32"/>
              </w:rPr>
              <w:t>耐材重镇</w:t>
            </w:r>
          </w:p>
        </w:tc>
        <w:tc>
          <w:tcPr>
            <w:tcW w:type="dxa" w:w="3402"/>
          </w:tcPr>
          <w:p>
            <w:pPr>
              <w:spacing w:lineRule="exact" w:line="600"/>
              <w:jc w:val="center"/>
            </w:pPr>
            <w:r/>
            <w:r>
              <w:rPr>
                <w:rFonts w:ascii="仿宋_GB2312" w:hAnsi="仿宋_GB2312" w:eastAsia="仿宋_GB2312"/>
                <w:b w:val="0"/>
                <w:color w:val="000000"/>
                <w:sz w:val="32"/>
              </w:rPr>
              <w:t>王村镇占比80%</w:t>
            </w:r>
          </w:p>
        </w:tc>
        <w:tc>
          <w:tcPr>
            <w:tcW w:type="dxa" w:w="3685"/>
          </w:tcPr>
          <w:p>
            <w:pPr>
              <w:spacing w:lineRule="exact" w:line="600"/>
              <w:jc w:val="center"/>
            </w:pPr>
            <w:r/>
            <w:r>
              <w:rPr>
                <w:rFonts w:ascii="仿宋_GB2312" w:hAnsi="仿宋_GB2312" w:eastAsia="仿宋_GB2312"/>
                <w:b w:val="0"/>
                <w:color w:val="000000"/>
                <w:sz w:val="32"/>
              </w:rPr>
              <w:t>工业</w:t>
            </w:r>
          </w:p>
        </w:tc>
      </w:tr>
      <w:tr>
        <w:tc>
          <w:tcPr>
            <w:tcW w:type="dxa" w:w="1984"/>
          </w:tcPr>
          <w:p>
            <w:pPr>
              <w:spacing w:lineRule="exact" w:line="600"/>
              <w:jc w:val="center"/>
            </w:pPr>
            <w:r/>
            <w:r>
              <w:rPr>
                <w:rFonts w:ascii="仿宋_GB2312" w:hAnsi="仿宋_GB2312" w:eastAsia="仿宋_GB2312"/>
                <w:b w:val="0"/>
                <w:color w:val="000000"/>
                <w:sz w:val="32"/>
              </w:rPr>
              <w:t>产业链</w:t>
            </w:r>
          </w:p>
        </w:tc>
        <w:tc>
          <w:tcPr>
            <w:tcW w:type="dxa" w:w="3402"/>
          </w:tcPr>
          <w:p>
            <w:pPr>
              <w:spacing w:lineRule="exact" w:line="600"/>
              <w:jc w:val="center"/>
            </w:pPr>
            <w:r/>
            <w:r>
              <w:rPr>
                <w:rFonts w:ascii="仿宋_GB2312" w:hAnsi="仿宋_GB2312" w:eastAsia="仿宋_GB2312"/>
                <w:b w:val="0"/>
                <w:color w:val="000000"/>
                <w:sz w:val="32"/>
              </w:rPr>
              <w:t>开采-煅烧-制造</w:t>
            </w:r>
          </w:p>
        </w:tc>
        <w:tc>
          <w:tcPr>
            <w:tcW w:type="dxa" w:w="3685"/>
          </w:tcPr>
          <w:p>
            <w:pPr>
              <w:spacing w:lineRule="exact" w:line="600"/>
              <w:jc w:val="center"/>
            </w:pPr>
            <w:r/>
            <w:r>
              <w:rPr>
                <w:rFonts w:ascii="仿宋_GB2312" w:hAnsi="仿宋_GB2312" w:eastAsia="仿宋_GB2312"/>
                <w:b w:val="0"/>
                <w:color w:val="000000"/>
                <w:sz w:val="32"/>
              </w:rPr>
              <w:t>绿色</w:t>
            </w:r>
          </w:p>
        </w:tc>
      </w:tr>
      <w:tr>
        <w:tc>
          <w:tcPr>
            <w:tcW w:type="dxa" w:w="1984"/>
          </w:tcPr>
          <w:p>
            <w:pPr>
              <w:spacing w:lineRule="exact" w:line="600"/>
              <w:jc w:val="center"/>
            </w:pPr>
            <w:r/>
            <w:r>
              <w:rPr>
                <w:rFonts w:ascii="仿宋_GB2312" w:hAnsi="仿宋_GB2312" w:eastAsia="仿宋_GB2312"/>
                <w:b w:val="0"/>
                <w:color w:val="000000"/>
                <w:sz w:val="32"/>
              </w:rPr>
              <w:t>规上企业</w:t>
            </w:r>
          </w:p>
        </w:tc>
        <w:tc>
          <w:tcPr>
            <w:tcW w:type="dxa" w:w="3402"/>
          </w:tcPr>
          <w:p>
            <w:pPr>
              <w:spacing w:lineRule="exact" w:line="600"/>
              <w:jc w:val="center"/>
            </w:pPr>
            <w:r/>
            <w:r>
              <w:rPr>
                <w:rFonts w:ascii="仿宋_GB2312" w:hAnsi="仿宋_GB2312" w:eastAsia="仿宋_GB2312"/>
                <w:b w:val="0"/>
                <w:color w:val="000000"/>
                <w:sz w:val="32"/>
              </w:rPr>
              <w:t>43家</w:t>
            </w:r>
          </w:p>
        </w:tc>
        <w:tc>
          <w:tcPr>
            <w:tcW w:type="dxa" w:w="3685"/>
          </w:tcPr>
          <w:p>
            <w:pPr>
              <w:spacing w:lineRule="exact" w:line="600"/>
              <w:jc w:val="center"/>
            </w:pPr>
            <w:r/>
            <w:r>
              <w:rPr>
                <w:rFonts w:ascii="仿宋_GB2312" w:hAnsi="仿宋_GB2312" w:eastAsia="仿宋_GB2312"/>
                <w:b w:val="0"/>
                <w:color w:val="000000"/>
                <w:sz w:val="32"/>
              </w:rPr>
              <w:t>2025</w:t>
            </w:r>
          </w:p>
        </w:tc>
      </w:tr>
      <w:tr>
        <w:tc>
          <w:tcPr>
            <w:tcW w:type="dxa" w:w="1984"/>
          </w:tcPr>
          <w:p>
            <w:pPr>
              <w:spacing w:lineRule="exact" w:line="600"/>
              <w:jc w:val="center"/>
            </w:pPr>
            <w:r/>
            <w:r>
              <w:rPr>
                <w:rFonts w:ascii="仿宋_GB2312" w:hAnsi="仿宋_GB2312" w:eastAsia="仿宋_GB2312"/>
                <w:b w:val="0"/>
                <w:color w:val="000000"/>
                <w:sz w:val="32"/>
              </w:rPr>
              <w:t>产值</w:t>
            </w:r>
          </w:p>
        </w:tc>
        <w:tc>
          <w:tcPr>
            <w:tcW w:type="dxa" w:w="3402"/>
          </w:tcPr>
          <w:p>
            <w:pPr>
              <w:spacing w:lineRule="exact" w:line="600"/>
              <w:jc w:val="center"/>
            </w:pPr>
            <w:r/>
            <w:r>
              <w:rPr>
                <w:rFonts w:ascii="仿宋_GB2312" w:hAnsi="仿宋_GB2312" w:eastAsia="仿宋_GB2312"/>
                <w:b w:val="0"/>
                <w:color w:val="000000"/>
                <w:sz w:val="32"/>
              </w:rPr>
              <w:t>112.9亿元</w:t>
            </w:r>
          </w:p>
        </w:tc>
        <w:tc>
          <w:tcPr>
            <w:tcW w:type="dxa" w:w="3685"/>
          </w:tcPr>
          <w:p>
            <w:pPr>
              <w:spacing w:lineRule="exact" w:line="600"/>
              <w:jc w:val="center"/>
            </w:pPr>
            <w:r/>
            <w:r>
              <w:rPr>
                <w:rFonts w:ascii="仿宋_GB2312" w:hAnsi="仿宋_GB2312" w:eastAsia="仿宋_GB2312"/>
                <w:b w:val="0"/>
                <w:color w:val="000000"/>
                <w:sz w:val="32"/>
              </w:rPr>
              <w:t>2025</w:t>
            </w:r>
          </w:p>
        </w:tc>
      </w:tr>
    </w:tbl>
    <w:p>
      <w:pPr>
        <w:spacing w:lineRule="exact" w:line="600" w:before="120" w:after="120"/>
        <w:ind w:firstLine="420"/>
        <w:jc w:val="left"/>
      </w:pPr>
      <w:r>
        <w:rPr>
          <w:rFonts w:ascii="楷体_GB2312" w:hAnsi="楷体_GB2312" w:eastAsia="楷体_GB2312"/>
          <w:b w:val="0"/>
          <w:color w:val="000000"/>
          <w:sz w:val="32"/>
        </w:rPr>
        <w:t>（三）国内外市场需求</w:t>
      </w:r>
    </w:p>
    <w:p>
      <w:pPr>
        <w:spacing w:lineRule="exact" w:line="600" w:before="0" w:after="0"/>
        <w:ind w:firstLine="420"/>
        <w:jc w:val="both"/>
      </w:pPr>
      <w:r>
        <w:rPr>
          <w:rFonts w:ascii="仿宋_GB2312" w:hAnsi="仿宋_GB2312" w:eastAsia="仿宋_GB2312"/>
          <w:b w:val="0"/>
          <w:color w:val="000000"/>
          <w:sz w:val="32"/>
        </w:rPr>
        <w:t>需求来自钢铁、石化、陶瓷、电力、建材等高温工业窑炉保温。全国陶瓷纤维（硅酸铝）2024年市场规模约76亿元，2020—2024年CAGR 11.1%，预计2029年近100亿元（来源：华经产业研究院/新浪财经，2026）。全球陶瓷纤维硅酸铝2024年市场规模158亿美元（来源：cninfo360）。淄博同发产品出口美、日、德、韩、俄、新加坡等（来源：企业官网）。</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市场</w:t>
            </w:r>
          </w:p>
        </w:tc>
        <w:tc>
          <w:tcPr>
            <w:tcW w:type="dxa" w:w="3118"/>
          </w:tcPr>
          <w:p>
            <w:pPr>
              <w:spacing w:lineRule="exact" w:line="600"/>
              <w:jc w:val="center"/>
            </w:pPr>
            <w:r/>
            <w:r>
              <w:rPr>
                <w:rFonts w:ascii="黑体" w:hAnsi="黑体" w:eastAsia="黑体"/>
                <w:b/>
                <w:color w:val="000000"/>
                <w:sz w:val="32"/>
              </w:rPr>
              <w:t>规模/增速</w:t>
            </w:r>
          </w:p>
        </w:tc>
        <w:tc>
          <w:tcPr>
            <w:tcW w:type="dxa" w:w="3685"/>
          </w:tcPr>
          <w:p>
            <w:pPr>
              <w:spacing w:lineRule="exact" w:line="600"/>
              <w:jc w:val="center"/>
            </w:pPr>
            <w:r/>
            <w:r>
              <w:rPr>
                <w:rFonts w:ascii="黑体" w:hAnsi="黑体" w:eastAsia="黑体"/>
                <w:b/>
                <w:color w:val="000000"/>
                <w:sz w:val="32"/>
              </w:rPr>
              <w:t>来源</w:t>
            </w:r>
          </w:p>
        </w:tc>
      </w:tr>
      <w:tr>
        <w:tc>
          <w:tcPr>
            <w:tcW w:type="dxa" w:w="1984"/>
          </w:tcPr>
          <w:p>
            <w:pPr>
              <w:spacing w:lineRule="exact" w:line="600"/>
              <w:jc w:val="center"/>
            </w:pPr>
            <w:r/>
            <w:r>
              <w:rPr>
                <w:rFonts w:ascii="仿宋_GB2312" w:hAnsi="仿宋_GB2312" w:eastAsia="仿宋_GB2312"/>
                <w:b w:val="0"/>
                <w:color w:val="000000"/>
                <w:sz w:val="32"/>
              </w:rPr>
              <w:t>中国陶瓷纤维</w:t>
            </w:r>
          </w:p>
        </w:tc>
        <w:tc>
          <w:tcPr>
            <w:tcW w:type="dxa" w:w="3118"/>
          </w:tcPr>
          <w:p>
            <w:pPr>
              <w:spacing w:lineRule="exact" w:line="600"/>
              <w:jc w:val="center"/>
            </w:pPr>
            <w:r/>
            <w:r>
              <w:rPr>
                <w:rFonts w:ascii="仿宋_GB2312" w:hAnsi="仿宋_GB2312" w:eastAsia="仿宋_GB2312"/>
                <w:b w:val="0"/>
                <w:color w:val="000000"/>
                <w:sz w:val="32"/>
              </w:rPr>
              <w:t>76亿元(2024)</w:t>
            </w:r>
          </w:p>
        </w:tc>
        <w:tc>
          <w:tcPr>
            <w:tcW w:type="dxa" w:w="3685"/>
          </w:tcPr>
          <w:p>
            <w:pPr>
              <w:spacing w:lineRule="exact" w:line="600"/>
              <w:jc w:val="center"/>
            </w:pPr>
            <w:r/>
            <w:r>
              <w:rPr>
                <w:rFonts w:ascii="仿宋_GB2312" w:hAnsi="仿宋_GB2312" w:eastAsia="仿宋_GB2312"/>
                <w:b w:val="0"/>
                <w:color w:val="000000"/>
                <w:sz w:val="32"/>
              </w:rPr>
              <w:t>华经院</w:t>
            </w:r>
          </w:p>
        </w:tc>
      </w:tr>
      <w:tr>
        <w:tc>
          <w:tcPr>
            <w:tcW w:type="dxa" w:w="1984"/>
          </w:tcPr>
          <w:p>
            <w:pPr>
              <w:spacing w:lineRule="exact" w:line="600"/>
              <w:jc w:val="center"/>
            </w:pPr>
            <w:r/>
            <w:r>
              <w:rPr>
                <w:rFonts w:ascii="仿宋_GB2312" w:hAnsi="仿宋_GB2312" w:eastAsia="仿宋_GB2312"/>
                <w:b w:val="0"/>
                <w:color w:val="000000"/>
                <w:sz w:val="32"/>
              </w:rPr>
              <w:t>CAGR</w:t>
            </w:r>
          </w:p>
        </w:tc>
        <w:tc>
          <w:tcPr>
            <w:tcW w:type="dxa" w:w="3118"/>
          </w:tcPr>
          <w:p>
            <w:pPr>
              <w:spacing w:lineRule="exact" w:line="600"/>
              <w:jc w:val="center"/>
            </w:pPr>
            <w:r/>
            <w:r>
              <w:rPr>
                <w:rFonts w:ascii="仿宋_GB2312" w:hAnsi="仿宋_GB2312" w:eastAsia="仿宋_GB2312"/>
                <w:b w:val="0"/>
                <w:color w:val="000000"/>
                <w:sz w:val="32"/>
              </w:rPr>
              <w:t>11.1%(2020-24)</w:t>
            </w:r>
          </w:p>
        </w:tc>
        <w:tc>
          <w:tcPr>
            <w:tcW w:type="dxa" w:w="3685"/>
          </w:tcPr>
          <w:p>
            <w:pPr>
              <w:spacing w:lineRule="exact" w:line="600"/>
              <w:jc w:val="center"/>
            </w:pPr>
            <w:r/>
            <w:r>
              <w:rPr>
                <w:rFonts w:ascii="仿宋_GB2312" w:hAnsi="仿宋_GB2312" w:eastAsia="仿宋_GB2312"/>
                <w:b w:val="0"/>
                <w:color w:val="000000"/>
                <w:sz w:val="32"/>
              </w:rPr>
              <w:t>华经院</w:t>
            </w:r>
          </w:p>
        </w:tc>
      </w:tr>
      <w:tr>
        <w:tc>
          <w:tcPr>
            <w:tcW w:type="dxa" w:w="1984"/>
          </w:tcPr>
          <w:p>
            <w:pPr>
              <w:spacing w:lineRule="exact" w:line="600"/>
              <w:jc w:val="center"/>
            </w:pPr>
            <w:r/>
            <w:r>
              <w:rPr>
                <w:rFonts w:ascii="仿宋_GB2312" w:hAnsi="仿宋_GB2312" w:eastAsia="仿宋_GB2312"/>
                <w:b w:val="0"/>
                <w:color w:val="000000"/>
                <w:sz w:val="32"/>
              </w:rPr>
              <w:t>2029预测</w:t>
            </w:r>
          </w:p>
        </w:tc>
        <w:tc>
          <w:tcPr>
            <w:tcW w:type="dxa" w:w="3118"/>
          </w:tcPr>
          <w:p>
            <w:pPr>
              <w:spacing w:lineRule="exact" w:line="600"/>
              <w:jc w:val="center"/>
            </w:pPr>
            <w:r/>
            <w:r>
              <w:rPr>
                <w:rFonts w:ascii="仿宋_GB2312" w:hAnsi="仿宋_GB2312" w:eastAsia="仿宋_GB2312"/>
                <w:b w:val="0"/>
                <w:color w:val="000000"/>
                <w:sz w:val="32"/>
              </w:rPr>
              <w:t>近100亿元</w:t>
            </w:r>
          </w:p>
        </w:tc>
        <w:tc>
          <w:tcPr>
            <w:tcW w:type="dxa" w:w="3685"/>
          </w:tcPr>
          <w:p>
            <w:pPr>
              <w:spacing w:lineRule="exact" w:line="600"/>
              <w:jc w:val="center"/>
            </w:pPr>
            <w:r/>
            <w:r>
              <w:rPr>
                <w:rFonts w:ascii="仿宋_GB2312" w:hAnsi="仿宋_GB2312" w:eastAsia="仿宋_GB2312"/>
                <w:b w:val="0"/>
                <w:color w:val="000000"/>
                <w:sz w:val="32"/>
              </w:rPr>
              <w:t>华经院</w:t>
            </w:r>
          </w:p>
        </w:tc>
      </w:tr>
      <w:tr>
        <w:tc>
          <w:tcPr>
            <w:tcW w:type="dxa" w:w="1984"/>
          </w:tcPr>
          <w:p>
            <w:pPr>
              <w:spacing w:lineRule="exact" w:line="600"/>
              <w:jc w:val="center"/>
            </w:pPr>
            <w:r/>
            <w:r>
              <w:rPr>
                <w:rFonts w:ascii="仿宋_GB2312" w:hAnsi="仿宋_GB2312" w:eastAsia="仿宋_GB2312"/>
                <w:b w:val="0"/>
                <w:color w:val="000000"/>
                <w:sz w:val="32"/>
              </w:rPr>
              <w:t>全球硅酸铝</w:t>
            </w:r>
          </w:p>
        </w:tc>
        <w:tc>
          <w:tcPr>
            <w:tcW w:type="dxa" w:w="3118"/>
          </w:tcPr>
          <w:p>
            <w:pPr>
              <w:spacing w:lineRule="exact" w:line="600"/>
              <w:jc w:val="center"/>
            </w:pPr>
            <w:r/>
            <w:r>
              <w:rPr>
                <w:rFonts w:ascii="仿宋_GB2312" w:hAnsi="仿宋_GB2312" w:eastAsia="仿宋_GB2312"/>
                <w:b w:val="0"/>
                <w:color w:val="000000"/>
                <w:sz w:val="32"/>
              </w:rPr>
              <w:t>158亿美元(2024)</w:t>
            </w:r>
          </w:p>
        </w:tc>
        <w:tc>
          <w:tcPr>
            <w:tcW w:type="dxa" w:w="3685"/>
          </w:tcPr>
          <w:p>
            <w:pPr>
              <w:spacing w:lineRule="exact" w:line="600"/>
              <w:jc w:val="center"/>
            </w:pPr>
            <w:r/>
            <w:r>
              <w:rPr>
                <w:rFonts w:ascii="仿宋_GB2312" w:hAnsi="仿宋_GB2312" w:eastAsia="仿宋_GB2312"/>
                <w:b w:val="0"/>
                <w:color w:val="000000"/>
                <w:sz w:val="32"/>
              </w:rPr>
              <w:t>cninfo360</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（一）上游矿物原料</w:t>
      </w:r>
    </w:p>
    <w:p>
      <w:pPr>
        <w:spacing w:lineRule="exact" w:line="600" w:before="0" w:after="0"/>
        <w:ind w:firstLine="420"/>
        <w:jc w:val="both"/>
      </w:pPr>
      <w:r>
        <w:rPr>
          <w:rFonts w:ascii="仿宋_GB2312" w:hAnsi="仿宋_GB2312" w:eastAsia="仿宋_GB2312"/>
          <w:b w:val="0"/>
          <w:color w:val="000000"/>
          <w:sz w:val="32"/>
        </w:rPr>
        <w:t>上游为焦宝石、铝矾土、氧化铝、硅石等。周村王村镇具备「矿石开采—焦宝石煅烧」基础，淄博本地原料直供、性价比高（来源：同发企业介绍、经济日报）。焦宝石为硅酸铝纤维核心原料，本地资源是集群成本优势来源。铝矾土等部分依赖外地输入。</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上游原料</w:t>
            </w:r>
          </w:p>
        </w:tc>
        <w:tc>
          <w:tcPr>
            <w:tcW w:type="dxa" w:w="3118"/>
          </w:tcPr>
          <w:p>
            <w:pPr>
              <w:spacing w:lineRule="exact" w:line="600"/>
              <w:jc w:val="center"/>
            </w:pPr>
            <w:r/>
            <w:r>
              <w:rPr>
                <w:rFonts w:ascii="黑体" w:hAnsi="黑体" w:eastAsia="黑体"/>
                <w:b/>
                <w:color w:val="000000"/>
                <w:sz w:val="32"/>
              </w:rPr>
              <w:t>来源</w:t>
            </w:r>
          </w:p>
        </w:tc>
        <w:tc>
          <w:tcPr>
            <w:tcW w:type="dxa" w:w="3685"/>
          </w:tcPr>
          <w:p>
            <w:pPr>
              <w:spacing w:lineRule="exact" w:line="600"/>
              <w:jc w:val="center"/>
            </w:pPr>
            <w:r/>
            <w:r>
              <w:rPr>
                <w:rFonts w:ascii="黑体" w:hAnsi="黑体" w:eastAsia="黑体"/>
                <w:b/>
                <w:color w:val="000000"/>
                <w:sz w:val="32"/>
              </w:rPr>
              <w:t>作用</w:t>
            </w:r>
          </w:p>
        </w:tc>
      </w:tr>
      <w:tr>
        <w:tc>
          <w:tcPr>
            <w:tcW w:type="dxa" w:w="1984"/>
          </w:tcPr>
          <w:p>
            <w:pPr>
              <w:spacing w:lineRule="exact" w:line="600"/>
              <w:jc w:val="center"/>
            </w:pPr>
            <w:r/>
            <w:r>
              <w:rPr>
                <w:rFonts w:ascii="仿宋_GB2312" w:hAnsi="仿宋_GB2312" w:eastAsia="仿宋_GB2312"/>
                <w:b w:val="0"/>
                <w:color w:val="000000"/>
                <w:sz w:val="32"/>
              </w:rPr>
              <w:t>焦宝石</w:t>
            </w:r>
          </w:p>
        </w:tc>
        <w:tc>
          <w:tcPr>
            <w:tcW w:type="dxa" w:w="3118"/>
          </w:tcPr>
          <w:p>
            <w:pPr>
              <w:spacing w:lineRule="exact" w:line="600"/>
              <w:jc w:val="center"/>
            </w:pPr>
            <w:r/>
            <w:r>
              <w:rPr>
                <w:rFonts w:ascii="仿宋_GB2312" w:hAnsi="仿宋_GB2312" w:eastAsia="仿宋_GB2312"/>
                <w:b w:val="0"/>
                <w:color w:val="000000"/>
                <w:sz w:val="32"/>
              </w:rPr>
              <w:t>王村本地</w:t>
            </w:r>
          </w:p>
        </w:tc>
        <w:tc>
          <w:tcPr>
            <w:tcW w:type="dxa" w:w="3685"/>
          </w:tcPr>
          <w:p>
            <w:pPr>
              <w:spacing w:lineRule="exact" w:line="600"/>
              <w:jc w:val="center"/>
            </w:pPr>
            <w:r/>
            <w:r>
              <w:rPr>
                <w:rFonts w:ascii="仿宋_GB2312" w:hAnsi="仿宋_GB2312" w:eastAsia="仿宋_GB2312"/>
                <w:b w:val="0"/>
                <w:color w:val="000000"/>
                <w:sz w:val="32"/>
              </w:rPr>
              <w:t>核心</w:t>
            </w:r>
          </w:p>
        </w:tc>
      </w:tr>
      <w:tr>
        <w:tc>
          <w:tcPr>
            <w:tcW w:type="dxa" w:w="1984"/>
          </w:tcPr>
          <w:p>
            <w:pPr>
              <w:spacing w:lineRule="exact" w:line="600"/>
              <w:jc w:val="center"/>
            </w:pPr>
            <w:r/>
            <w:r>
              <w:rPr>
                <w:rFonts w:ascii="仿宋_GB2312" w:hAnsi="仿宋_GB2312" w:eastAsia="仿宋_GB2312"/>
                <w:b w:val="0"/>
                <w:color w:val="000000"/>
                <w:sz w:val="32"/>
              </w:rPr>
              <w:t>铝矾土</w:t>
            </w:r>
          </w:p>
        </w:tc>
        <w:tc>
          <w:tcPr>
            <w:tcW w:type="dxa" w:w="3118"/>
          </w:tcPr>
          <w:p>
            <w:pPr>
              <w:spacing w:lineRule="exact" w:line="600"/>
              <w:jc w:val="center"/>
            </w:pPr>
            <w:r/>
            <w:r>
              <w:rPr>
                <w:rFonts w:ascii="仿宋_GB2312" w:hAnsi="仿宋_GB2312" w:eastAsia="仿宋_GB2312"/>
                <w:b w:val="0"/>
                <w:color w:val="000000"/>
                <w:sz w:val="32"/>
              </w:rPr>
              <w:t>本地/外地</w:t>
            </w:r>
          </w:p>
        </w:tc>
        <w:tc>
          <w:tcPr>
            <w:tcW w:type="dxa" w:w="3685"/>
          </w:tcPr>
          <w:p>
            <w:pPr>
              <w:spacing w:lineRule="exact" w:line="600"/>
              <w:jc w:val="center"/>
            </w:pPr>
            <w:r/>
            <w:r>
              <w:rPr>
                <w:rFonts w:ascii="仿宋_GB2312" w:hAnsi="仿宋_GB2312" w:eastAsia="仿宋_GB2312"/>
                <w:b w:val="0"/>
                <w:color w:val="000000"/>
                <w:sz w:val="32"/>
              </w:rPr>
              <w:t>铝系</w:t>
            </w:r>
          </w:p>
        </w:tc>
      </w:tr>
      <w:tr>
        <w:tc>
          <w:tcPr>
            <w:tcW w:type="dxa" w:w="1984"/>
          </w:tcPr>
          <w:p>
            <w:pPr>
              <w:spacing w:lineRule="exact" w:line="600"/>
              <w:jc w:val="center"/>
            </w:pPr>
            <w:r/>
            <w:r>
              <w:rPr>
                <w:rFonts w:ascii="仿宋_GB2312" w:hAnsi="仿宋_GB2312" w:eastAsia="仿宋_GB2312"/>
                <w:b w:val="0"/>
                <w:color w:val="000000"/>
                <w:sz w:val="32"/>
              </w:rPr>
              <w:t>氧化铝</w:t>
            </w:r>
          </w:p>
        </w:tc>
        <w:tc>
          <w:tcPr>
            <w:tcW w:type="dxa" w:w="3118"/>
          </w:tcPr>
          <w:p>
            <w:pPr>
              <w:spacing w:lineRule="exact" w:line="600"/>
              <w:jc w:val="center"/>
            </w:pPr>
            <w:r/>
            <w:r>
              <w:rPr>
                <w:rFonts w:ascii="仿宋_GB2312" w:hAnsi="仿宋_GB2312" w:eastAsia="仿宋_GB2312"/>
                <w:b w:val="0"/>
                <w:color w:val="000000"/>
                <w:sz w:val="32"/>
              </w:rPr>
              <w:t>外购</w:t>
            </w:r>
          </w:p>
        </w:tc>
        <w:tc>
          <w:tcPr>
            <w:tcW w:type="dxa" w:w="3685"/>
          </w:tcPr>
          <w:p>
            <w:pPr>
              <w:spacing w:lineRule="exact" w:line="600"/>
              <w:jc w:val="center"/>
            </w:pPr>
            <w:r/>
            <w:r>
              <w:rPr>
                <w:rFonts w:ascii="仿宋_GB2312" w:hAnsi="仿宋_GB2312" w:eastAsia="仿宋_GB2312"/>
                <w:b w:val="0"/>
                <w:color w:val="000000"/>
                <w:sz w:val="32"/>
              </w:rPr>
              <w:t>高纯</w:t>
            </w:r>
          </w:p>
        </w:tc>
      </w:tr>
      <w:tr>
        <w:tc>
          <w:tcPr>
            <w:tcW w:type="dxa" w:w="1984"/>
          </w:tcPr>
          <w:p>
            <w:pPr>
              <w:spacing w:lineRule="exact" w:line="600"/>
              <w:jc w:val="center"/>
            </w:pPr>
            <w:r/>
            <w:r>
              <w:rPr>
                <w:rFonts w:ascii="仿宋_GB2312" w:hAnsi="仿宋_GB2312" w:eastAsia="仿宋_GB2312"/>
                <w:b w:val="0"/>
                <w:color w:val="000000"/>
                <w:sz w:val="32"/>
              </w:rPr>
              <w:t>硅石</w:t>
            </w:r>
          </w:p>
        </w:tc>
        <w:tc>
          <w:tcPr>
            <w:tcW w:type="dxa" w:w="3118"/>
          </w:tcPr>
          <w:p>
            <w:pPr>
              <w:spacing w:lineRule="exact" w:line="600"/>
              <w:jc w:val="center"/>
            </w:pPr>
            <w:r/>
            <w:r>
              <w:rPr>
                <w:rFonts w:ascii="仿宋_GB2312" w:hAnsi="仿宋_GB2312" w:eastAsia="仿宋_GB2312"/>
                <w:b w:val="0"/>
                <w:color w:val="000000"/>
                <w:sz w:val="32"/>
              </w:rPr>
              <w:t>本地</w:t>
            </w:r>
          </w:p>
        </w:tc>
        <w:tc>
          <w:tcPr>
            <w:tcW w:type="dxa" w:w="3685"/>
          </w:tcPr>
          <w:p>
            <w:pPr>
              <w:spacing w:lineRule="exact" w:line="600"/>
              <w:jc w:val="center"/>
            </w:pPr>
            <w:r/>
            <w:r>
              <w:rPr>
                <w:rFonts w:ascii="仿宋_GB2312" w:hAnsi="仿宋_GB2312" w:eastAsia="仿宋_GB2312"/>
                <w:b w:val="0"/>
                <w:color w:val="000000"/>
                <w:sz w:val="32"/>
              </w:rPr>
              <w:t>硅系</w:t>
            </w:r>
          </w:p>
        </w:tc>
      </w:tr>
    </w:tbl>
    <w:p>
      <w:pPr>
        <w:spacing w:lineRule="exact" w:line="600" w:before="120" w:after="120"/>
        <w:ind w:firstLine="420"/>
        <w:jc w:val="left"/>
      </w:pPr>
      <w:r>
        <w:rPr>
          <w:rFonts w:ascii="楷体_GB2312" w:hAnsi="楷体_GB2312" w:eastAsia="楷体_GB2312"/>
          <w:b w:val="0"/>
          <w:color w:val="000000"/>
          <w:sz w:val="32"/>
        </w:rPr>
        <w:t>（二）中游功能填料制造</w:t>
      </w:r>
    </w:p>
    <w:p>
      <w:pPr>
        <w:spacing w:lineRule="exact" w:line="600" w:before="0" w:after="0"/>
        <w:ind w:firstLine="420"/>
        <w:jc w:val="both"/>
      </w:pPr>
      <w:r>
        <w:rPr>
          <w:rFonts w:ascii="仿宋_GB2312" w:hAnsi="仿宋_GB2312" w:eastAsia="仿宋_GB2312"/>
          <w:b w:val="0"/>
          <w:color w:val="000000"/>
          <w:sz w:val="32"/>
        </w:rPr>
        <w:t>中游为硅酸铝纤维棉、针刺毯、毡、板、纸、模块等填料与制品。淄博同发拥有连熔连甩线6条、真空成型线6条、纤维纺织组合块线2条、干法树脂线2条、晶体氧化铝纤维线1条、纤维纸线1条，年产10000余吨（来源：同发企业介绍）。采用高温甩丝工艺，抗风速、抗冲刷性能好（来源：同发官网）。鲁阳节能（淄博沂源）年产能超10万吨，为行业龙头（来源：华经院）。</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中游产品</w:t>
            </w:r>
          </w:p>
        </w:tc>
        <w:tc>
          <w:tcPr>
            <w:tcW w:type="dxa" w:w="3118"/>
          </w:tcPr>
          <w:p>
            <w:pPr>
              <w:spacing w:lineRule="exact" w:line="600"/>
              <w:jc w:val="center"/>
            </w:pPr>
            <w:r/>
            <w:r>
              <w:rPr>
                <w:rFonts w:ascii="黑体" w:hAnsi="黑体" w:eastAsia="黑体"/>
                <w:b/>
                <w:color w:val="000000"/>
                <w:sz w:val="32"/>
              </w:rPr>
              <w:t>产能/企业</w:t>
            </w:r>
          </w:p>
        </w:tc>
        <w:tc>
          <w:tcPr>
            <w:tcW w:type="dxa" w:w="3685"/>
          </w:tcPr>
          <w:p>
            <w:pPr>
              <w:spacing w:lineRule="exact" w:line="600"/>
              <w:jc w:val="center"/>
            </w:pPr>
            <w:r/>
            <w:r>
              <w:rPr>
                <w:rFonts w:ascii="黑体" w:hAnsi="黑体" w:eastAsia="黑体"/>
                <w:b/>
                <w:color w:val="000000"/>
                <w:sz w:val="32"/>
              </w:rPr>
              <w:t>工艺</w:t>
            </w:r>
          </w:p>
        </w:tc>
      </w:tr>
      <w:tr>
        <w:tc>
          <w:tcPr>
            <w:tcW w:type="dxa" w:w="1984"/>
          </w:tcPr>
          <w:p>
            <w:pPr>
              <w:spacing w:lineRule="exact" w:line="600"/>
              <w:jc w:val="center"/>
            </w:pPr>
            <w:r/>
            <w:r>
              <w:rPr>
                <w:rFonts w:ascii="仿宋_GB2312" w:hAnsi="仿宋_GB2312" w:eastAsia="仿宋_GB2312"/>
                <w:b w:val="0"/>
                <w:color w:val="000000"/>
                <w:sz w:val="32"/>
              </w:rPr>
              <w:t>纤维棉/毯</w:t>
            </w:r>
          </w:p>
        </w:tc>
        <w:tc>
          <w:tcPr>
            <w:tcW w:type="dxa" w:w="3118"/>
          </w:tcPr>
          <w:p>
            <w:pPr>
              <w:spacing w:lineRule="exact" w:line="600"/>
              <w:jc w:val="center"/>
            </w:pPr>
            <w:r/>
            <w:r>
              <w:rPr>
                <w:rFonts w:ascii="仿宋_GB2312" w:hAnsi="仿宋_GB2312" w:eastAsia="仿宋_GB2312"/>
                <w:b w:val="0"/>
                <w:color w:val="000000"/>
                <w:sz w:val="32"/>
              </w:rPr>
              <w:t>同发1万吨/年</w:t>
            </w:r>
          </w:p>
        </w:tc>
        <w:tc>
          <w:tcPr>
            <w:tcW w:type="dxa" w:w="3685"/>
          </w:tcPr>
          <w:p>
            <w:pPr>
              <w:spacing w:lineRule="exact" w:line="600"/>
              <w:jc w:val="center"/>
            </w:pPr>
            <w:r/>
            <w:r>
              <w:rPr>
                <w:rFonts w:ascii="仿宋_GB2312" w:hAnsi="仿宋_GB2312" w:eastAsia="仿宋_GB2312"/>
                <w:b w:val="0"/>
                <w:color w:val="000000"/>
                <w:sz w:val="32"/>
              </w:rPr>
              <w:t>连熔连甩</w:t>
            </w:r>
          </w:p>
        </w:tc>
      </w:tr>
      <w:tr>
        <w:tc>
          <w:tcPr>
            <w:tcW w:type="dxa" w:w="1984"/>
          </w:tcPr>
          <w:p>
            <w:pPr>
              <w:spacing w:lineRule="exact" w:line="600"/>
              <w:jc w:val="center"/>
            </w:pPr>
            <w:r/>
            <w:r>
              <w:rPr>
                <w:rFonts w:ascii="仿宋_GB2312" w:hAnsi="仿宋_GB2312" w:eastAsia="仿宋_GB2312"/>
                <w:b w:val="0"/>
                <w:color w:val="000000"/>
                <w:sz w:val="32"/>
              </w:rPr>
              <w:t>真空成型</w:t>
            </w:r>
          </w:p>
        </w:tc>
        <w:tc>
          <w:tcPr>
            <w:tcW w:type="dxa" w:w="3118"/>
          </w:tcPr>
          <w:p>
            <w:pPr>
              <w:spacing w:lineRule="exact" w:line="600"/>
              <w:jc w:val="center"/>
            </w:pPr>
            <w:r/>
            <w:r>
              <w:rPr>
                <w:rFonts w:ascii="仿宋_GB2312" w:hAnsi="仿宋_GB2312" w:eastAsia="仿宋_GB2312"/>
                <w:b w:val="0"/>
                <w:color w:val="000000"/>
                <w:sz w:val="32"/>
              </w:rPr>
              <w:t>同发6线</w:t>
            </w:r>
          </w:p>
        </w:tc>
        <w:tc>
          <w:tcPr>
            <w:tcW w:type="dxa" w:w="3685"/>
          </w:tcPr>
          <w:p>
            <w:pPr>
              <w:spacing w:lineRule="exact" w:line="600"/>
              <w:jc w:val="center"/>
            </w:pPr>
            <w:r/>
            <w:r>
              <w:rPr>
                <w:rFonts w:ascii="仿宋_GB2312" w:hAnsi="仿宋_GB2312" w:eastAsia="仿宋_GB2312"/>
                <w:b w:val="0"/>
                <w:color w:val="000000"/>
                <w:sz w:val="32"/>
              </w:rPr>
              <w:t>湿法</w:t>
            </w:r>
          </w:p>
        </w:tc>
      </w:tr>
      <w:tr>
        <w:tc>
          <w:tcPr>
            <w:tcW w:type="dxa" w:w="1984"/>
          </w:tcPr>
          <w:p>
            <w:pPr>
              <w:spacing w:lineRule="exact" w:line="600"/>
              <w:jc w:val="center"/>
            </w:pPr>
            <w:r/>
            <w:r>
              <w:rPr>
                <w:rFonts w:ascii="仿宋_GB2312" w:hAnsi="仿宋_GB2312" w:eastAsia="仿宋_GB2312"/>
                <w:b w:val="0"/>
                <w:color w:val="000000"/>
                <w:sz w:val="32"/>
              </w:rPr>
              <w:t>晶体氧化铝纤维</w:t>
            </w:r>
          </w:p>
        </w:tc>
        <w:tc>
          <w:tcPr>
            <w:tcW w:type="dxa" w:w="3118"/>
          </w:tcPr>
          <w:p>
            <w:pPr>
              <w:spacing w:lineRule="exact" w:line="600"/>
              <w:jc w:val="center"/>
            </w:pPr>
            <w:r/>
            <w:r>
              <w:rPr>
                <w:rFonts w:ascii="仿宋_GB2312" w:hAnsi="仿宋_GB2312" w:eastAsia="仿宋_GB2312"/>
                <w:b w:val="0"/>
                <w:color w:val="000000"/>
                <w:sz w:val="32"/>
              </w:rPr>
              <w:t>同发1线</w:t>
            </w:r>
          </w:p>
        </w:tc>
        <w:tc>
          <w:tcPr>
            <w:tcW w:type="dxa" w:w="3685"/>
          </w:tcPr>
          <w:p>
            <w:pPr>
              <w:spacing w:lineRule="exact" w:line="600"/>
              <w:jc w:val="center"/>
            </w:pPr>
            <w:r/>
            <w:r>
              <w:rPr>
                <w:rFonts w:ascii="仿宋_GB2312" w:hAnsi="仿宋_GB2312" w:eastAsia="仿宋_GB2312"/>
                <w:b w:val="0"/>
                <w:color w:val="000000"/>
                <w:sz w:val="32"/>
              </w:rPr>
              <w:t>高端</w:t>
            </w:r>
          </w:p>
        </w:tc>
      </w:tr>
      <w:tr>
        <w:tc>
          <w:tcPr>
            <w:tcW w:type="dxa" w:w="1984"/>
          </w:tcPr>
          <w:p>
            <w:pPr>
              <w:spacing w:lineRule="exact" w:line="600"/>
              <w:jc w:val="center"/>
            </w:pPr>
            <w:r/>
            <w:r>
              <w:rPr>
                <w:rFonts w:ascii="仿宋_GB2312" w:hAnsi="仿宋_GB2312" w:eastAsia="仿宋_GB2312"/>
                <w:b w:val="0"/>
                <w:color w:val="000000"/>
                <w:sz w:val="32"/>
              </w:rPr>
              <w:t>龙头鲁阳</w:t>
            </w:r>
          </w:p>
        </w:tc>
        <w:tc>
          <w:tcPr>
            <w:tcW w:type="dxa" w:w="3118"/>
          </w:tcPr>
          <w:p>
            <w:pPr>
              <w:spacing w:lineRule="exact" w:line="600"/>
              <w:jc w:val="center"/>
            </w:pPr>
            <w:r/>
            <w:r>
              <w:rPr>
                <w:rFonts w:ascii="仿宋_GB2312" w:hAnsi="仿宋_GB2312" w:eastAsia="仿宋_GB2312"/>
                <w:b w:val="0"/>
                <w:color w:val="000000"/>
                <w:sz w:val="32"/>
              </w:rPr>
              <w:t>10万吨+</w:t>
            </w:r>
          </w:p>
        </w:tc>
        <w:tc>
          <w:tcPr>
            <w:tcW w:type="dxa" w:w="3685"/>
          </w:tcPr>
          <w:p>
            <w:pPr>
              <w:spacing w:lineRule="exact" w:line="600"/>
              <w:jc w:val="center"/>
            </w:pPr>
            <w:r/>
            <w:r>
              <w:rPr>
                <w:rFonts w:ascii="仿宋_GB2312" w:hAnsi="仿宋_GB2312" w:eastAsia="仿宋_GB2312"/>
                <w:b w:val="0"/>
                <w:color w:val="000000"/>
                <w:sz w:val="32"/>
              </w:rPr>
              <w:t>行业第一</w:t>
            </w:r>
          </w:p>
        </w:tc>
      </w:tr>
    </w:tbl>
    <w:p>
      <w:pPr>
        <w:spacing w:lineRule="exact" w:line="600" w:before="120" w:after="120"/>
        <w:ind w:firstLine="420"/>
        <w:jc w:val="left"/>
      </w:pPr>
      <w:r>
        <w:rPr>
          <w:rFonts w:ascii="楷体_GB2312" w:hAnsi="楷体_GB2312" w:eastAsia="楷体_GB2312"/>
          <w:b w:val="0"/>
          <w:color w:val="000000"/>
          <w:sz w:val="32"/>
        </w:rPr>
        <w:t>（三）下游应用与施工</w:t>
      </w:r>
    </w:p>
    <w:p>
      <w:pPr>
        <w:spacing w:lineRule="exact" w:line="600" w:before="0" w:after="0"/>
        <w:ind w:firstLine="420"/>
        <w:jc w:val="both"/>
      </w:pPr>
      <w:r>
        <w:rPr>
          <w:rFonts w:ascii="仿宋_GB2312" w:hAnsi="仿宋_GB2312" w:eastAsia="仿宋_GB2312"/>
          <w:b w:val="0"/>
          <w:color w:val="000000"/>
          <w:sz w:val="32"/>
        </w:rPr>
        <w:t>下游为工业窑炉、管道、锅炉、建筑防火等保温施工。同发具备窑炉设计安装与专业施工队伍，提供全纤维炉衬与管道保温结构（来源：同发官网）。应用于石油、化工、冶金、电力、建材、机械、纺织等（来源：同发企业介绍）。下游以工程承包与直销并重。</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下游</w:t>
            </w:r>
          </w:p>
        </w:tc>
        <w:tc>
          <w:tcPr>
            <w:tcW w:type="dxa" w:w="3118"/>
          </w:tcPr>
          <w:p>
            <w:pPr>
              <w:spacing w:lineRule="exact" w:line="600"/>
              <w:jc w:val="center"/>
            </w:pPr>
            <w:r/>
            <w:r>
              <w:rPr>
                <w:rFonts w:ascii="黑体" w:hAnsi="黑体" w:eastAsia="黑体"/>
                <w:b/>
                <w:color w:val="000000"/>
                <w:sz w:val="32"/>
              </w:rPr>
              <w:t>应用</w:t>
            </w:r>
          </w:p>
        </w:tc>
        <w:tc>
          <w:tcPr>
            <w:tcW w:type="dxa" w:w="3685"/>
          </w:tcPr>
          <w:p>
            <w:pPr>
              <w:spacing w:lineRule="exact" w:line="600"/>
              <w:jc w:val="center"/>
            </w:pPr>
            <w:r/>
            <w:r>
              <w:rPr>
                <w:rFonts w:ascii="黑体" w:hAnsi="黑体" w:eastAsia="黑体"/>
                <w:b/>
                <w:color w:val="000000"/>
                <w:sz w:val="32"/>
              </w:rPr>
              <w:t>模式</w:t>
            </w:r>
          </w:p>
        </w:tc>
      </w:tr>
      <w:tr>
        <w:tc>
          <w:tcPr>
            <w:tcW w:type="dxa" w:w="1984"/>
          </w:tcPr>
          <w:p>
            <w:pPr>
              <w:spacing w:lineRule="exact" w:line="600"/>
              <w:jc w:val="center"/>
            </w:pPr>
            <w:r/>
            <w:r>
              <w:rPr>
                <w:rFonts w:ascii="仿宋_GB2312" w:hAnsi="仿宋_GB2312" w:eastAsia="仿宋_GB2312"/>
                <w:b w:val="0"/>
                <w:color w:val="000000"/>
                <w:sz w:val="32"/>
              </w:rPr>
              <w:t>工业窑炉</w:t>
            </w:r>
          </w:p>
        </w:tc>
        <w:tc>
          <w:tcPr>
            <w:tcW w:type="dxa" w:w="3118"/>
          </w:tcPr>
          <w:p>
            <w:pPr>
              <w:spacing w:lineRule="exact" w:line="600"/>
              <w:jc w:val="center"/>
            </w:pPr>
            <w:r/>
            <w:r>
              <w:rPr>
                <w:rFonts w:ascii="仿宋_GB2312" w:hAnsi="仿宋_GB2312" w:eastAsia="仿宋_GB2312"/>
                <w:b w:val="0"/>
                <w:color w:val="000000"/>
                <w:sz w:val="32"/>
              </w:rPr>
              <w:t>炉衬保温</w:t>
            </w:r>
          </w:p>
        </w:tc>
        <w:tc>
          <w:tcPr>
            <w:tcW w:type="dxa" w:w="3685"/>
          </w:tcPr>
          <w:p>
            <w:pPr>
              <w:spacing w:lineRule="exact" w:line="600"/>
              <w:jc w:val="center"/>
            </w:pPr>
            <w:r/>
            <w:r>
              <w:rPr>
                <w:rFonts w:ascii="仿宋_GB2312" w:hAnsi="仿宋_GB2312" w:eastAsia="仿宋_GB2312"/>
                <w:b w:val="0"/>
                <w:color w:val="000000"/>
                <w:sz w:val="32"/>
              </w:rPr>
              <w:t>设计+施工</w:t>
            </w:r>
          </w:p>
        </w:tc>
      </w:tr>
      <w:tr>
        <w:tc>
          <w:tcPr>
            <w:tcW w:type="dxa" w:w="1984"/>
          </w:tcPr>
          <w:p>
            <w:pPr>
              <w:spacing w:lineRule="exact" w:line="600"/>
              <w:jc w:val="center"/>
            </w:pPr>
            <w:r/>
            <w:r>
              <w:rPr>
                <w:rFonts w:ascii="仿宋_GB2312" w:hAnsi="仿宋_GB2312" w:eastAsia="仿宋_GB2312"/>
                <w:b w:val="0"/>
                <w:color w:val="000000"/>
                <w:sz w:val="32"/>
              </w:rPr>
              <w:t>电力/石化</w:t>
            </w:r>
          </w:p>
        </w:tc>
        <w:tc>
          <w:tcPr>
            <w:tcW w:type="dxa" w:w="3118"/>
          </w:tcPr>
          <w:p>
            <w:pPr>
              <w:spacing w:lineRule="exact" w:line="600"/>
              <w:jc w:val="center"/>
            </w:pPr>
            <w:r/>
            <w:r>
              <w:rPr>
                <w:rFonts w:ascii="仿宋_GB2312" w:hAnsi="仿宋_GB2312" w:eastAsia="仿宋_GB2312"/>
                <w:b w:val="0"/>
                <w:color w:val="000000"/>
                <w:sz w:val="32"/>
              </w:rPr>
              <w:t>管道隔热</w:t>
            </w:r>
          </w:p>
        </w:tc>
        <w:tc>
          <w:tcPr>
            <w:tcW w:type="dxa" w:w="3685"/>
          </w:tcPr>
          <w:p>
            <w:pPr>
              <w:spacing w:lineRule="exact" w:line="600"/>
              <w:jc w:val="center"/>
            </w:pPr>
            <w:r/>
            <w:r>
              <w:rPr>
                <w:rFonts w:ascii="仿宋_GB2312" w:hAnsi="仿宋_GB2312" w:eastAsia="仿宋_GB2312"/>
                <w:b w:val="0"/>
                <w:color w:val="000000"/>
                <w:sz w:val="32"/>
              </w:rPr>
              <w:t>工程</w:t>
            </w:r>
          </w:p>
        </w:tc>
      </w:tr>
      <w:tr>
        <w:tc>
          <w:tcPr>
            <w:tcW w:type="dxa" w:w="1984"/>
          </w:tcPr>
          <w:p>
            <w:pPr>
              <w:spacing w:lineRule="exact" w:line="600"/>
              <w:jc w:val="center"/>
            </w:pPr>
            <w:r/>
            <w:r>
              <w:rPr>
                <w:rFonts w:ascii="仿宋_GB2312" w:hAnsi="仿宋_GB2312" w:eastAsia="仿宋_GB2312"/>
                <w:b w:val="0"/>
                <w:color w:val="000000"/>
                <w:sz w:val="32"/>
              </w:rPr>
              <w:t>建筑</w:t>
            </w:r>
          </w:p>
        </w:tc>
        <w:tc>
          <w:tcPr>
            <w:tcW w:type="dxa" w:w="3118"/>
          </w:tcPr>
          <w:p>
            <w:pPr>
              <w:spacing w:lineRule="exact" w:line="600"/>
              <w:jc w:val="center"/>
            </w:pPr>
            <w:r/>
            <w:r>
              <w:rPr>
                <w:rFonts w:ascii="仿宋_GB2312" w:hAnsi="仿宋_GB2312" w:eastAsia="仿宋_GB2312"/>
                <w:b w:val="0"/>
                <w:color w:val="000000"/>
                <w:sz w:val="32"/>
              </w:rPr>
              <w:t>防火吸音</w:t>
            </w:r>
          </w:p>
        </w:tc>
        <w:tc>
          <w:tcPr>
            <w:tcW w:type="dxa" w:w="3685"/>
          </w:tcPr>
          <w:p>
            <w:pPr>
              <w:spacing w:lineRule="exact" w:line="600"/>
              <w:jc w:val="center"/>
            </w:pPr>
            <w:r/>
            <w:r>
              <w:rPr>
                <w:rFonts w:ascii="仿宋_GB2312" w:hAnsi="仿宋_GB2312" w:eastAsia="仿宋_GB2312"/>
                <w:b w:val="0"/>
                <w:color w:val="000000"/>
                <w:sz w:val="32"/>
              </w:rPr>
              <w:t>直销</w:t>
            </w:r>
          </w:p>
        </w:tc>
      </w:tr>
      <w:tr>
        <w:tc>
          <w:tcPr>
            <w:tcW w:type="dxa" w:w="1984"/>
          </w:tcPr>
          <w:p>
            <w:pPr>
              <w:spacing w:lineRule="exact" w:line="600"/>
              <w:jc w:val="center"/>
            </w:pPr>
            <w:r/>
            <w:r>
              <w:rPr>
                <w:rFonts w:ascii="仿宋_GB2312" w:hAnsi="仿宋_GB2312" w:eastAsia="仿宋_GB2312"/>
                <w:b w:val="0"/>
                <w:color w:val="000000"/>
                <w:sz w:val="32"/>
              </w:rPr>
              <w:t>冶金/建材</w:t>
            </w:r>
          </w:p>
        </w:tc>
        <w:tc>
          <w:tcPr>
            <w:tcW w:type="dxa" w:w="3118"/>
          </w:tcPr>
          <w:p>
            <w:pPr>
              <w:spacing w:lineRule="exact" w:line="600"/>
              <w:jc w:val="center"/>
            </w:pPr>
            <w:r/>
            <w:r>
              <w:rPr>
                <w:rFonts w:ascii="仿宋_GB2312" w:hAnsi="仿宋_GB2312" w:eastAsia="仿宋_GB2312"/>
                <w:b w:val="0"/>
                <w:color w:val="000000"/>
                <w:sz w:val="32"/>
              </w:rPr>
              <w:t>背衬</w:t>
            </w:r>
          </w:p>
        </w:tc>
        <w:tc>
          <w:tcPr>
            <w:tcW w:type="dxa" w:w="3685"/>
          </w:tcPr>
          <w:p>
            <w:pPr>
              <w:spacing w:lineRule="exact" w:line="600"/>
              <w:jc w:val="center"/>
            </w:pPr>
            <w:r/>
            <w:r>
              <w:rPr>
                <w:rFonts w:ascii="仿宋_GB2312" w:hAnsi="仿宋_GB2312" w:eastAsia="仿宋_GB2312"/>
                <w:b w:val="0"/>
                <w:color w:val="000000"/>
                <w:sz w:val="32"/>
              </w:rPr>
              <w:t>配套</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（一）供给格局与产能</w:t>
      </w:r>
    </w:p>
    <w:p>
      <w:pPr>
        <w:spacing w:lineRule="exact" w:line="600" w:before="0" w:after="0"/>
        <w:ind w:firstLine="420"/>
        <w:jc w:val="both"/>
      </w:pPr>
      <w:r>
        <w:rPr>
          <w:rFonts w:ascii="仿宋_GB2312" w:hAnsi="仿宋_GB2312" w:eastAsia="仿宋_GB2312"/>
          <w:b w:val="0"/>
          <w:color w:val="000000"/>
          <w:sz w:val="32"/>
        </w:rPr>
        <w:t>供给端全国硅酸铝纤维生产企业约200家、总产能超4万吨/年（行业早期统计，行业共性研判）；周村聚集同发及众多耐材企业（来源：企业名录）。鲁阳节能（淄博沂源）年产能超10万吨、占据国内重要份额，为绝对龙头（来源：华经院）。同发年产1万余吨，属区域中型专业厂（来源：同发企业介绍）。</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供给主体</w:t>
            </w:r>
          </w:p>
        </w:tc>
        <w:tc>
          <w:tcPr>
            <w:tcW w:type="dxa" w:w="3118"/>
          </w:tcPr>
          <w:p>
            <w:pPr>
              <w:spacing w:lineRule="exact" w:line="600"/>
              <w:jc w:val="center"/>
            </w:pPr>
            <w:r/>
            <w:r>
              <w:rPr>
                <w:rFonts w:ascii="黑体" w:hAnsi="黑体" w:eastAsia="黑体"/>
                <w:b/>
                <w:color w:val="000000"/>
                <w:sz w:val="32"/>
              </w:rPr>
              <w:t>规模</w:t>
            </w:r>
          </w:p>
        </w:tc>
        <w:tc>
          <w:tcPr>
            <w:tcW w:type="dxa" w:w="3685"/>
          </w:tcPr>
          <w:p>
            <w:pPr>
              <w:spacing w:lineRule="exact" w:line="600"/>
              <w:jc w:val="center"/>
            </w:pPr>
            <w:r/>
            <w:r>
              <w:rPr>
                <w:rFonts w:ascii="黑体" w:hAnsi="黑体" w:eastAsia="黑体"/>
                <w:b/>
                <w:color w:val="000000"/>
                <w:sz w:val="32"/>
              </w:rPr>
              <w:t>地位</w:t>
            </w:r>
          </w:p>
        </w:tc>
      </w:tr>
      <w:tr>
        <w:tc>
          <w:tcPr>
            <w:tcW w:type="dxa" w:w="1984"/>
          </w:tcPr>
          <w:p>
            <w:pPr>
              <w:spacing w:lineRule="exact" w:line="600"/>
              <w:jc w:val="center"/>
            </w:pPr>
            <w:r/>
            <w:r>
              <w:rPr>
                <w:rFonts w:ascii="仿宋_GB2312" w:hAnsi="仿宋_GB2312" w:eastAsia="仿宋_GB2312"/>
                <w:b w:val="0"/>
                <w:color w:val="000000"/>
                <w:sz w:val="32"/>
              </w:rPr>
              <w:t>鲁阳节能</w:t>
            </w:r>
          </w:p>
        </w:tc>
        <w:tc>
          <w:tcPr>
            <w:tcW w:type="dxa" w:w="3118"/>
          </w:tcPr>
          <w:p>
            <w:pPr>
              <w:spacing w:lineRule="exact" w:line="600"/>
              <w:jc w:val="center"/>
            </w:pPr>
            <w:r/>
            <w:r>
              <w:rPr>
                <w:rFonts w:ascii="仿宋_GB2312" w:hAnsi="仿宋_GB2312" w:eastAsia="仿宋_GB2312"/>
                <w:b w:val="0"/>
                <w:color w:val="000000"/>
                <w:sz w:val="32"/>
              </w:rPr>
              <w:t>10万吨+/年</w:t>
            </w:r>
          </w:p>
        </w:tc>
        <w:tc>
          <w:tcPr>
            <w:tcW w:type="dxa" w:w="3685"/>
          </w:tcPr>
          <w:p>
            <w:pPr>
              <w:spacing w:lineRule="exact" w:line="600"/>
              <w:jc w:val="center"/>
            </w:pPr>
            <w:r/>
            <w:r>
              <w:rPr>
                <w:rFonts w:ascii="仿宋_GB2312" w:hAnsi="仿宋_GB2312" w:eastAsia="仿宋_GB2312"/>
                <w:b w:val="0"/>
                <w:color w:val="000000"/>
                <w:sz w:val="32"/>
              </w:rPr>
              <w:t>全国龙头</w:t>
            </w:r>
          </w:p>
        </w:tc>
      </w:tr>
      <w:tr>
        <w:tc>
          <w:tcPr>
            <w:tcW w:type="dxa" w:w="1984"/>
          </w:tcPr>
          <w:p>
            <w:pPr>
              <w:spacing w:lineRule="exact" w:line="600"/>
              <w:jc w:val="center"/>
            </w:pPr>
            <w:r/>
            <w:r>
              <w:rPr>
                <w:rFonts w:ascii="仿宋_GB2312" w:hAnsi="仿宋_GB2312" w:eastAsia="仿宋_GB2312"/>
                <w:b w:val="0"/>
                <w:color w:val="000000"/>
                <w:sz w:val="32"/>
              </w:rPr>
              <w:t>淄博同发</w:t>
            </w:r>
          </w:p>
        </w:tc>
        <w:tc>
          <w:tcPr>
            <w:tcW w:type="dxa" w:w="3118"/>
          </w:tcPr>
          <w:p>
            <w:pPr>
              <w:spacing w:lineRule="exact" w:line="600"/>
              <w:jc w:val="center"/>
            </w:pPr>
            <w:r/>
            <w:r>
              <w:rPr>
                <w:rFonts w:ascii="仿宋_GB2312" w:hAnsi="仿宋_GB2312" w:eastAsia="仿宋_GB2312"/>
                <w:b w:val="0"/>
                <w:color w:val="000000"/>
                <w:sz w:val="32"/>
              </w:rPr>
              <w:t>1万余吨/年</w:t>
            </w:r>
          </w:p>
        </w:tc>
        <w:tc>
          <w:tcPr>
            <w:tcW w:type="dxa" w:w="3685"/>
          </w:tcPr>
          <w:p>
            <w:pPr>
              <w:spacing w:lineRule="exact" w:line="600"/>
              <w:jc w:val="center"/>
            </w:pPr>
            <w:r/>
            <w:r>
              <w:rPr>
                <w:rFonts w:ascii="仿宋_GB2312" w:hAnsi="仿宋_GB2312" w:eastAsia="仿宋_GB2312"/>
                <w:b w:val="0"/>
                <w:color w:val="000000"/>
                <w:sz w:val="32"/>
              </w:rPr>
              <w:t>区域专业</w:t>
            </w:r>
          </w:p>
        </w:tc>
      </w:tr>
      <w:tr>
        <w:tc>
          <w:tcPr>
            <w:tcW w:type="dxa" w:w="1984"/>
          </w:tcPr>
          <w:p>
            <w:pPr>
              <w:spacing w:lineRule="exact" w:line="600"/>
              <w:jc w:val="center"/>
            </w:pPr>
            <w:r/>
            <w:r>
              <w:rPr>
                <w:rFonts w:ascii="仿宋_GB2312" w:hAnsi="仿宋_GB2312" w:eastAsia="仿宋_GB2312"/>
                <w:b w:val="0"/>
                <w:color w:val="000000"/>
                <w:sz w:val="32"/>
              </w:rPr>
              <w:t>周村集群</w:t>
            </w:r>
          </w:p>
        </w:tc>
        <w:tc>
          <w:tcPr>
            <w:tcW w:type="dxa" w:w="3118"/>
          </w:tcPr>
          <w:p>
            <w:pPr>
              <w:spacing w:lineRule="exact" w:line="600"/>
              <w:jc w:val="center"/>
            </w:pPr>
            <w:r/>
            <w:r>
              <w:rPr>
                <w:rFonts w:ascii="仿宋_GB2312" w:hAnsi="仿宋_GB2312" w:eastAsia="仿宋_GB2312"/>
                <w:b w:val="0"/>
                <w:color w:val="000000"/>
                <w:sz w:val="32"/>
              </w:rPr>
              <w:t>43家规上</w:t>
            </w:r>
          </w:p>
        </w:tc>
        <w:tc>
          <w:tcPr>
            <w:tcW w:type="dxa" w:w="3685"/>
          </w:tcPr>
          <w:p>
            <w:pPr>
              <w:spacing w:lineRule="exact" w:line="600"/>
              <w:jc w:val="center"/>
            </w:pPr>
            <w:r/>
            <w:r>
              <w:rPr>
                <w:rFonts w:ascii="仿宋_GB2312" w:hAnsi="仿宋_GB2312" w:eastAsia="仿宋_GB2312"/>
                <w:b w:val="0"/>
                <w:color w:val="000000"/>
                <w:sz w:val="32"/>
              </w:rPr>
              <w:t>集聚</w:t>
            </w:r>
          </w:p>
        </w:tc>
      </w:tr>
      <w:tr>
        <w:tc>
          <w:tcPr>
            <w:tcW w:type="dxa" w:w="1984"/>
          </w:tcPr>
          <w:p>
            <w:pPr>
              <w:spacing w:lineRule="exact" w:line="600"/>
              <w:jc w:val="center"/>
            </w:pPr>
            <w:r/>
            <w:r>
              <w:rPr>
                <w:rFonts w:ascii="仿宋_GB2312" w:hAnsi="仿宋_GB2312" w:eastAsia="仿宋_GB2312"/>
                <w:b w:val="0"/>
                <w:color w:val="000000"/>
                <w:sz w:val="32"/>
              </w:rPr>
              <w:t>全国</w:t>
            </w:r>
          </w:p>
        </w:tc>
        <w:tc>
          <w:tcPr>
            <w:tcW w:type="dxa" w:w="3118"/>
          </w:tcPr>
          <w:p>
            <w:pPr>
              <w:spacing w:lineRule="exact" w:line="600"/>
              <w:jc w:val="center"/>
            </w:pPr>
            <w:r/>
            <w:r>
              <w:rPr>
                <w:rFonts w:ascii="仿宋_GB2312" w:hAnsi="仿宋_GB2312" w:eastAsia="仿宋_GB2312"/>
                <w:b w:val="0"/>
                <w:color w:val="000000"/>
                <w:sz w:val="32"/>
              </w:rPr>
              <w:t>约200家企业</w:t>
            </w:r>
          </w:p>
        </w:tc>
        <w:tc>
          <w:tcPr>
            <w:tcW w:type="dxa" w:w="3685"/>
          </w:tcPr>
          <w:p>
            <w:pPr>
              <w:spacing w:lineRule="exact" w:line="600"/>
              <w:jc w:val="center"/>
            </w:pPr>
            <w:r/>
            <w:r>
              <w:rPr>
                <w:rFonts w:ascii="仿宋_GB2312" w:hAnsi="仿宋_GB2312" w:eastAsia="仿宋_GB2312"/>
                <w:b w:val="0"/>
                <w:color w:val="000000"/>
                <w:sz w:val="32"/>
              </w:rPr>
              <w:t>分散</w:t>
            </w:r>
          </w:p>
        </w:tc>
      </w:tr>
    </w:tbl>
    <w:p>
      <w:pPr>
        <w:spacing w:lineRule="exact" w:line="600" w:before="120" w:after="120"/>
        <w:ind w:firstLine="420"/>
        <w:jc w:val="left"/>
      </w:pPr>
      <w:r>
        <w:rPr>
          <w:rFonts w:ascii="楷体_GB2312" w:hAnsi="楷体_GB2312" w:eastAsia="楷体_GB2312"/>
          <w:b w:val="0"/>
          <w:color w:val="000000"/>
          <w:sz w:val="32"/>
        </w:rPr>
        <w:t>（二）需求结构</w:t>
      </w:r>
    </w:p>
    <w:p>
      <w:pPr>
        <w:spacing w:lineRule="exact" w:line="600" w:before="0" w:after="0"/>
        <w:ind w:firstLine="420"/>
        <w:jc w:val="both"/>
      </w:pPr>
      <w:r>
        <w:rPr>
          <w:rFonts w:ascii="仿宋_GB2312" w:hAnsi="仿宋_GB2312" w:eastAsia="仿宋_GB2312"/>
          <w:b w:val="0"/>
          <w:color w:val="000000"/>
          <w:sz w:val="32"/>
        </w:rPr>
        <w:t>需求由钢铁、石化、陶瓷、电力、建材高温工业驱动，新能源（锂电窑炉）、航空航天、聚光太阳能等新兴应用带动增量（来源：华经院）。同发产品销全国30余省并出口（来源：同发官网）。集采与工程承包为主，价格敏感度中等，质量（渣球含量、导热系数）为核心。</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需求领域</w:t>
            </w:r>
          </w:p>
        </w:tc>
        <w:tc>
          <w:tcPr>
            <w:tcW w:type="dxa" w:w="3118"/>
          </w:tcPr>
          <w:p>
            <w:pPr>
              <w:spacing w:lineRule="exact" w:line="600"/>
              <w:jc w:val="center"/>
            </w:pPr>
            <w:r/>
            <w:r>
              <w:rPr>
                <w:rFonts w:ascii="黑体" w:hAnsi="黑体" w:eastAsia="黑体"/>
                <w:b/>
                <w:color w:val="000000"/>
                <w:sz w:val="32"/>
              </w:rPr>
              <w:t>应用</w:t>
            </w:r>
          </w:p>
        </w:tc>
        <w:tc>
          <w:tcPr>
            <w:tcW w:type="dxa" w:w="3685"/>
          </w:tcPr>
          <w:p>
            <w:pPr>
              <w:spacing w:lineRule="exact" w:line="600"/>
              <w:jc w:val="center"/>
            </w:pPr>
            <w:r/>
            <w:r>
              <w:rPr>
                <w:rFonts w:ascii="黑体" w:hAnsi="黑体" w:eastAsia="黑体"/>
                <w:b/>
                <w:color w:val="000000"/>
                <w:sz w:val="32"/>
              </w:rPr>
              <w:t>趋势</w:t>
            </w:r>
          </w:p>
        </w:tc>
      </w:tr>
      <w:tr>
        <w:tc>
          <w:tcPr>
            <w:tcW w:type="dxa" w:w="1984"/>
          </w:tcPr>
          <w:p>
            <w:pPr>
              <w:spacing w:lineRule="exact" w:line="600"/>
              <w:jc w:val="center"/>
            </w:pPr>
            <w:r/>
            <w:r>
              <w:rPr>
                <w:rFonts w:ascii="仿宋_GB2312" w:hAnsi="仿宋_GB2312" w:eastAsia="仿宋_GB2312"/>
                <w:b w:val="0"/>
                <w:color w:val="000000"/>
                <w:sz w:val="32"/>
              </w:rPr>
              <w:t>钢铁/石化</w:t>
            </w:r>
          </w:p>
        </w:tc>
        <w:tc>
          <w:tcPr>
            <w:tcW w:type="dxa" w:w="3118"/>
          </w:tcPr>
          <w:p>
            <w:pPr>
              <w:spacing w:lineRule="exact" w:line="600"/>
              <w:jc w:val="center"/>
            </w:pPr>
            <w:r/>
            <w:r>
              <w:rPr>
                <w:rFonts w:ascii="仿宋_GB2312" w:hAnsi="仿宋_GB2312" w:eastAsia="仿宋_GB2312"/>
                <w:b w:val="0"/>
                <w:color w:val="000000"/>
                <w:sz w:val="32"/>
              </w:rPr>
              <w:t>窑炉保温</w:t>
            </w:r>
          </w:p>
        </w:tc>
        <w:tc>
          <w:tcPr>
            <w:tcW w:type="dxa" w:w="3685"/>
          </w:tcPr>
          <w:p>
            <w:pPr>
              <w:spacing w:lineRule="exact" w:line="600"/>
              <w:jc w:val="center"/>
            </w:pPr>
            <w:r/>
            <w:r>
              <w:rPr>
                <w:rFonts w:ascii="仿宋_GB2312" w:hAnsi="仿宋_GB2312" w:eastAsia="仿宋_GB2312"/>
                <w:b w:val="0"/>
                <w:color w:val="000000"/>
                <w:sz w:val="32"/>
              </w:rPr>
              <w:t>稳定</w:t>
            </w:r>
          </w:p>
        </w:tc>
      </w:tr>
      <w:tr>
        <w:tc>
          <w:tcPr>
            <w:tcW w:type="dxa" w:w="1984"/>
          </w:tcPr>
          <w:p>
            <w:pPr>
              <w:spacing w:lineRule="exact" w:line="600"/>
              <w:jc w:val="center"/>
            </w:pPr>
            <w:r/>
            <w:r>
              <w:rPr>
                <w:rFonts w:ascii="仿宋_GB2312" w:hAnsi="仿宋_GB2312" w:eastAsia="仿宋_GB2312"/>
                <w:b w:val="0"/>
                <w:color w:val="000000"/>
                <w:sz w:val="32"/>
              </w:rPr>
              <w:t>电力/建材</w:t>
            </w:r>
          </w:p>
        </w:tc>
        <w:tc>
          <w:tcPr>
            <w:tcW w:type="dxa" w:w="3118"/>
          </w:tcPr>
          <w:p>
            <w:pPr>
              <w:spacing w:lineRule="exact" w:line="600"/>
              <w:jc w:val="center"/>
            </w:pPr>
            <w:r/>
            <w:r>
              <w:rPr>
                <w:rFonts w:ascii="仿宋_GB2312" w:hAnsi="仿宋_GB2312" w:eastAsia="仿宋_GB2312"/>
                <w:b w:val="0"/>
                <w:color w:val="000000"/>
                <w:sz w:val="32"/>
              </w:rPr>
              <w:t>管道/背衬</w:t>
            </w:r>
          </w:p>
        </w:tc>
        <w:tc>
          <w:tcPr>
            <w:tcW w:type="dxa" w:w="3685"/>
          </w:tcPr>
          <w:p>
            <w:pPr>
              <w:spacing w:lineRule="exact" w:line="600"/>
              <w:jc w:val="center"/>
            </w:pPr>
            <w:r/>
            <w:r>
              <w:rPr>
                <w:rFonts w:ascii="仿宋_GB2312" w:hAnsi="仿宋_GB2312" w:eastAsia="仿宋_GB2312"/>
                <w:b w:val="0"/>
                <w:color w:val="000000"/>
                <w:sz w:val="32"/>
              </w:rPr>
              <w:t>稳定</w:t>
            </w:r>
          </w:p>
        </w:tc>
      </w:tr>
      <w:tr>
        <w:tc>
          <w:tcPr>
            <w:tcW w:type="dxa" w:w="1984"/>
          </w:tcPr>
          <w:p>
            <w:pPr>
              <w:spacing w:lineRule="exact" w:line="600"/>
              <w:jc w:val="center"/>
            </w:pPr>
            <w:r/>
            <w:r>
              <w:rPr>
                <w:rFonts w:ascii="仿宋_GB2312" w:hAnsi="仿宋_GB2312" w:eastAsia="仿宋_GB2312"/>
                <w:b w:val="0"/>
                <w:color w:val="000000"/>
                <w:sz w:val="32"/>
              </w:rPr>
              <w:t>新能源</w:t>
            </w:r>
          </w:p>
        </w:tc>
        <w:tc>
          <w:tcPr>
            <w:tcW w:type="dxa" w:w="3118"/>
          </w:tcPr>
          <w:p>
            <w:pPr>
              <w:spacing w:lineRule="exact" w:line="600"/>
              <w:jc w:val="center"/>
            </w:pPr>
            <w:r/>
            <w:r>
              <w:rPr>
                <w:rFonts w:ascii="仿宋_GB2312" w:hAnsi="仿宋_GB2312" w:eastAsia="仿宋_GB2312"/>
                <w:b w:val="0"/>
                <w:color w:val="000000"/>
                <w:sz w:val="32"/>
              </w:rPr>
              <w:t>锂电窑炉</w:t>
            </w:r>
          </w:p>
        </w:tc>
        <w:tc>
          <w:tcPr>
            <w:tcW w:type="dxa" w:w="3685"/>
          </w:tcPr>
          <w:p>
            <w:pPr>
              <w:spacing w:lineRule="exact" w:line="600"/>
              <w:jc w:val="center"/>
            </w:pPr>
            <w:r/>
            <w:r>
              <w:rPr>
                <w:rFonts w:ascii="仿宋_GB2312" w:hAnsi="仿宋_GB2312" w:eastAsia="仿宋_GB2312"/>
                <w:b w:val="0"/>
                <w:color w:val="000000"/>
                <w:sz w:val="32"/>
              </w:rPr>
              <w:t>增量</w:t>
            </w:r>
          </w:p>
        </w:tc>
      </w:tr>
      <w:tr>
        <w:tc>
          <w:tcPr>
            <w:tcW w:type="dxa" w:w="1984"/>
          </w:tcPr>
          <w:p>
            <w:pPr>
              <w:spacing w:lineRule="exact" w:line="600"/>
              <w:jc w:val="center"/>
            </w:pPr>
            <w:r/>
            <w:r>
              <w:rPr>
                <w:rFonts w:ascii="仿宋_GB2312" w:hAnsi="仿宋_GB2312" w:eastAsia="仿宋_GB2312"/>
                <w:b w:val="0"/>
                <w:color w:val="000000"/>
                <w:sz w:val="32"/>
              </w:rPr>
              <w:t>出口</w:t>
            </w:r>
          </w:p>
        </w:tc>
        <w:tc>
          <w:tcPr>
            <w:tcW w:type="dxa" w:w="3118"/>
          </w:tcPr>
          <w:p>
            <w:pPr>
              <w:spacing w:lineRule="exact" w:line="600"/>
              <w:jc w:val="center"/>
            </w:pPr>
            <w:r/>
            <w:r>
              <w:rPr>
                <w:rFonts w:ascii="仿宋_GB2312" w:hAnsi="仿宋_GB2312" w:eastAsia="仿宋_GB2312"/>
                <w:b w:val="0"/>
                <w:color w:val="000000"/>
                <w:sz w:val="32"/>
              </w:rPr>
              <w:t>美日德韩</w:t>
            </w:r>
          </w:p>
        </w:tc>
        <w:tc>
          <w:tcPr>
            <w:tcW w:type="dxa" w:w="3685"/>
          </w:tcPr>
          <w:p>
            <w:pPr>
              <w:spacing w:lineRule="exact" w:line="600"/>
              <w:jc w:val="center"/>
            </w:pPr>
            <w:r/>
            <w:r>
              <w:rPr>
                <w:rFonts w:ascii="仿宋_GB2312" w:hAnsi="仿宋_GB2312" w:eastAsia="仿宋_GB2312"/>
                <w:b w:val="0"/>
                <w:color w:val="000000"/>
                <w:sz w:val="32"/>
              </w:rPr>
              <w:t>拓展</w:t>
            </w:r>
          </w:p>
        </w:tc>
      </w:tr>
    </w:tbl>
    <w:p>
      <w:pPr>
        <w:spacing w:lineRule="exact" w:line="600" w:before="120" w:after="120"/>
        <w:ind w:firstLine="420"/>
        <w:jc w:val="left"/>
      </w:pPr>
      <w:r>
        <w:rPr>
          <w:rFonts w:ascii="楷体_GB2312" w:hAnsi="楷体_GB2312" w:eastAsia="楷体_GB2312"/>
          <w:b w:val="0"/>
          <w:color w:val="000000"/>
          <w:sz w:val="32"/>
        </w:rPr>
        <w:t>（三）竞争格局</w:t>
      </w:r>
    </w:p>
    <w:p>
      <w:pPr>
        <w:spacing w:lineRule="exact" w:line="600" w:before="0" w:after="0"/>
        <w:ind w:firstLine="420"/>
        <w:jc w:val="both"/>
      </w:pPr>
      <w:r>
        <w:rPr>
          <w:rFonts w:ascii="仿宋_GB2312" w:hAnsi="仿宋_GB2312" w:eastAsia="仿宋_GB2312"/>
          <w:b w:val="0"/>
          <w:color w:val="000000"/>
          <w:sz w:val="32"/>
        </w:rPr>
        <w:t>低端普通硅酸铝纤维同质化、价格竞争激烈；高端多晶莫来石/氧化铝/氧化锆纤维由Morgan、Unifrax、3M、Saint-Gobain等国际巨头主导（来源：华经院）。本土企业鲁阳领先，同发等在中端甩丝毯、模块具性价比优势（来源：同发官网）。竞争焦点由产能转向高端化与绿色化。</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环节</w:t>
            </w:r>
          </w:p>
        </w:tc>
        <w:tc>
          <w:tcPr>
            <w:tcW w:type="dxa" w:w="3402"/>
          </w:tcPr>
          <w:p>
            <w:pPr>
              <w:spacing w:lineRule="exact" w:line="600"/>
              <w:jc w:val="center"/>
            </w:pPr>
            <w:r/>
            <w:r>
              <w:rPr>
                <w:rFonts w:ascii="黑体" w:hAnsi="黑体" w:eastAsia="黑体"/>
                <w:b/>
                <w:color w:val="000000"/>
                <w:sz w:val="32"/>
              </w:rPr>
              <w:t>竞争</w:t>
            </w:r>
          </w:p>
        </w:tc>
        <w:tc>
          <w:tcPr>
            <w:tcW w:type="dxa" w:w="3685"/>
          </w:tcPr>
          <w:p>
            <w:pPr>
              <w:spacing w:lineRule="exact" w:line="600"/>
              <w:jc w:val="center"/>
            </w:pPr>
            <w:r/>
            <w:r>
              <w:rPr>
                <w:rFonts w:ascii="黑体" w:hAnsi="黑体" w:eastAsia="黑体"/>
                <w:b/>
                <w:color w:val="000000"/>
                <w:sz w:val="32"/>
              </w:rPr>
              <w:t>格局</w:t>
            </w:r>
          </w:p>
        </w:tc>
      </w:tr>
      <w:tr>
        <w:tc>
          <w:tcPr>
            <w:tcW w:type="dxa" w:w="1701"/>
          </w:tcPr>
          <w:p>
            <w:pPr>
              <w:spacing w:lineRule="exact" w:line="600"/>
              <w:jc w:val="center"/>
            </w:pPr>
            <w:r/>
            <w:r>
              <w:rPr>
                <w:rFonts w:ascii="仿宋_GB2312" w:hAnsi="仿宋_GB2312" w:eastAsia="仿宋_GB2312"/>
                <w:b w:val="0"/>
                <w:color w:val="000000"/>
                <w:sz w:val="32"/>
              </w:rPr>
              <w:t>低端纤维</w:t>
            </w:r>
          </w:p>
        </w:tc>
        <w:tc>
          <w:tcPr>
            <w:tcW w:type="dxa" w:w="3402"/>
          </w:tcPr>
          <w:p>
            <w:pPr>
              <w:spacing w:lineRule="exact" w:line="600"/>
              <w:jc w:val="center"/>
            </w:pPr>
            <w:r/>
            <w:r>
              <w:rPr>
                <w:rFonts w:ascii="仿宋_GB2312" w:hAnsi="仿宋_GB2312" w:eastAsia="仿宋_GB2312"/>
                <w:b w:val="0"/>
                <w:color w:val="000000"/>
                <w:sz w:val="32"/>
              </w:rPr>
              <w:t>同质化</w:t>
            </w:r>
          </w:p>
        </w:tc>
        <w:tc>
          <w:tcPr>
            <w:tcW w:type="dxa" w:w="3685"/>
          </w:tcPr>
          <w:p>
            <w:pPr>
              <w:spacing w:lineRule="exact" w:line="600"/>
              <w:jc w:val="center"/>
            </w:pPr>
            <w:r/>
            <w:r>
              <w:rPr>
                <w:rFonts w:ascii="仿宋_GB2312" w:hAnsi="仿宋_GB2312" w:eastAsia="仿宋_GB2312"/>
                <w:b w:val="0"/>
                <w:color w:val="000000"/>
                <w:sz w:val="32"/>
              </w:rPr>
              <w:t>价格战</w:t>
            </w:r>
          </w:p>
        </w:tc>
      </w:tr>
      <w:tr>
        <w:tc>
          <w:tcPr>
            <w:tcW w:type="dxa" w:w="1701"/>
          </w:tcPr>
          <w:p>
            <w:pPr>
              <w:spacing w:lineRule="exact" w:line="600"/>
              <w:jc w:val="center"/>
            </w:pPr>
            <w:r/>
            <w:r>
              <w:rPr>
                <w:rFonts w:ascii="仿宋_GB2312" w:hAnsi="仿宋_GB2312" w:eastAsia="仿宋_GB2312"/>
                <w:b w:val="0"/>
                <w:color w:val="000000"/>
                <w:sz w:val="32"/>
              </w:rPr>
              <w:t>高端纤维</w:t>
            </w:r>
          </w:p>
        </w:tc>
        <w:tc>
          <w:tcPr>
            <w:tcW w:type="dxa" w:w="3402"/>
          </w:tcPr>
          <w:p>
            <w:pPr>
              <w:spacing w:lineRule="exact" w:line="600"/>
              <w:jc w:val="center"/>
            </w:pPr>
            <w:r/>
            <w:r>
              <w:rPr>
                <w:rFonts w:ascii="仿宋_GB2312" w:hAnsi="仿宋_GB2312" w:eastAsia="仿宋_GB2312"/>
                <w:b w:val="0"/>
                <w:color w:val="000000"/>
                <w:sz w:val="32"/>
              </w:rPr>
              <w:t>国际巨头</w:t>
            </w:r>
          </w:p>
        </w:tc>
        <w:tc>
          <w:tcPr>
            <w:tcW w:type="dxa" w:w="3685"/>
          </w:tcPr>
          <w:p>
            <w:pPr>
              <w:spacing w:lineRule="exact" w:line="600"/>
              <w:jc w:val="center"/>
            </w:pPr>
            <w:r/>
            <w:r>
              <w:rPr>
                <w:rFonts w:ascii="仿宋_GB2312" w:hAnsi="仿宋_GB2312" w:eastAsia="仿宋_GB2312"/>
                <w:b w:val="0"/>
                <w:color w:val="000000"/>
                <w:sz w:val="32"/>
              </w:rPr>
              <w:t>技术壁垒</w:t>
            </w:r>
          </w:p>
        </w:tc>
      </w:tr>
      <w:tr>
        <w:tc>
          <w:tcPr>
            <w:tcW w:type="dxa" w:w="1701"/>
          </w:tcPr>
          <w:p>
            <w:pPr>
              <w:spacing w:lineRule="exact" w:line="600"/>
              <w:jc w:val="center"/>
            </w:pPr>
            <w:r/>
            <w:r>
              <w:rPr>
                <w:rFonts w:ascii="仿宋_GB2312" w:hAnsi="仿宋_GB2312" w:eastAsia="仿宋_GB2312"/>
                <w:b w:val="0"/>
                <w:color w:val="000000"/>
                <w:sz w:val="32"/>
              </w:rPr>
              <w:t>中端甩丝</w:t>
            </w:r>
          </w:p>
        </w:tc>
        <w:tc>
          <w:tcPr>
            <w:tcW w:type="dxa" w:w="3402"/>
          </w:tcPr>
          <w:p>
            <w:pPr>
              <w:spacing w:lineRule="exact" w:line="600"/>
              <w:jc w:val="center"/>
            </w:pPr>
            <w:r/>
            <w:r>
              <w:rPr>
                <w:rFonts w:ascii="仿宋_GB2312" w:hAnsi="仿宋_GB2312" w:eastAsia="仿宋_GB2312"/>
                <w:b w:val="0"/>
                <w:color w:val="000000"/>
                <w:sz w:val="32"/>
              </w:rPr>
              <w:t>同发等</w:t>
            </w:r>
          </w:p>
        </w:tc>
        <w:tc>
          <w:tcPr>
            <w:tcW w:type="dxa" w:w="3685"/>
          </w:tcPr>
          <w:p>
            <w:pPr>
              <w:spacing w:lineRule="exact" w:line="600"/>
              <w:jc w:val="center"/>
            </w:pPr>
            <w:r/>
            <w:r>
              <w:rPr>
                <w:rFonts w:ascii="仿宋_GB2312" w:hAnsi="仿宋_GB2312" w:eastAsia="仿宋_GB2312"/>
                <w:b w:val="0"/>
                <w:color w:val="000000"/>
                <w:sz w:val="32"/>
              </w:rPr>
              <w:t>性价比</w:t>
            </w:r>
          </w:p>
        </w:tc>
      </w:tr>
      <w:tr>
        <w:tc>
          <w:tcPr>
            <w:tcW w:type="dxa" w:w="1701"/>
          </w:tcPr>
          <w:p>
            <w:pPr>
              <w:spacing w:lineRule="exact" w:line="600"/>
              <w:jc w:val="center"/>
            </w:pPr>
            <w:r/>
            <w:r>
              <w:rPr>
                <w:rFonts w:ascii="仿宋_GB2312" w:hAnsi="仿宋_GB2312" w:eastAsia="仿宋_GB2312"/>
                <w:b w:val="0"/>
                <w:color w:val="000000"/>
                <w:sz w:val="32"/>
              </w:rPr>
              <w:t>龙头</w:t>
            </w:r>
          </w:p>
        </w:tc>
        <w:tc>
          <w:tcPr>
            <w:tcW w:type="dxa" w:w="3402"/>
          </w:tcPr>
          <w:p>
            <w:pPr>
              <w:spacing w:lineRule="exact" w:line="600"/>
              <w:jc w:val="center"/>
            </w:pPr>
            <w:r/>
            <w:r>
              <w:rPr>
                <w:rFonts w:ascii="仿宋_GB2312" w:hAnsi="仿宋_GB2312" w:eastAsia="仿宋_GB2312"/>
                <w:b w:val="0"/>
                <w:color w:val="000000"/>
                <w:sz w:val="32"/>
              </w:rPr>
              <w:t>鲁阳</w:t>
            </w:r>
          </w:p>
        </w:tc>
        <w:tc>
          <w:tcPr>
            <w:tcW w:type="dxa" w:w="3685"/>
          </w:tcPr>
          <w:p>
            <w:pPr>
              <w:spacing w:lineRule="exact" w:line="600"/>
              <w:jc w:val="center"/>
            </w:pPr>
            <w:r/>
            <w:r>
              <w:rPr>
                <w:rFonts w:ascii="仿宋_GB2312" w:hAnsi="仿宋_GB2312" w:eastAsia="仿宋_GB2312"/>
                <w:b w:val="0"/>
                <w:color w:val="000000"/>
                <w:sz w:val="32"/>
              </w:rPr>
              <w:t>份额</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（一）集群规模与集聚度</w:t>
      </w:r>
    </w:p>
    <w:p>
      <w:pPr>
        <w:spacing w:lineRule="exact" w:line="600" w:before="0" w:after="0"/>
        <w:ind w:firstLine="420"/>
        <w:jc w:val="both"/>
      </w:pPr>
      <w:r>
        <w:rPr>
          <w:rFonts w:ascii="仿宋_GB2312" w:hAnsi="仿宋_GB2312" w:eastAsia="仿宋_GB2312"/>
          <w:b w:val="0"/>
          <w:color w:val="000000"/>
          <w:sz w:val="32"/>
        </w:rPr>
        <w:t>周村区新材料产业2025年规上企业43家、产值112.9亿元（来源：经济日报，2026）。王村镇耐材占工业近80%，企业高度集聚（来源：经济日报）。形成「矿石开采—焦宝石煅烧—耐材制造」链条（来源：经济日报）。矿物功能填料企业环绕王村与恒星路产业带。</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685"/>
          </w:tcPr>
          <w:p>
            <w:pPr>
              <w:spacing w:lineRule="exact" w:line="600"/>
              <w:jc w:val="center"/>
            </w:pPr>
            <w:r/>
            <w:r>
              <w:rPr>
                <w:rFonts w:ascii="黑体" w:hAnsi="黑体" w:eastAsia="黑体"/>
                <w:b/>
                <w:color w:val="000000"/>
                <w:sz w:val="32"/>
              </w:rPr>
              <w:t>来源</w:t>
            </w:r>
          </w:p>
        </w:tc>
      </w:tr>
      <w:tr>
        <w:tc>
          <w:tcPr>
            <w:tcW w:type="dxa" w:w="1984"/>
          </w:tcPr>
          <w:p>
            <w:pPr>
              <w:spacing w:lineRule="exact" w:line="600"/>
              <w:jc w:val="center"/>
            </w:pPr>
            <w:r/>
            <w:r>
              <w:rPr>
                <w:rFonts w:ascii="仿宋_GB2312" w:hAnsi="仿宋_GB2312" w:eastAsia="仿宋_GB2312"/>
                <w:b w:val="0"/>
                <w:color w:val="000000"/>
                <w:sz w:val="32"/>
              </w:rPr>
              <w:t>规上企业</w:t>
            </w:r>
          </w:p>
        </w:tc>
        <w:tc>
          <w:tcPr>
            <w:tcW w:type="dxa" w:w="3118"/>
          </w:tcPr>
          <w:p>
            <w:pPr>
              <w:spacing w:lineRule="exact" w:line="600"/>
              <w:jc w:val="center"/>
            </w:pPr>
            <w:r/>
            <w:r>
              <w:rPr>
                <w:rFonts w:ascii="仿宋_GB2312" w:hAnsi="仿宋_GB2312" w:eastAsia="仿宋_GB2312"/>
                <w:b w:val="0"/>
                <w:color w:val="000000"/>
                <w:sz w:val="32"/>
              </w:rPr>
              <w:t>43家</w:t>
            </w:r>
          </w:p>
        </w:tc>
        <w:tc>
          <w:tcPr>
            <w:tcW w:type="dxa" w:w="3685"/>
          </w:tcPr>
          <w:p>
            <w:pPr>
              <w:spacing w:lineRule="exact" w:line="600"/>
              <w:jc w:val="center"/>
            </w:pPr>
            <w:r/>
            <w:r>
              <w:rPr>
                <w:rFonts w:ascii="仿宋_GB2312" w:hAnsi="仿宋_GB2312" w:eastAsia="仿宋_GB2312"/>
                <w:b w:val="0"/>
                <w:color w:val="000000"/>
                <w:sz w:val="32"/>
              </w:rPr>
              <w:t>经济日报，2025</w:t>
            </w:r>
          </w:p>
        </w:tc>
      </w:tr>
      <w:tr>
        <w:tc>
          <w:tcPr>
            <w:tcW w:type="dxa" w:w="1984"/>
          </w:tcPr>
          <w:p>
            <w:pPr>
              <w:spacing w:lineRule="exact" w:line="600"/>
              <w:jc w:val="center"/>
            </w:pPr>
            <w:r/>
            <w:r>
              <w:rPr>
                <w:rFonts w:ascii="仿宋_GB2312" w:hAnsi="仿宋_GB2312" w:eastAsia="仿宋_GB2312"/>
                <w:b w:val="0"/>
                <w:color w:val="000000"/>
                <w:sz w:val="32"/>
              </w:rPr>
              <w:t>产值</w:t>
            </w:r>
          </w:p>
        </w:tc>
        <w:tc>
          <w:tcPr>
            <w:tcW w:type="dxa" w:w="3118"/>
          </w:tcPr>
          <w:p>
            <w:pPr>
              <w:spacing w:lineRule="exact" w:line="600"/>
              <w:jc w:val="center"/>
            </w:pPr>
            <w:r/>
            <w:r>
              <w:rPr>
                <w:rFonts w:ascii="仿宋_GB2312" w:hAnsi="仿宋_GB2312" w:eastAsia="仿宋_GB2312"/>
                <w:b w:val="0"/>
                <w:color w:val="000000"/>
                <w:sz w:val="32"/>
              </w:rPr>
              <w:t>112.9亿元</w:t>
            </w:r>
          </w:p>
        </w:tc>
        <w:tc>
          <w:tcPr>
            <w:tcW w:type="dxa" w:w="3685"/>
          </w:tcPr>
          <w:p>
            <w:pPr>
              <w:spacing w:lineRule="exact" w:line="600"/>
              <w:jc w:val="center"/>
            </w:pPr>
            <w:r/>
            <w:r>
              <w:rPr>
                <w:rFonts w:ascii="仿宋_GB2312" w:hAnsi="仿宋_GB2312" w:eastAsia="仿宋_GB2312"/>
                <w:b w:val="0"/>
                <w:color w:val="000000"/>
                <w:sz w:val="32"/>
              </w:rPr>
              <w:t>经济日报，2025</w:t>
            </w:r>
          </w:p>
        </w:tc>
      </w:tr>
      <w:tr>
        <w:tc>
          <w:tcPr>
            <w:tcW w:type="dxa" w:w="1984"/>
          </w:tcPr>
          <w:p>
            <w:pPr>
              <w:spacing w:lineRule="exact" w:line="600"/>
              <w:jc w:val="center"/>
            </w:pPr>
            <w:r/>
            <w:r>
              <w:rPr>
                <w:rFonts w:ascii="仿宋_GB2312" w:hAnsi="仿宋_GB2312" w:eastAsia="仿宋_GB2312"/>
                <w:b w:val="0"/>
                <w:color w:val="000000"/>
                <w:sz w:val="32"/>
              </w:rPr>
              <w:t>王村耐材占比</w:t>
            </w:r>
          </w:p>
        </w:tc>
        <w:tc>
          <w:tcPr>
            <w:tcW w:type="dxa" w:w="3118"/>
          </w:tcPr>
          <w:p>
            <w:pPr>
              <w:spacing w:lineRule="exact" w:line="600"/>
              <w:jc w:val="center"/>
            </w:pPr>
            <w:r/>
            <w:r>
              <w:rPr>
                <w:rFonts w:ascii="仿宋_GB2312" w:hAnsi="仿宋_GB2312" w:eastAsia="仿宋_GB2312"/>
                <w:b w:val="0"/>
                <w:color w:val="000000"/>
                <w:sz w:val="32"/>
              </w:rPr>
              <w:t>近80%</w:t>
            </w:r>
          </w:p>
        </w:tc>
        <w:tc>
          <w:tcPr>
            <w:tcW w:type="dxa" w:w="3685"/>
          </w:tcPr>
          <w:p>
            <w:pPr>
              <w:spacing w:lineRule="exact" w:line="600"/>
              <w:jc w:val="center"/>
            </w:pPr>
            <w:r/>
            <w:r>
              <w:rPr>
                <w:rFonts w:ascii="仿宋_GB2312" w:hAnsi="仿宋_GB2312" w:eastAsia="仿宋_GB2312"/>
                <w:b w:val="0"/>
                <w:color w:val="000000"/>
                <w:sz w:val="32"/>
              </w:rPr>
              <w:t>经济日报</w:t>
            </w:r>
          </w:p>
        </w:tc>
      </w:tr>
      <w:tr>
        <w:tc>
          <w:tcPr>
            <w:tcW w:type="dxa" w:w="1984"/>
          </w:tcPr>
          <w:p>
            <w:pPr>
              <w:spacing w:lineRule="exact" w:line="600"/>
              <w:jc w:val="center"/>
            </w:pPr>
            <w:r/>
            <w:r>
              <w:rPr>
                <w:rFonts w:ascii="仿宋_GB2312" w:hAnsi="仿宋_GB2312" w:eastAsia="仿宋_GB2312"/>
                <w:b w:val="0"/>
                <w:color w:val="000000"/>
                <w:sz w:val="32"/>
              </w:rPr>
              <w:t>产业链</w:t>
            </w:r>
          </w:p>
        </w:tc>
        <w:tc>
          <w:tcPr>
            <w:tcW w:type="dxa" w:w="3118"/>
          </w:tcPr>
          <w:p>
            <w:pPr>
              <w:spacing w:lineRule="exact" w:line="600"/>
              <w:jc w:val="center"/>
            </w:pPr>
            <w:r/>
            <w:r>
              <w:rPr>
                <w:rFonts w:ascii="仿宋_GB2312" w:hAnsi="仿宋_GB2312" w:eastAsia="仿宋_GB2312"/>
                <w:b w:val="0"/>
                <w:color w:val="000000"/>
                <w:sz w:val="32"/>
              </w:rPr>
              <w:t>开采-煅烧-制造</w:t>
            </w:r>
          </w:p>
        </w:tc>
        <w:tc>
          <w:tcPr>
            <w:tcW w:type="dxa" w:w="3685"/>
          </w:tcPr>
          <w:p>
            <w:pPr>
              <w:spacing w:lineRule="exact" w:line="600"/>
              <w:jc w:val="center"/>
            </w:pPr>
            <w:r/>
            <w:r>
              <w:rPr>
                <w:rFonts w:ascii="仿宋_GB2312" w:hAnsi="仿宋_GB2312" w:eastAsia="仿宋_GB2312"/>
                <w:b w:val="0"/>
                <w:color w:val="000000"/>
                <w:sz w:val="32"/>
              </w:rPr>
              <w:t>经济日报</w:t>
            </w:r>
          </w:p>
        </w:tc>
      </w:tr>
    </w:tbl>
    <w:p>
      <w:pPr>
        <w:spacing w:lineRule="exact" w:line="600" w:before="120" w:after="120"/>
        <w:ind w:firstLine="420"/>
        <w:jc w:val="left"/>
      </w:pPr>
      <w:r>
        <w:rPr>
          <w:rFonts w:ascii="楷体_GB2312" w:hAnsi="楷体_GB2312" w:eastAsia="楷体_GB2312"/>
          <w:b w:val="0"/>
          <w:color w:val="000000"/>
          <w:sz w:val="32"/>
        </w:rPr>
        <w:t>（二）链主与骨干</w:t>
      </w:r>
    </w:p>
    <w:p>
      <w:pPr>
        <w:spacing w:lineRule="exact" w:line="600" w:before="0" w:after="0"/>
        <w:ind w:firstLine="420"/>
        <w:jc w:val="both"/>
      </w:pPr>
      <w:r>
        <w:rPr>
          <w:rFonts w:ascii="仿宋_GB2312" w:hAnsi="仿宋_GB2312" w:eastAsia="仿宋_GB2312"/>
          <w:b w:val="0"/>
          <w:color w:val="000000"/>
          <w:sz w:val="32"/>
        </w:rPr>
        <w:t>嘉岳新材料为耐材链主，16万吨/年节能环保铝硅新材料项目使焦化炭素硅铝基耐火材料市占全国第一、亩均纳税20万元（来源：经济日报，2026）。淄博同发为中型专业填料骨干，鲁阳节能（沂源）为全市陶瓷纤维龙头（来源：华经院）。骨干企业引领绿色智能改造。</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企业</w:t>
            </w:r>
          </w:p>
        </w:tc>
        <w:tc>
          <w:tcPr>
            <w:tcW w:type="dxa" w:w="3402"/>
          </w:tcPr>
          <w:p>
            <w:pPr>
              <w:spacing w:lineRule="exact" w:line="600"/>
              <w:jc w:val="center"/>
            </w:pPr>
            <w:r/>
            <w:r>
              <w:rPr>
                <w:rFonts w:ascii="黑体" w:hAnsi="黑体" w:eastAsia="黑体"/>
                <w:b/>
                <w:color w:val="000000"/>
                <w:sz w:val="32"/>
              </w:rPr>
              <w:t>角色</w:t>
            </w:r>
          </w:p>
        </w:tc>
        <w:tc>
          <w:tcPr>
            <w:tcW w:type="dxa" w:w="3685"/>
          </w:tcPr>
          <w:p>
            <w:pPr>
              <w:spacing w:lineRule="exact" w:line="600"/>
              <w:jc w:val="center"/>
            </w:pPr>
            <w:r/>
            <w:r>
              <w:rPr>
                <w:rFonts w:ascii="黑体" w:hAnsi="黑体" w:eastAsia="黑体"/>
                <w:b/>
                <w:color w:val="000000"/>
                <w:sz w:val="32"/>
              </w:rPr>
              <w:t>数据</w:t>
            </w:r>
          </w:p>
        </w:tc>
      </w:tr>
      <w:tr>
        <w:tc>
          <w:tcPr>
            <w:tcW w:type="dxa" w:w="1701"/>
          </w:tcPr>
          <w:p>
            <w:pPr>
              <w:spacing w:lineRule="exact" w:line="600"/>
              <w:jc w:val="center"/>
            </w:pPr>
            <w:r/>
            <w:r>
              <w:rPr>
                <w:rFonts w:ascii="仿宋_GB2312" w:hAnsi="仿宋_GB2312" w:eastAsia="仿宋_GB2312"/>
                <w:b w:val="0"/>
                <w:color w:val="000000"/>
                <w:sz w:val="32"/>
              </w:rPr>
              <w:t>嘉岳新材料</w:t>
            </w:r>
          </w:p>
        </w:tc>
        <w:tc>
          <w:tcPr>
            <w:tcW w:type="dxa" w:w="3402"/>
          </w:tcPr>
          <w:p>
            <w:pPr>
              <w:spacing w:lineRule="exact" w:line="600"/>
              <w:jc w:val="center"/>
            </w:pPr>
            <w:r/>
            <w:r>
              <w:rPr>
                <w:rFonts w:ascii="仿宋_GB2312" w:hAnsi="仿宋_GB2312" w:eastAsia="仿宋_GB2312"/>
                <w:b w:val="0"/>
                <w:color w:val="000000"/>
                <w:sz w:val="32"/>
              </w:rPr>
              <w:t>耐材链主</w:t>
            </w:r>
          </w:p>
        </w:tc>
        <w:tc>
          <w:tcPr>
            <w:tcW w:type="dxa" w:w="3685"/>
          </w:tcPr>
          <w:p>
            <w:pPr>
              <w:spacing w:lineRule="exact" w:line="600"/>
              <w:jc w:val="center"/>
            </w:pPr>
            <w:r/>
            <w:r>
              <w:rPr>
                <w:rFonts w:ascii="仿宋_GB2312" w:hAnsi="仿宋_GB2312" w:eastAsia="仿宋_GB2312"/>
                <w:b w:val="0"/>
                <w:color w:val="000000"/>
                <w:sz w:val="32"/>
              </w:rPr>
              <w:t>16万吨/年，市占第一</w:t>
            </w:r>
          </w:p>
        </w:tc>
      </w:tr>
      <w:tr>
        <w:tc>
          <w:tcPr>
            <w:tcW w:type="dxa" w:w="1701"/>
          </w:tcPr>
          <w:p>
            <w:pPr>
              <w:spacing w:lineRule="exact" w:line="600"/>
              <w:jc w:val="center"/>
            </w:pPr>
            <w:r/>
            <w:r>
              <w:rPr>
                <w:rFonts w:ascii="仿宋_GB2312" w:hAnsi="仿宋_GB2312" w:eastAsia="仿宋_GB2312"/>
                <w:b w:val="0"/>
                <w:color w:val="000000"/>
                <w:sz w:val="32"/>
              </w:rPr>
              <w:t>淄博同发</w:t>
            </w:r>
          </w:p>
        </w:tc>
        <w:tc>
          <w:tcPr>
            <w:tcW w:type="dxa" w:w="3402"/>
          </w:tcPr>
          <w:p>
            <w:pPr>
              <w:spacing w:lineRule="exact" w:line="600"/>
              <w:jc w:val="center"/>
            </w:pPr>
            <w:r/>
            <w:r>
              <w:rPr>
                <w:rFonts w:ascii="仿宋_GB2312" w:hAnsi="仿宋_GB2312" w:eastAsia="仿宋_GB2312"/>
                <w:b w:val="0"/>
                <w:color w:val="000000"/>
                <w:sz w:val="32"/>
              </w:rPr>
              <w:t>填料骨干</w:t>
            </w:r>
          </w:p>
        </w:tc>
        <w:tc>
          <w:tcPr>
            <w:tcW w:type="dxa" w:w="3685"/>
          </w:tcPr>
          <w:p>
            <w:pPr>
              <w:spacing w:lineRule="exact" w:line="600"/>
              <w:jc w:val="center"/>
            </w:pPr>
            <w:r/>
            <w:r>
              <w:rPr>
                <w:rFonts w:ascii="仿宋_GB2312" w:hAnsi="仿宋_GB2312" w:eastAsia="仿宋_GB2312"/>
                <w:b w:val="0"/>
                <w:color w:val="000000"/>
                <w:sz w:val="32"/>
              </w:rPr>
              <w:t>1万余吨</w:t>
            </w:r>
          </w:p>
        </w:tc>
      </w:tr>
      <w:tr>
        <w:tc>
          <w:tcPr>
            <w:tcW w:type="dxa" w:w="1701"/>
          </w:tcPr>
          <w:p>
            <w:pPr>
              <w:spacing w:lineRule="exact" w:line="600"/>
              <w:jc w:val="center"/>
            </w:pPr>
            <w:r/>
            <w:r>
              <w:rPr>
                <w:rFonts w:ascii="仿宋_GB2312" w:hAnsi="仿宋_GB2312" w:eastAsia="仿宋_GB2312"/>
                <w:b w:val="0"/>
                <w:color w:val="000000"/>
                <w:sz w:val="32"/>
              </w:rPr>
              <w:t>鲁阳节能</w:t>
            </w:r>
          </w:p>
        </w:tc>
        <w:tc>
          <w:tcPr>
            <w:tcW w:type="dxa" w:w="3402"/>
          </w:tcPr>
          <w:p>
            <w:pPr>
              <w:spacing w:lineRule="exact" w:line="600"/>
              <w:jc w:val="center"/>
            </w:pPr>
            <w:r/>
            <w:r>
              <w:rPr>
                <w:rFonts w:ascii="仿宋_GB2312" w:hAnsi="仿宋_GB2312" w:eastAsia="仿宋_GB2312"/>
                <w:b w:val="0"/>
                <w:color w:val="000000"/>
                <w:sz w:val="32"/>
              </w:rPr>
              <w:t>纤维龙头</w:t>
            </w:r>
          </w:p>
        </w:tc>
        <w:tc>
          <w:tcPr>
            <w:tcW w:type="dxa" w:w="3685"/>
          </w:tcPr>
          <w:p>
            <w:pPr>
              <w:spacing w:lineRule="exact" w:line="600"/>
              <w:jc w:val="center"/>
            </w:pPr>
            <w:r/>
            <w:r>
              <w:rPr>
                <w:rFonts w:ascii="仿宋_GB2312" w:hAnsi="仿宋_GB2312" w:eastAsia="仿宋_GB2312"/>
                <w:b w:val="0"/>
                <w:color w:val="000000"/>
                <w:sz w:val="32"/>
              </w:rPr>
              <w:t>10万吨+</w:t>
            </w:r>
          </w:p>
        </w:tc>
      </w:tr>
      <w:tr>
        <w:tc>
          <w:tcPr>
            <w:tcW w:type="dxa" w:w="1701"/>
          </w:tcPr>
          <w:p>
            <w:pPr>
              <w:spacing w:lineRule="exact" w:line="600"/>
              <w:jc w:val="center"/>
            </w:pPr>
            <w:r/>
            <w:r>
              <w:rPr>
                <w:rFonts w:ascii="仿宋_GB2312" w:hAnsi="仿宋_GB2312" w:eastAsia="仿宋_GB2312"/>
                <w:b w:val="0"/>
                <w:color w:val="000000"/>
                <w:sz w:val="32"/>
              </w:rPr>
              <w:t>中材绿建</w:t>
            </w:r>
          </w:p>
        </w:tc>
        <w:tc>
          <w:tcPr>
            <w:tcW w:type="dxa" w:w="3402"/>
          </w:tcPr>
          <w:p>
            <w:pPr>
              <w:spacing w:lineRule="exact" w:line="600"/>
              <w:jc w:val="center"/>
            </w:pPr>
            <w:r/>
            <w:r>
              <w:rPr>
                <w:rFonts w:ascii="仿宋_GB2312" w:hAnsi="仿宋_GB2312" w:eastAsia="仿宋_GB2312"/>
                <w:b w:val="0"/>
                <w:color w:val="000000"/>
                <w:sz w:val="32"/>
              </w:rPr>
              <w:t>建筑新材料</w:t>
            </w:r>
          </w:p>
        </w:tc>
        <w:tc>
          <w:tcPr>
            <w:tcW w:type="dxa" w:w="3685"/>
          </w:tcPr>
          <w:p>
            <w:pPr>
              <w:spacing w:lineRule="exact" w:line="600"/>
              <w:jc w:val="center"/>
            </w:pPr>
            <w:r/>
            <w:r>
              <w:rPr>
                <w:rFonts w:ascii="仿宋_GB2312" w:hAnsi="仿宋_GB2312" w:eastAsia="仿宋_GB2312"/>
                <w:b w:val="0"/>
                <w:color w:val="000000"/>
                <w:sz w:val="32"/>
              </w:rPr>
              <w:t>超低能耗</w:t>
            </w:r>
          </w:p>
        </w:tc>
      </w:tr>
    </w:tbl>
    <w:p>
      <w:pPr>
        <w:spacing w:lineRule="exact" w:line="600" w:before="120" w:after="120"/>
        <w:ind w:firstLine="420"/>
        <w:jc w:val="left"/>
      </w:pPr>
      <w:r>
        <w:rPr>
          <w:rFonts w:ascii="楷体_GB2312" w:hAnsi="楷体_GB2312" w:eastAsia="楷体_GB2312"/>
          <w:b w:val="0"/>
          <w:color w:val="000000"/>
          <w:sz w:val="32"/>
        </w:rPr>
        <w:t>（三）中小企业与专精特新</w:t>
      </w:r>
    </w:p>
    <w:p>
      <w:pPr>
        <w:spacing w:lineRule="exact" w:line="600" w:before="0" w:after="0"/>
        <w:ind w:firstLine="420"/>
        <w:jc w:val="both"/>
      </w:pPr>
      <w:r>
        <w:rPr>
          <w:rFonts w:ascii="仿宋_GB2312" w:hAnsi="仿宋_GB2312" w:eastAsia="仿宋_GB2312"/>
          <w:b w:val="0"/>
          <w:color w:val="000000"/>
          <w:sz w:val="32"/>
        </w:rPr>
        <w:t>同发等中小企业构成填料供给弹性层，员工100—200人、年营业额2000—5000万元（来源：企业名录）。周村耐材中小企业众多，通过ISO9001等认证提升质量（来源：同发官网）。公开资料有限，行业共性研判：中小企业在细分型号、定制施工方面具灵活优势。</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中小企业</w:t>
            </w:r>
          </w:p>
        </w:tc>
        <w:tc>
          <w:tcPr>
            <w:tcW w:type="dxa" w:w="3402"/>
          </w:tcPr>
          <w:p>
            <w:pPr>
              <w:spacing w:lineRule="exact" w:line="600"/>
              <w:jc w:val="center"/>
            </w:pPr>
            <w:r/>
            <w:r>
              <w:rPr>
                <w:rFonts w:ascii="黑体" w:hAnsi="黑体" w:eastAsia="黑体"/>
                <w:b/>
                <w:color w:val="000000"/>
                <w:sz w:val="32"/>
              </w:rPr>
              <w:t>规模</w:t>
            </w:r>
          </w:p>
        </w:tc>
        <w:tc>
          <w:tcPr>
            <w:tcW w:type="dxa" w:w="3685"/>
          </w:tcPr>
          <w:p>
            <w:pPr>
              <w:spacing w:lineRule="exact" w:line="600"/>
              <w:jc w:val="center"/>
            </w:pPr>
            <w:r/>
            <w:r>
              <w:rPr>
                <w:rFonts w:ascii="黑体" w:hAnsi="黑体" w:eastAsia="黑体"/>
                <w:b/>
                <w:color w:val="000000"/>
                <w:sz w:val="32"/>
              </w:rPr>
              <w:t>环节</w:t>
            </w:r>
          </w:p>
        </w:tc>
      </w:tr>
      <w:tr>
        <w:tc>
          <w:tcPr>
            <w:tcW w:type="dxa" w:w="1701"/>
          </w:tcPr>
          <w:p>
            <w:pPr>
              <w:spacing w:lineRule="exact" w:line="600"/>
              <w:jc w:val="center"/>
            </w:pPr>
            <w:r/>
            <w:r>
              <w:rPr>
                <w:rFonts w:ascii="仿宋_GB2312" w:hAnsi="仿宋_GB2312" w:eastAsia="仿宋_GB2312"/>
                <w:b w:val="0"/>
                <w:color w:val="000000"/>
                <w:sz w:val="32"/>
              </w:rPr>
              <w:t>淄博同发</w:t>
            </w:r>
          </w:p>
        </w:tc>
        <w:tc>
          <w:tcPr>
            <w:tcW w:type="dxa" w:w="3402"/>
          </w:tcPr>
          <w:p>
            <w:pPr>
              <w:spacing w:lineRule="exact" w:line="600"/>
              <w:jc w:val="center"/>
            </w:pPr>
            <w:r/>
            <w:r>
              <w:rPr>
                <w:rFonts w:ascii="仿宋_GB2312" w:hAnsi="仿宋_GB2312" w:eastAsia="仿宋_GB2312"/>
                <w:b w:val="0"/>
                <w:color w:val="000000"/>
                <w:sz w:val="32"/>
              </w:rPr>
              <w:t>100-200人/2000-5000万</w:t>
            </w:r>
          </w:p>
        </w:tc>
        <w:tc>
          <w:tcPr>
            <w:tcW w:type="dxa" w:w="3685"/>
          </w:tcPr>
          <w:p>
            <w:pPr>
              <w:spacing w:lineRule="exact" w:line="600"/>
              <w:jc w:val="center"/>
            </w:pPr>
            <w:r/>
            <w:r>
              <w:rPr>
                <w:rFonts w:ascii="仿宋_GB2312" w:hAnsi="仿宋_GB2312" w:eastAsia="仿宋_GB2312"/>
                <w:b w:val="0"/>
                <w:color w:val="000000"/>
                <w:sz w:val="32"/>
              </w:rPr>
              <w:t>填料</w:t>
            </w:r>
          </w:p>
        </w:tc>
      </w:tr>
      <w:tr>
        <w:tc>
          <w:tcPr>
            <w:tcW w:type="dxa" w:w="1701"/>
          </w:tcPr>
          <w:p>
            <w:pPr>
              <w:spacing w:lineRule="exact" w:line="600"/>
              <w:jc w:val="center"/>
            </w:pPr>
            <w:r/>
            <w:r>
              <w:rPr>
                <w:rFonts w:ascii="仿宋_GB2312" w:hAnsi="仿宋_GB2312" w:eastAsia="仿宋_GB2312"/>
                <w:b w:val="0"/>
                <w:color w:val="000000"/>
                <w:sz w:val="32"/>
              </w:rPr>
              <w:t>耐材中小</w:t>
            </w:r>
          </w:p>
        </w:tc>
        <w:tc>
          <w:tcPr>
            <w:tcW w:type="dxa" w:w="3402"/>
          </w:tcPr>
          <w:p>
            <w:pPr>
              <w:spacing w:lineRule="exact" w:line="600"/>
              <w:jc w:val="center"/>
            </w:pPr>
            <w:r/>
            <w:r>
              <w:rPr>
                <w:rFonts w:ascii="仿宋_GB2312" w:hAnsi="仿宋_GB2312" w:eastAsia="仿宋_GB2312"/>
                <w:b w:val="0"/>
                <w:color w:val="000000"/>
                <w:sz w:val="32"/>
              </w:rPr>
              <w:t>众多</w:t>
            </w:r>
          </w:p>
        </w:tc>
        <w:tc>
          <w:tcPr>
            <w:tcW w:type="dxa" w:w="3685"/>
          </w:tcPr>
          <w:p>
            <w:pPr>
              <w:spacing w:lineRule="exact" w:line="600"/>
              <w:jc w:val="center"/>
            </w:pPr>
            <w:r/>
            <w:r>
              <w:rPr>
                <w:rFonts w:ascii="仿宋_GB2312" w:hAnsi="仿宋_GB2312" w:eastAsia="仿宋_GB2312"/>
                <w:b w:val="0"/>
                <w:color w:val="000000"/>
                <w:sz w:val="32"/>
              </w:rPr>
              <w:t>配套</w:t>
            </w:r>
          </w:p>
        </w:tc>
      </w:tr>
      <w:tr>
        <w:tc>
          <w:tcPr>
            <w:tcW w:type="dxa" w:w="1701"/>
          </w:tcPr>
          <w:p>
            <w:pPr>
              <w:spacing w:lineRule="exact" w:line="600"/>
              <w:jc w:val="center"/>
            </w:pPr>
            <w:r/>
            <w:r>
              <w:rPr>
                <w:rFonts w:ascii="仿宋_GB2312" w:hAnsi="仿宋_GB2312" w:eastAsia="仿宋_GB2312"/>
                <w:b w:val="0"/>
                <w:color w:val="000000"/>
                <w:sz w:val="32"/>
              </w:rPr>
              <w:t>认证</w:t>
            </w:r>
          </w:p>
        </w:tc>
        <w:tc>
          <w:tcPr>
            <w:tcW w:type="dxa" w:w="3402"/>
          </w:tcPr>
          <w:p>
            <w:pPr>
              <w:spacing w:lineRule="exact" w:line="600"/>
              <w:jc w:val="center"/>
            </w:pPr>
            <w:r/>
            <w:r>
              <w:rPr>
                <w:rFonts w:ascii="仿宋_GB2312" w:hAnsi="仿宋_GB2312" w:eastAsia="仿宋_GB2312"/>
                <w:b w:val="0"/>
                <w:color w:val="000000"/>
                <w:sz w:val="32"/>
              </w:rPr>
              <w:t>ISO9001</w:t>
            </w:r>
          </w:p>
        </w:tc>
        <w:tc>
          <w:tcPr>
            <w:tcW w:type="dxa" w:w="3685"/>
          </w:tcPr>
          <w:p>
            <w:pPr>
              <w:spacing w:lineRule="exact" w:line="600"/>
              <w:jc w:val="center"/>
            </w:pPr>
            <w:r/>
            <w:r>
              <w:rPr>
                <w:rFonts w:ascii="仿宋_GB2312" w:hAnsi="仿宋_GB2312" w:eastAsia="仿宋_GB2312"/>
                <w:b w:val="0"/>
                <w:color w:val="000000"/>
                <w:sz w:val="32"/>
              </w:rPr>
              <w:t>质量</w:t>
            </w:r>
          </w:p>
        </w:tc>
      </w:tr>
      <w:tr>
        <w:tc>
          <w:tcPr>
            <w:tcW w:type="dxa" w:w="1701"/>
          </w:tcPr>
          <w:p>
            <w:pPr>
              <w:spacing w:lineRule="exact" w:line="600"/>
              <w:jc w:val="center"/>
            </w:pPr>
            <w:r/>
            <w:r>
              <w:rPr>
                <w:rFonts w:ascii="仿宋_GB2312" w:hAnsi="仿宋_GB2312" w:eastAsia="仿宋_GB2312"/>
                <w:b w:val="0"/>
                <w:color w:val="000000"/>
                <w:sz w:val="32"/>
              </w:rPr>
              <w:t>公开资料</w:t>
            </w:r>
          </w:p>
        </w:tc>
        <w:tc>
          <w:tcPr>
            <w:tcW w:type="dxa" w:w="3402"/>
          </w:tcPr>
          <w:p>
            <w:pPr>
              <w:spacing w:lineRule="exact" w:line="600"/>
              <w:jc w:val="center"/>
            </w:pPr>
            <w:r/>
            <w:r>
              <w:rPr>
                <w:rFonts w:ascii="仿宋_GB2312" w:hAnsi="仿宋_GB2312" w:eastAsia="仿宋_GB2312"/>
                <w:b w:val="0"/>
                <w:color w:val="000000"/>
                <w:sz w:val="32"/>
              </w:rPr>
              <w:t>有限</w:t>
            </w:r>
          </w:p>
        </w:tc>
        <w:tc>
          <w:tcPr>
            <w:tcW w:type="dxa" w:w="3685"/>
          </w:tcPr>
          <w:p>
            <w:pPr>
              <w:spacing w:lineRule="exact" w:line="600"/>
              <w:jc w:val="center"/>
            </w:pPr>
            <w:r/>
            <w:r>
              <w:rPr>
                <w:rFonts w:ascii="仿宋_GB2312" w:hAnsi="仿宋_GB2312" w:eastAsia="仿宋_GB2312"/>
                <w:b w:val="0"/>
                <w:color w:val="000000"/>
                <w:sz w:val="32"/>
              </w:rPr>
              <w:t>研判</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（一）熔融甩丝与成型工艺</w:t>
      </w:r>
    </w:p>
    <w:p>
      <w:pPr>
        <w:spacing w:lineRule="exact" w:line="600" w:before="0" w:after="0"/>
        <w:ind w:firstLine="420"/>
        <w:jc w:val="both"/>
      </w:pPr>
      <w:r>
        <w:rPr>
          <w:rFonts w:ascii="仿宋_GB2312" w:hAnsi="仿宋_GB2312" w:eastAsia="仿宋_GB2312"/>
          <w:b w:val="0"/>
          <w:color w:val="000000"/>
          <w:sz w:val="32"/>
        </w:rPr>
        <w:t>同发采用连熔连甩工艺（非低档喷吹短纤维），纤维丝长、导热系数小、抗风速好（来源：同发官网）。拥有连熔连甩线6条、真空成型线6条、晶体氧化铝纤维线1条（来源：同发企业介绍）。针刺毯连续使用温度可达1260℃、短时1430℃（来源：同发产品说明）。工艺水平居中高端。</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工艺</w:t>
            </w:r>
          </w:p>
        </w:tc>
        <w:tc>
          <w:tcPr>
            <w:tcW w:type="dxa" w:w="3118"/>
          </w:tcPr>
          <w:p>
            <w:pPr>
              <w:spacing w:lineRule="exact" w:line="600"/>
              <w:jc w:val="center"/>
            </w:pPr>
            <w:r/>
            <w:r>
              <w:rPr>
                <w:rFonts w:ascii="黑体" w:hAnsi="黑体" w:eastAsia="黑体"/>
                <w:b/>
                <w:color w:val="000000"/>
                <w:sz w:val="32"/>
              </w:rPr>
              <w:t>水平</w:t>
            </w:r>
          </w:p>
        </w:tc>
        <w:tc>
          <w:tcPr>
            <w:tcW w:type="dxa" w:w="3685"/>
          </w:tcPr>
          <w:p>
            <w:pPr>
              <w:spacing w:lineRule="exact" w:line="600"/>
              <w:jc w:val="center"/>
            </w:pPr>
            <w:r/>
            <w:r>
              <w:rPr>
                <w:rFonts w:ascii="黑体" w:hAnsi="黑体" w:eastAsia="黑体"/>
                <w:b/>
                <w:color w:val="000000"/>
                <w:sz w:val="32"/>
              </w:rPr>
              <w:t>指标</w:t>
            </w:r>
          </w:p>
        </w:tc>
      </w:tr>
      <w:tr>
        <w:tc>
          <w:tcPr>
            <w:tcW w:type="dxa" w:w="1984"/>
          </w:tcPr>
          <w:p>
            <w:pPr>
              <w:spacing w:lineRule="exact" w:line="600"/>
              <w:jc w:val="center"/>
            </w:pPr>
            <w:r/>
            <w:r>
              <w:rPr>
                <w:rFonts w:ascii="仿宋_GB2312" w:hAnsi="仿宋_GB2312" w:eastAsia="仿宋_GB2312"/>
                <w:b w:val="0"/>
                <w:color w:val="000000"/>
                <w:sz w:val="32"/>
              </w:rPr>
              <w:t>连熔连甩</w:t>
            </w:r>
          </w:p>
        </w:tc>
        <w:tc>
          <w:tcPr>
            <w:tcW w:type="dxa" w:w="3118"/>
          </w:tcPr>
          <w:p>
            <w:pPr>
              <w:spacing w:lineRule="exact" w:line="600"/>
              <w:jc w:val="center"/>
            </w:pPr>
            <w:r/>
            <w:r>
              <w:rPr>
                <w:rFonts w:ascii="仿宋_GB2312" w:hAnsi="仿宋_GB2312" w:eastAsia="仿宋_GB2312"/>
                <w:b w:val="0"/>
                <w:color w:val="000000"/>
                <w:sz w:val="32"/>
              </w:rPr>
              <w:t>优于喷吹</w:t>
            </w:r>
          </w:p>
        </w:tc>
        <w:tc>
          <w:tcPr>
            <w:tcW w:type="dxa" w:w="3685"/>
          </w:tcPr>
          <w:p>
            <w:pPr>
              <w:spacing w:lineRule="exact" w:line="600"/>
              <w:jc w:val="center"/>
            </w:pPr>
            <w:r/>
            <w:r>
              <w:rPr>
                <w:rFonts w:ascii="仿宋_GB2312" w:hAnsi="仿宋_GB2312" w:eastAsia="仿宋_GB2312"/>
                <w:b w:val="0"/>
                <w:color w:val="000000"/>
                <w:sz w:val="32"/>
              </w:rPr>
              <w:t>丝长</w:t>
            </w:r>
          </w:p>
        </w:tc>
      </w:tr>
      <w:tr>
        <w:tc>
          <w:tcPr>
            <w:tcW w:type="dxa" w:w="1984"/>
          </w:tcPr>
          <w:p>
            <w:pPr>
              <w:spacing w:lineRule="exact" w:line="600"/>
              <w:jc w:val="center"/>
            </w:pPr>
            <w:r/>
            <w:r>
              <w:rPr>
                <w:rFonts w:ascii="仿宋_GB2312" w:hAnsi="仿宋_GB2312" w:eastAsia="仿宋_GB2312"/>
                <w:b w:val="0"/>
                <w:color w:val="000000"/>
                <w:sz w:val="32"/>
              </w:rPr>
              <w:t>真空成型</w:t>
            </w:r>
          </w:p>
        </w:tc>
        <w:tc>
          <w:tcPr>
            <w:tcW w:type="dxa" w:w="3118"/>
          </w:tcPr>
          <w:p>
            <w:pPr>
              <w:spacing w:lineRule="exact" w:line="600"/>
              <w:jc w:val="center"/>
            </w:pPr>
            <w:r/>
            <w:r>
              <w:rPr>
                <w:rFonts w:ascii="仿宋_GB2312" w:hAnsi="仿宋_GB2312" w:eastAsia="仿宋_GB2312"/>
                <w:b w:val="0"/>
                <w:color w:val="000000"/>
                <w:sz w:val="32"/>
              </w:rPr>
              <w:t>湿法</w:t>
            </w:r>
          </w:p>
        </w:tc>
        <w:tc>
          <w:tcPr>
            <w:tcW w:type="dxa" w:w="3685"/>
          </w:tcPr>
          <w:p>
            <w:pPr>
              <w:spacing w:lineRule="exact" w:line="600"/>
              <w:jc w:val="center"/>
            </w:pPr>
            <w:r/>
            <w:r>
              <w:rPr>
                <w:rFonts w:ascii="仿宋_GB2312" w:hAnsi="仿宋_GB2312" w:eastAsia="仿宋_GB2312"/>
                <w:b w:val="0"/>
                <w:color w:val="000000"/>
                <w:sz w:val="32"/>
              </w:rPr>
              <w:t>刚性</w:t>
            </w:r>
          </w:p>
        </w:tc>
      </w:tr>
      <w:tr>
        <w:tc>
          <w:tcPr>
            <w:tcW w:type="dxa" w:w="1984"/>
          </w:tcPr>
          <w:p>
            <w:pPr>
              <w:spacing w:lineRule="exact" w:line="600"/>
              <w:jc w:val="center"/>
            </w:pPr>
            <w:r/>
            <w:r>
              <w:rPr>
                <w:rFonts w:ascii="仿宋_GB2312" w:hAnsi="仿宋_GB2312" w:eastAsia="仿宋_GB2312"/>
                <w:b w:val="0"/>
                <w:color w:val="000000"/>
                <w:sz w:val="32"/>
              </w:rPr>
              <w:t>晶体氧化铝</w:t>
            </w:r>
          </w:p>
        </w:tc>
        <w:tc>
          <w:tcPr>
            <w:tcW w:type="dxa" w:w="3118"/>
          </w:tcPr>
          <w:p>
            <w:pPr>
              <w:spacing w:lineRule="exact" w:line="600"/>
              <w:jc w:val="center"/>
            </w:pPr>
            <w:r/>
            <w:r>
              <w:rPr>
                <w:rFonts w:ascii="仿宋_GB2312" w:hAnsi="仿宋_GB2312" w:eastAsia="仿宋_GB2312"/>
                <w:b w:val="0"/>
                <w:color w:val="000000"/>
                <w:sz w:val="32"/>
              </w:rPr>
              <w:t>高端线</w:t>
            </w:r>
          </w:p>
        </w:tc>
        <w:tc>
          <w:tcPr>
            <w:tcW w:type="dxa" w:w="3685"/>
          </w:tcPr>
          <w:p>
            <w:pPr>
              <w:spacing w:lineRule="exact" w:line="600"/>
              <w:jc w:val="center"/>
            </w:pPr>
            <w:r/>
            <w:r>
              <w:rPr>
                <w:rFonts w:ascii="仿宋_GB2312" w:hAnsi="仿宋_GB2312" w:eastAsia="仿宋_GB2312"/>
                <w:b w:val="0"/>
                <w:color w:val="000000"/>
                <w:sz w:val="32"/>
              </w:rPr>
              <w:t>1条</w:t>
            </w:r>
          </w:p>
        </w:tc>
      </w:tr>
      <w:tr>
        <w:tc>
          <w:tcPr>
            <w:tcW w:type="dxa" w:w="1984"/>
          </w:tcPr>
          <w:p>
            <w:pPr>
              <w:spacing w:lineRule="exact" w:line="600"/>
              <w:jc w:val="center"/>
            </w:pPr>
            <w:r/>
            <w:r>
              <w:rPr>
                <w:rFonts w:ascii="仿宋_GB2312" w:hAnsi="仿宋_GB2312" w:eastAsia="仿宋_GB2312"/>
                <w:b w:val="0"/>
                <w:color w:val="000000"/>
                <w:sz w:val="32"/>
              </w:rPr>
              <w:t>使用温度</w:t>
            </w:r>
          </w:p>
        </w:tc>
        <w:tc>
          <w:tcPr>
            <w:tcW w:type="dxa" w:w="3118"/>
          </w:tcPr>
          <w:p>
            <w:pPr>
              <w:spacing w:lineRule="exact" w:line="600"/>
              <w:jc w:val="center"/>
            </w:pPr>
            <w:r/>
            <w:r>
              <w:rPr>
                <w:rFonts w:ascii="仿宋_GB2312" w:hAnsi="仿宋_GB2312" w:eastAsia="仿宋_GB2312"/>
                <w:b w:val="0"/>
                <w:color w:val="000000"/>
                <w:sz w:val="32"/>
              </w:rPr>
              <w:t>1260℃(连续)</w:t>
            </w:r>
          </w:p>
        </w:tc>
        <w:tc>
          <w:tcPr>
            <w:tcW w:type="dxa" w:w="3685"/>
          </w:tcPr>
          <w:p>
            <w:pPr>
              <w:spacing w:lineRule="exact" w:line="600"/>
              <w:jc w:val="center"/>
            </w:pPr>
            <w:r/>
            <w:r>
              <w:rPr>
                <w:rFonts w:ascii="仿宋_GB2312" w:hAnsi="仿宋_GB2312" w:eastAsia="仿宋_GB2312"/>
                <w:b w:val="0"/>
                <w:color w:val="000000"/>
                <w:sz w:val="32"/>
              </w:rPr>
              <w:t>产品</w:t>
            </w:r>
          </w:p>
        </w:tc>
      </w:tr>
    </w:tbl>
    <w:p>
      <w:pPr>
        <w:spacing w:lineRule="exact" w:line="600" w:before="120" w:after="120"/>
        <w:ind w:firstLine="420"/>
        <w:jc w:val="left"/>
      </w:pPr>
      <w:r>
        <w:rPr>
          <w:rFonts w:ascii="楷体_GB2312" w:hAnsi="楷体_GB2312" w:eastAsia="楷体_GB2312"/>
          <w:b w:val="0"/>
          <w:color w:val="000000"/>
          <w:sz w:val="32"/>
        </w:rPr>
        <w:t>（二）绿色智能制造</w:t>
      </w:r>
    </w:p>
    <w:p>
      <w:pPr>
        <w:spacing w:lineRule="exact" w:line="600" w:before="0" w:after="0"/>
        <w:ind w:firstLine="420"/>
        <w:jc w:val="both"/>
      </w:pPr>
      <w:r>
        <w:rPr>
          <w:rFonts w:ascii="仿宋_GB2312" w:hAnsi="仿宋_GB2312" w:eastAsia="仿宋_GB2312"/>
          <w:b w:val="0"/>
          <w:color w:val="000000"/>
          <w:sz w:val="32"/>
        </w:rPr>
        <w:t>嘉岳新材料16万吨/年项目采用自动配料与窑炉控温系统，产能提高33%、能耗降25%、污染物减排28%（来源：经济日报，2026）。周村区整治「小散乱污」、推进技术设备升级（来源：经济日报）。行业共性研判：自动化配料、余热回收、低能耗窑炉是技术方向。</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变化</w:t>
            </w:r>
          </w:p>
        </w:tc>
        <w:tc>
          <w:tcPr>
            <w:tcW w:type="dxa" w:w="3969"/>
          </w:tcPr>
          <w:p>
            <w:pPr>
              <w:spacing w:lineRule="exact" w:line="600"/>
              <w:jc w:val="center"/>
            </w:pPr>
            <w:r/>
            <w:r>
              <w:rPr>
                <w:rFonts w:ascii="黑体" w:hAnsi="黑体" w:eastAsia="黑体"/>
                <w:b/>
                <w:color w:val="000000"/>
                <w:sz w:val="32"/>
              </w:rPr>
              <w:t>来源</w:t>
            </w:r>
          </w:p>
        </w:tc>
      </w:tr>
      <w:tr>
        <w:tc>
          <w:tcPr>
            <w:tcW w:type="dxa" w:w="1984"/>
          </w:tcPr>
          <w:p>
            <w:pPr>
              <w:spacing w:lineRule="exact" w:line="600"/>
              <w:jc w:val="center"/>
            </w:pPr>
            <w:r/>
            <w:r>
              <w:rPr>
                <w:rFonts w:ascii="仿宋_GB2312" w:hAnsi="仿宋_GB2312" w:eastAsia="仿宋_GB2312"/>
                <w:b w:val="0"/>
                <w:color w:val="000000"/>
                <w:sz w:val="32"/>
              </w:rPr>
              <w:t>产能</w:t>
            </w:r>
          </w:p>
        </w:tc>
        <w:tc>
          <w:tcPr>
            <w:tcW w:type="dxa" w:w="2835"/>
          </w:tcPr>
          <w:p>
            <w:pPr>
              <w:spacing w:lineRule="exact" w:line="600"/>
              <w:jc w:val="center"/>
            </w:pPr>
            <w:r/>
            <w:r>
              <w:rPr>
                <w:rFonts w:ascii="仿宋_GB2312" w:hAnsi="仿宋_GB2312" w:eastAsia="仿宋_GB2312"/>
                <w:b w:val="0"/>
                <w:color w:val="000000"/>
                <w:sz w:val="32"/>
              </w:rPr>
              <w:t>+33%</w:t>
            </w:r>
          </w:p>
        </w:tc>
        <w:tc>
          <w:tcPr>
            <w:tcW w:type="dxa" w:w="3969"/>
          </w:tcPr>
          <w:p>
            <w:pPr>
              <w:spacing w:lineRule="exact" w:line="600"/>
              <w:jc w:val="center"/>
            </w:pPr>
            <w:r/>
            <w:r>
              <w:rPr>
                <w:rFonts w:ascii="仿宋_GB2312" w:hAnsi="仿宋_GB2312" w:eastAsia="仿宋_GB2312"/>
                <w:b w:val="0"/>
                <w:color w:val="000000"/>
                <w:sz w:val="32"/>
              </w:rPr>
              <w:t>经济日报</w:t>
            </w:r>
          </w:p>
        </w:tc>
      </w:tr>
      <w:tr>
        <w:tc>
          <w:tcPr>
            <w:tcW w:type="dxa" w:w="1984"/>
          </w:tcPr>
          <w:p>
            <w:pPr>
              <w:spacing w:lineRule="exact" w:line="600"/>
              <w:jc w:val="center"/>
            </w:pPr>
            <w:r/>
            <w:r>
              <w:rPr>
                <w:rFonts w:ascii="仿宋_GB2312" w:hAnsi="仿宋_GB2312" w:eastAsia="仿宋_GB2312"/>
                <w:b w:val="0"/>
                <w:color w:val="000000"/>
                <w:sz w:val="32"/>
              </w:rPr>
              <w:t>能耗</w:t>
            </w:r>
          </w:p>
        </w:tc>
        <w:tc>
          <w:tcPr>
            <w:tcW w:type="dxa" w:w="2835"/>
          </w:tcPr>
          <w:p>
            <w:pPr>
              <w:spacing w:lineRule="exact" w:line="600"/>
              <w:jc w:val="center"/>
            </w:pPr>
            <w:r/>
            <w:r>
              <w:rPr>
                <w:rFonts w:ascii="仿宋_GB2312" w:hAnsi="仿宋_GB2312" w:eastAsia="仿宋_GB2312"/>
                <w:b w:val="0"/>
                <w:color w:val="000000"/>
                <w:sz w:val="32"/>
              </w:rPr>
              <w:t>-25%</w:t>
            </w:r>
          </w:p>
        </w:tc>
        <w:tc>
          <w:tcPr>
            <w:tcW w:type="dxa" w:w="3969"/>
          </w:tcPr>
          <w:p>
            <w:pPr>
              <w:spacing w:lineRule="exact" w:line="600"/>
              <w:jc w:val="center"/>
            </w:pPr>
            <w:r/>
            <w:r>
              <w:rPr>
                <w:rFonts w:ascii="仿宋_GB2312" w:hAnsi="仿宋_GB2312" w:eastAsia="仿宋_GB2312"/>
                <w:b w:val="0"/>
                <w:color w:val="000000"/>
                <w:sz w:val="32"/>
              </w:rPr>
              <w:t>经济日报</w:t>
            </w:r>
          </w:p>
        </w:tc>
      </w:tr>
      <w:tr>
        <w:tc>
          <w:tcPr>
            <w:tcW w:type="dxa" w:w="1984"/>
          </w:tcPr>
          <w:p>
            <w:pPr>
              <w:spacing w:lineRule="exact" w:line="600"/>
              <w:jc w:val="center"/>
            </w:pPr>
            <w:r/>
            <w:r>
              <w:rPr>
                <w:rFonts w:ascii="仿宋_GB2312" w:hAnsi="仿宋_GB2312" w:eastAsia="仿宋_GB2312"/>
                <w:b w:val="0"/>
                <w:color w:val="000000"/>
                <w:sz w:val="32"/>
              </w:rPr>
              <w:t>污染物</w:t>
            </w:r>
          </w:p>
        </w:tc>
        <w:tc>
          <w:tcPr>
            <w:tcW w:type="dxa" w:w="2835"/>
          </w:tcPr>
          <w:p>
            <w:pPr>
              <w:spacing w:lineRule="exact" w:line="600"/>
              <w:jc w:val="center"/>
            </w:pPr>
            <w:r/>
            <w:r>
              <w:rPr>
                <w:rFonts w:ascii="仿宋_GB2312" w:hAnsi="仿宋_GB2312" w:eastAsia="仿宋_GB2312"/>
                <w:b w:val="0"/>
                <w:color w:val="000000"/>
                <w:sz w:val="32"/>
              </w:rPr>
              <w:t>-28%</w:t>
            </w:r>
          </w:p>
        </w:tc>
        <w:tc>
          <w:tcPr>
            <w:tcW w:type="dxa" w:w="3969"/>
          </w:tcPr>
          <w:p>
            <w:pPr>
              <w:spacing w:lineRule="exact" w:line="600"/>
              <w:jc w:val="center"/>
            </w:pPr>
            <w:r/>
            <w:r>
              <w:rPr>
                <w:rFonts w:ascii="仿宋_GB2312" w:hAnsi="仿宋_GB2312" w:eastAsia="仿宋_GB2312"/>
                <w:b w:val="0"/>
                <w:color w:val="000000"/>
                <w:sz w:val="32"/>
              </w:rPr>
              <w:t>经济日报</w:t>
            </w:r>
          </w:p>
        </w:tc>
      </w:tr>
      <w:tr>
        <w:tc>
          <w:tcPr>
            <w:tcW w:type="dxa" w:w="1984"/>
          </w:tcPr>
          <w:p>
            <w:pPr>
              <w:spacing w:lineRule="exact" w:line="600"/>
              <w:jc w:val="center"/>
            </w:pPr>
            <w:r/>
            <w:r>
              <w:rPr>
                <w:rFonts w:ascii="仿宋_GB2312" w:hAnsi="仿宋_GB2312" w:eastAsia="仿宋_GB2312"/>
                <w:b w:val="0"/>
                <w:color w:val="000000"/>
                <w:sz w:val="32"/>
              </w:rPr>
              <w:t>亩均纳税</w:t>
            </w:r>
          </w:p>
        </w:tc>
        <w:tc>
          <w:tcPr>
            <w:tcW w:type="dxa" w:w="2835"/>
          </w:tcPr>
          <w:p>
            <w:pPr>
              <w:spacing w:lineRule="exact" w:line="600"/>
              <w:jc w:val="center"/>
            </w:pPr>
            <w:r/>
            <w:r>
              <w:rPr>
                <w:rFonts w:ascii="仿宋_GB2312" w:hAnsi="仿宋_GB2312" w:eastAsia="仿宋_GB2312"/>
                <w:b w:val="0"/>
                <w:color w:val="000000"/>
                <w:sz w:val="32"/>
              </w:rPr>
              <w:t>20万元</w:t>
            </w:r>
          </w:p>
        </w:tc>
        <w:tc>
          <w:tcPr>
            <w:tcW w:type="dxa" w:w="3969"/>
          </w:tcPr>
          <w:p>
            <w:pPr>
              <w:spacing w:lineRule="exact" w:line="600"/>
              <w:jc w:val="center"/>
            </w:pPr>
            <w:r/>
            <w:r>
              <w:rPr>
                <w:rFonts w:ascii="仿宋_GB2312" w:hAnsi="仿宋_GB2312" w:eastAsia="仿宋_GB2312"/>
                <w:b w:val="0"/>
                <w:color w:val="000000"/>
                <w:sz w:val="32"/>
              </w:rPr>
              <w:t>经济日报</w:t>
            </w:r>
          </w:p>
        </w:tc>
      </w:tr>
    </w:tbl>
    <w:p>
      <w:pPr>
        <w:spacing w:lineRule="exact" w:line="600" w:before="120" w:after="120"/>
        <w:ind w:firstLine="420"/>
        <w:jc w:val="left"/>
      </w:pPr>
      <w:r>
        <w:rPr>
          <w:rFonts w:ascii="楷体_GB2312" w:hAnsi="楷体_GB2312" w:eastAsia="楷体_GB2312"/>
          <w:b w:val="0"/>
          <w:color w:val="000000"/>
          <w:sz w:val="32"/>
        </w:rPr>
        <w:t>（三）高端纤维与认证</w:t>
      </w:r>
    </w:p>
    <w:p>
      <w:pPr>
        <w:spacing w:lineRule="exact" w:line="600" w:before="0" w:after="0"/>
        <w:ind w:firstLine="420"/>
        <w:jc w:val="both"/>
      </w:pPr>
      <w:r>
        <w:rPr>
          <w:rFonts w:ascii="仿宋_GB2312" w:hAnsi="仿宋_GB2312" w:eastAsia="仿宋_GB2312"/>
          <w:b w:val="0"/>
          <w:color w:val="000000"/>
          <w:sz w:val="32"/>
        </w:rPr>
        <w:t>高端多晶莫来石、氧化铝、氧化锆纤维为技术高地，国际巨头主导（来源：华经院）。同发已布局晶体氧化铝纤维线，向高端延伸（来源：同发企业介绍）。通过ISO9001国际质量体系认证（来源：同发官网）。公开资料有限：本地企业在多晶纤维规模化上仍处追赶。</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技术</w:t>
            </w:r>
          </w:p>
        </w:tc>
        <w:tc>
          <w:tcPr>
            <w:tcW w:type="dxa" w:w="3118"/>
          </w:tcPr>
          <w:p>
            <w:pPr>
              <w:spacing w:lineRule="exact" w:line="600"/>
              <w:jc w:val="center"/>
            </w:pPr>
            <w:r/>
            <w:r>
              <w:rPr>
                <w:rFonts w:ascii="黑体" w:hAnsi="黑体" w:eastAsia="黑体"/>
                <w:b/>
                <w:color w:val="000000"/>
                <w:sz w:val="32"/>
              </w:rPr>
              <w:t>成熟度</w:t>
            </w:r>
          </w:p>
        </w:tc>
        <w:tc>
          <w:tcPr>
            <w:tcW w:type="dxa" w:w="3685"/>
          </w:tcPr>
          <w:p>
            <w:pPr>
              <w:spacing w:lineRule="exact" w:line="600"/>
              <w:jc w:val="center"/>
            </w:pPr>
            <w:r/>
            <w:r>
              <w:rPr>
                <w:rFonts w:ascii="黑体" w:hAnsi="黑体" w:eastAsia="黑体"/>
                <w:b/>
                <w:color w:val="000000"/>
                <w:sz w:val="32"/>
              </w:rPr>
              <w:t>主体</w:t>
            </w:r>
          </w:p>
        </w:tc>
      </w:tr>
      <w:tr>
        <w:tc>
          <w:tcPr>
            <w:tcW w:type="dxa" w:w="1984"/>
          </w:tcPr>
          <w:p>
            <w:pPr>
              <w:spacing w:lineRule="exact" w:line="600"/>
              <w:jc w:val="center"/>
            </w:pPr>
            <w:r/>
            <w:r>
              <w:rPr>
                <w:rFonts w:ascii="仿宋_GB2312" w:hAnsi="仿宋_GB2312" w:eastAsia="仿宋_GB2312"/>
                <w:b w:val="0"/>
                <w:color w:val="000000"/>
                <w:sz w:val="32"/>
              </w:rPr>
              <w:t>普通/高铝纤维</w:t>
            </w:r>
          </w:p>
        </w:tc>
        <w:tc>
          <w:tcPr>
            <w:tcW w:type="dxa" w:w="3118"/>
          </w:tcPr>
          <w:p>
            <w:pPr>
              <w:spacing w:lineRule="exact" w:line="600"/>
              <w:jc w:val="center"/>
            </w:pPr>
            <w:r/>
            <w:r>
              <w:rPr>
                <w:rFonts w:ascii="仿宋_GB2312" w:hAnsi="仿宋_GB2312" w:eastAsia="仿宋_GB2312"/>
                <w:b w:val="0"/>
                <w:color w:val="000000"/>
                <w:sz w:val="32"/>
              </w:rPr>
              <w:t>成熟</w:t>
            </w:r>
          </w:p>
        </w:tc>
        <w:tc>
          <w:tcPr>
            <w:tcW w:type="dxa" w:w="3685"/>
          </w:tcPr>
          <w:p>
            <w:pPr>
              <w:spacing w:lineRule="exact" w:line="600"/>
              <w:jc w:val="center"/>
            </w:pPr>
            <w:r/>
            <w:r>
              <w:rPr>
                <w:rFonts w:ascii="仿宋_GB2312" w:hAnsi="仿宋_GB2312" w:eastAsia="仿宋_GB2312"/>
                <w:b w:val="0"/>
                <w:color w:val="000000"/>
                <w:sz w:val="32"/>
              </w:rPr>
              <w:t>同发等</w:t>
            </w:r>
          </w:p>
        </w:tc>
      </w:tr>
      <w:tr>
        <w:tc>
          <w:tcPr>
            <w:tcW w:type="dxa" w:w="1984"/>
          </w:tcPr>
          <w:p>
            <w:pPr>
              <w:spacing w:lineRule="exact" w:line="600"/>
              <w:jc w:val="center"/>
            </w:pPr>
            <w:r/>
            <w:r>
              <w:rPr>
                <w:rFonts w:ascii="仿宋_GB2312" w:hAnsi="仿宋_GB2312" w:eastAsia="仿宋_GB2312"/>
                <w:b w:val="0"/>
                <w:color w:val="000000"/>
                <w:sz w:val="32"/>
              </w:rPr>
              <w:t>晶体氧化铝</w:t>
            </w:r>
          </w:p>
        </w:tc>
        <w:tc>
          <w:tcPr>
            <w:tcW w:type="dxa" w:w="3118"/>
          </w:tcPr>
          <w:p>
            <w:pPr>
              <w:spacing w:lineRule="exact" w:line="600"/>
              <w:jc w:val="center"/>
            </w:pPr>
            <w:r/>
            <w:r>
              <w:rPr>
                <w:rFonts w:ascii="仿宋_GB2312" w:hAnsi="仿宋_GB2312" w:eastAsia="仿宋_GB2312"/>
                <w:b w:val="0"/>
                <w:color w:val="000000"/>
                <w:sz w:val="32"/>
              </w:rPr>
              <w:t>布局</w:t>
            </w:r>
          </w:p>
        </w:tc>
        <w:tc>
          <w:tcPr>
            <w:tcW w:type="dxa" w:w="3685"/>
          </w:tcPr>
          <w:p>
            <w:pPr>
              <w:spacing w:lineRule="exact" w:line="600"/>
              <w:jc w:val="center"/>
            </w:pPr>
            <w:r/>
            <w:r>
              <w:rPr>
                <w:rFonts w:ascii="仿宋_GB2312" w:hAnsi="仿宋_GB2312" w:eastAsia="仿宋_GB2312"/>
                <w:b w:val="0"/>
                <w:color w:val="000000"/>
                <w:sz w:val="32"/>
              </w:rPr>
              <w:t>同发</w:t>
            </w:r>
          </w:p>
        </w:tc>
      </w:tr>
      <w:tr>
        <w:tc>
          <w:tcPr>
            <w:tcW w:type="dxa" w:w="1984"/>
          </w:tcPr>
          <w:p>
            <w:pPr>
              <w:spacing w:lineRule="exact" w:line="600"/>
              <w:jc w:val="center"/>
            </w:pPr>
            <w:r/>
            <w:r>
              <w:rPr>
                <w:rFonts w:ascii="仿宋_GB2312" w:hAnsi="仿宋_GB2312" w:eastAsia="仿宋_GB2312"/>
                <w:b w:val="0"/>
                <w:color w:val="000000"/>
                <w:sz w:val="32"/>
              </w:rPr>
              <w:t>多晶纤维</w:t>
            </w:r>
          </w:p>
        </w:tc>
        <w:tc>
          <w:tcPr>
            <w:tcW w:type="dxa" w:w="3118"/>
          </w:tcPr>
          <w:p>
            <w:pPr>
              <w:spacing w:lineRule="exact" w:line="600"/>
              <w:jc w:val="center"/>
            </w:pPr>
            <w:r/>
            <w:r>
              <w:rPr>
                <w:rFonts w:ascii="仿宋_GB2312" w:hAnsi="仿宋_GB2312" w:eastAsia="仿宋_GB2312"/>
                <w:b w:val="0"/>
                <w:color w:val="000000"/>
                <w:sz w:val="32"/>
              </w:rPr>
              <w:t>国际主导</w:t>
            </w:r>
          </w:p>
        </w:tc>
        <w:tc>
          <w:tcPr>
            <w:tcW w:type="dxa" w:w="3685"/>
          </w:tcPr>
          <w:p>
            <w:pPr>
              <w:spacing w:lineRule="exact" w:line="600"/>
              <w:jc w:val="center"/>
            </w:pPr>
            <w:r/>
            <w:r>
              <w:rPr>
                <w:rFonts w:ascii="仿宋_GB2312" w:hAnsi="仿宋_GB2312" w:eastAsia="仿宋_GB2312"/>
                <w:b w:val="0"/>
                <w:color w:val="000000"/>
                <w:sz w:val="32"/>
              </w:rPr>
              <w:t>巨头</w:t>
            </w:r>
          </w:p>
        </w:tc>
      </w:tr>
      <w:tr>
        <w:tc>
          <w:tcPr>
            <w:tcW w:type="dxa" w:w="1984"/>
          </w:tcPr>
          <w:p>
            <w:pPr>
              <w:spacing w:lineRule="exact" w:line="600"/>
              <w:jc w:val="center"/>
            </w:pPr>
            <w:r/>
            <w:r>
              <w:rPr>
                <w:rFonts w:ascii="仿宋_GB2312" w:hAnsi="仿宋_GB2312" w:eastAsia="仿宋_GB2312"/>
                <w:b w:val="0"/>
                <w:color w:val="000000"/>
                <w:sz w:val="32"/>
              </w:rPr>
              <w:t>认证</w:t>
            </w:r>
          </w:p>
        </w:tc>
        <w:tc>
          <w:tcPr>
            <w:tcW w:type="dxa" w:w="3118"/>
          </w:tcPr>
          <w:p>
            <w:pPr>
              <w:spacing w:lineRule="exact" w:line="600"/>
              <w:jc w:val="center"/>
            </w:pPr>
            <w:r/>
            <w:r>
              <w:rPr>
                <w:rFonts w:ascii="仿宋_GB2312" w:hAnsi="仿宋_GB2312" w:eastAsia="仿宋_GB2312"/>
                <w:b w:val="0"/>
                <w:color w:val="000000"/>
                <w:sz w:val="32"/>
              </w:rPr>
              <w:t>ISO9001</w:t>
            </w:r>
          </w:p>
        </w:tc>
        <w:tc>
          <w:tcPr>
            <w:tcW w:type="dxa" w:w="3685"/>
          </w:tcPr>
          <w:p>
            <w:pPr>
              <w:spacing w:lineRule="exact" w:line="600"/>
              <w:jc w:val="center"/>
            </w:pPr>
            <w:r/>
            <w:r>
              <w:rPr>
                <w:rFonts w:ascii="仿宋_GB2312" w:hAnsi="仿宋_GB2312" w:eastAsia="仿宋_GB2312"/>
                <w:b w:val="0"/>
                <w:color w:val="000000"/>
                <w:sz w:val="32"/>
              </w:rPr>
              <w:t>同发</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（一）要素成本</w:t>
      </w:r>
    </w:p>
    <w:p>
      <w:pPr>
        <w:spacing w:lineRule="exact" w:line="600" w:before="0" w:after="0"/>
        <w:ind w:firstLine="420"/>
        <w:jc w:val="both"/>
      </w:pPr>
      <w:r>
        <w:rPr>
          <w:rFonts w:ascii="仿宋_GB2312" w:hAnsi="仿宋_GB2312" w:eastAsia="仿宋_GB2312"/>
          <w:b w:val="0"/>
          <w:color w:val="000000"/>
          <w:sz w:val="32"/>
        </w:rPr>
        <w:t>周村地处309国道、济青高速、胶济铁路交汇，物流便捷（来源：同发企业介绍）。本地焦宝石原料直供，成本低（来源：同发官网）。耐材属「两高」，能耗与环保投入上升（来源：经济日报）。能源（天然气、电）是主要成本，绿色改造增加短期支出。</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状况</w:t>
            </w:r>
          </w:p>
        </w:tc>
        <w:tc>
          <w:tcPr>
            <w:tcW w:type="dxa" w:w="3685"/>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原料</w:t>
            </w:r>
          </w:p>
        </w:tc>
        <w:tc>
          <w:tcPr>
            <w:tcW w:type="dxa" w:w="3402"/>
          </w:tcPr>
          <w:p>
            <w:pPr>
              <w:spacing w:lineRule="exact" w:line="600"/>
              <w:jc w:val="center"/>
            </w:pPr>
            <w:r/>
            <w:r>
              <w:rPr>
                <w:rFonts w:ascii="仿宋_GB2312" w:hAnsi="仿宋_GB2312" w:eastAsia="仿宋_GB2312"/>
                <w:b w:val="0"/>
                <w:color w:val="000000"/>
                <w:sz w:val="32"/>
              </w:rPr>
              <w:t>焦宝石本地</w:t>
            </w:r>
          </w:p>
        </w:tc>
        <w:tc>
          <w:tcPr>
            <w:tcW w:type="dxa" w:w="3685"/>
          </w:tcPr>
          <w:p>
            <w:pPr>
              <w:spacing w:lineRule="exact" w:line="600"/>
              <w:jc w:val="center"/>
            </w:pPr>
            <w:r/>
            <w:r>
              <w:rPr>
                <w:rFonts w:ascii="仿宋_GB2312" w:hAnsi="仿宋_GB2312" w:eastAsia="仿宋_GB2312"/>
                <w:b w:val="0"/>
                <w:color w:val="000000"/>
                <w:sz w:val="32"/>
              </w:rPr>
              <w:t>成本低</w:t>
            </w:r>
          </w:p>
        </w:tc>
      </w:tr>
      <w:tr>
        <w:tc>
          <w:tcPr>
            <w:tcW w:type="dxa" w:w="1701"/>
          </w:tcPr>
          <w:p>
            <w:pPr>
              <w:spacing w:lineRule="exact" w:line="600"/>
              <w:jc w:val="center"/>
            </w:pPr>
            <w:r/>
            <w:r>
              <w:rPr>
                <w:rFonts w:ascii="仿宋_GB2312" w:hAnsi="仿宋_GB2312" w:eastAsia="仿宋_GB2312"/>
                <w:b w:val="0"/>
                <w:color w:val="000000"/>
                <w:sz w:val="32"/>
              </w:rPr>
              <w:t>物流</w:t>
            </w:r>
          </w:p>
        </w:tc>
        <w:tc>
          <w:tcPr>
            <w:tcW w:type="dxa" w:w="3402"/>
          </w:tcPr>
          <w:p>
            <w:pPr>
              <w:spacing w:lineRule="exact" w:line="600"/>
              <w:jc w:val="center"/>
            </w:pPr>
            <w:r/>
            <w:r>
              <w:rPr>
                <w:rFonts w:ascii="仿宋_GB2312" w:hAnsi="仿宋_GB2312" w:eastAsia="仿宋_GB2312"/>
                <w:b w:val="0"/>
                <w:color w:val="000000"/>
                <w:sz w:val="32"/>
              </w:rPr>
              <w:t>国道高速铁路</w:t>
            </w:r>
          </w:p>
        </w:tc>
        <w:tc>
          <w:tcPr>
            <w:tcW w:type="dxa" w:w="3685"/>
          </w:tcPr>
          <w:p>
            <w:pPr>
              <w:spacing w:lineRule="exact" w:line="600"/>
              <w:jc w:val="center"/>
            </w:pPr>
            <w:r/>
            <w:r>
              <w:rPr>
                <w:rFonts w:ascii="仿宋_GB2312" w:hAnsi="仿宋_GB2312" w:eastAsia="仿宋_GB2312"/>
                <w:b w:val="0"/>
                <w:color w:val="000000"/>
                <w:sz w:val="32"/>
              </w:rPr>
              <w:t>便捷</w:t>
            </w:r>
          </w:p>
        </w:tc>
      </w:tr>
      <w:tr>
        <w:tc>
          <w:tcPr>
            <w:tcW w:type="dxa" w:w="1701"/>
          </w:tcPr>
          <w:p>
            <w:pPr>
              <w:spacing w:lineRule="exact" w:line="600"/>
              <w:jc w:val="center"/>
            </w:pPr>
            <w:r/>
            <w:r>
              <w:rPr>
                <w:rFonts w:ascii="仿宋_GB2312" w:hAnsi="仿宋_GB2312" w:eastAsia="仿宋_GB2312"/>
                <w:b w:val="0"/>
                <w:color w:val="000000"/>
                <w:sz w:val="32"/>
              </w:rPr>
              <w:t>能源</w:t>
            </w:r>
          </w:p>
        </w:tc>
        <w:tc>
          <w:tcPr>
            <w:tcW w:type="dxa" w:w="3402"/>
          </w:tcPr>
          <w:p>
            <w:pPr>
              <w:spacing w:lineRule="exact" w:line="600"/>
              <w:jc w:val="center"/>
            </w:pPr>
            <w:r/>
            <w:r>
              <w:rPr>
                <w:rFonts w:ascii="仿宋_GB2312" w:hAnsi="仿宋_GB2312" w:eastAsia="仿宋_GB2312"/>
                <w:b w:val="0"/>
                <w:color w:val="000000"/>
                <w:sz w:val="32"/>
              </w:rPr>
              <w:t>气电为主</w:t>
            </w:r>
          </w:p>
        </w:tc>
        <w:tc>
          <w:tcPr>
            <w:tcW w:type="dxa" w:w="3685"/>
          </w:tcPr>
          <w:p>
            <w:pPr>
              <w:spacing w:lineRule="exact" w:line="600"/>
              <w:jc w:val="center"/>
            </w:pPr>
            <w:r/>
            <w:r>
              <w:rPr>
                <w:rFonts w:ascii="仿宋_GB2312" w:hAnsi="仿宋_GB2312" w:eastAsia="仿宋_GB2312"/>
                <w:b w:val="0"/>
                <w:color w:val="000000"/>
                <w:sz w:val="32"/>
              </w:rPr>
              <w:t>成本项</w:t>
            </w:r>
          </w:p>
        </w:tc>
      </w:tr>
      <w:tr>
        <w:tc>
          <w:tcPr>
            <w:tcW w:type="dxa" w:w="1701"/>
          </w:tcPr>
          <w:p>
            <w:pPr>
              <w:spacing w:lineRule="exact" w:line="600"/>
              <w:jc w:val="center"/>
            </w:pPr>
            <w:r/>
            <w:r>
              <w:rPr>
                <w:rFonts w:ascii="仿宋_GB2312" w:hAnsi="仿宋_GB2312" w:eastAsia="仿宋_GB2312"/>
                <w:b w:val="0"/>
                <w:color w:val="000000"/>
                <w:sz w:val="32"/>
              </w:rPr>
              <w:t>环保</w:t>
            </w:r>
          </w:p>
        </w:tc>
        <w:tc>
          <w:tcPr>
            <w:tcW w:type="dxa" w:w="3402"/>
          </w:tcPr>
          <w:p>
            <w:pPr>
              <w:spacing w:lineRule="exact" w:line="600"/>
              <w:jc w:val="center"/>
            </w:pPr>
            <w:r/>
            <w:r>
              <w:rPr>
                <w:rFonts w:ascii="仿宋_GB2312" w:hAnsi="仿宋_GB2312" w:eastAsia="仿宋_GB2312"/>
                <w:b w:val="0"/>
                <w:color w:val="000000"/>
                <w:sz w:val="32"/>
              </w:rPr>
              <w:t>两高</w:t>
            </w:r>
          </w:p>
        </w:tc>
        <w:tc>
          <w:tcPr>
            <w:tcW w:type="dxa" w:w="3685"/>
          </w:tcPr>
          <w:p>
            <w:pPr>
              <w:spacing w:lineRule="exact" w:line="600"/>
              <w:jc w:val="center"/>
            </w:pPr>
            <w:r/>
            <w:r>
              <w:rPr>
                <w:rFonts w:ascii="仿宋_GB2312" w:hAnsi="仿宋_GB2312" w:eastAsia="仿宋_GB2312"/>
                <w:b w:val="0"/>
                <w:color w:val="000000"/>
                <w:sz w:val="32"/>
              </w:rPr>
              <w:t>投入升</w:t>
            </w:r>
          </w:p>
        </w:tc>
      </w:tr>
    </w:tbl>
    <w:p>
      <w:pPr>
        <w:spacing w:lineRule="exact" w:line="600" w:before="120" w:after="120"/>
        <w:ind w:firstLine="420"/>
        <w:jc w:val="left"/>
      </w:pPr>
      <w:r>
        <w:rPr>
          <w:rFonts w:ascii="楷体_GB2312" w:hAnsi="楷体_GB2312" w:eastAsia="楷体_GB2312"/>
          <w:b w:val="0"/>
          <w:color w:val="000000"/>
          <w:sz w:val="32"/>
        </w:rPr>
        <w:t>（二）企业盈利</w:t>
      </w:r>
    </w:p>
    <w:p>
      <w:pPr>
        <w:spacing w:lineRule="exact" w:line="600" w:before="0" w:after="0"/>
        <w:ind w:firstLine="420"/>
        <w:jc w:val="both"/>
      </w:pPr>
      <w:r>
        <w:rPr>
          <w:rFonts w:ascii="仿宋_GB2312" w:hAnsi="仿宋_GB2312" w:eastAsia="仿宋_GB2312"/>
          <w:b w:val="0"/>
          <w:color w:val="000000"/>
          <w:sz w:val="32"/>
        </w:rPr>
        <w:t>同发年营业额2000—5000万元、员工100—200人（来源：企业名录），盈利受原料与能源价格、产能利用率影响。行业共性研判：中端填料毛利中等，高端晶体纤维毛利较高；鲁阳节能2024年营收35.32亿元、陶瓷纤维32.1亿元（来源：华经院），龙头盈利显著优于中小。</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企业</w:t>
            </w:r>
          </w:p>
        </w:tc>
        <w:tc>
          <w:tcPr>
            <w:tcW w:type="dxa" w:w="3118"/>
          </w:tcPr>
          <w:p>
            <w:pPr>
              <w:spacing w:lineRule="exact" w:line="600"/>
              <w:jc w:val="center"/>
            </w:pPr>
            <w:r/>
            <w:r>
              <w:rPr>
                <w:rFonts w:ascii="黑体" w:hAnsi="黑体" w:eastAsia="黑体"/>
                <w:b/>
                <w:color w:val="000000"/>
                <w:sz w:val="32"/>
              </w:rPr>
              <w:t>营收</w:t>
            </w:r>
          </w:p>
        </w:tc>
        <w:tc>
          <w:tcPr>
            <w:tcW w:type="dxa" w:w="3402"/>
          </w:tcPr>
          <w:p>
            <w:pPr>
              <w:spacing w:lineRule="exact" w:line="600"/>
              <w:jc w:val="center"/>
            </w:pPr>
            <w:r/>
            <w:r>
              <w:rPr>
                <w:rFonts w:ascii="黑体" w:hAnsi="黑体" w:eastAsia="黑体"/>
                <w:b/>
                <w:color w:val="000000"/>
                <w:sz w:val="32"/>
              </w:rPr>
              <w:t>说明</w:t>
            </w:r>
          </w:p>
        </w:tc>
      </w:tr>
      <w:tr>
        <w:tc>
          <w:tcPr>
            <w:tcW w:type="dxa" w:w="1984"/>
          </w:tcPr>
          <w:p>
            <w:pPr>
              <w:spacing w:lineRule="exact" w:line="600"/>
              <w:jc w:val="center"/>
            </w:pPr>
            <w:r/>
            <w:r>
              <w:rPr>
                <w:rFonts w:ascii="仿宋_GB2312" w:hAnsi="仿宋_GB2312" w:eastAsia="仿宋_GB2312"/>
                <w:b w:val="0"/>
                <w:color w:val="000000"/>
                <w:sz w:val="32"/>
              </w:rPr>
              <w:t>淄博同发</w:t>
            </w:r>
          </w:p>
        </w:tc>
        <w:tc>
          <w:tcPr>
            <w:tcW w:type="dxa" w:w="3118"/>
          </w:tcPr>
          <w:p>
            <w:pPr>
              <w:spacing w:lineRule="exact" w:line="600"/>
              <w:jc w:val="center"/>
            </w:pPr>
            <w:r/>
            <w:r>
              <w:rPr>
                <w:rFonts w:ascii="仿宋_GB2312" w:hAnsi="仿宋_GB2312" w:eastAsia="仿宋_GB2312"/>
                <w:b w:val="0"/>
                <w:color w:val="000000"/>
                <w:sz w:val="32"/>
              </w:rPr>
              <w:t>2000-5000万</w:t>
            </w:r>
          </w:p>
        </w:tc>
        <w:tc>
          <w:tcPr>
            <w:tcW w:type="dxa" w:w="3402"/>
          </w:tcPr>
          <w:p>
            <w:pPr>
              <w:spacing w:lineRule="exact" w:line="600"/>
              <w:jc w:val="center"/>
            </w:pPr>
            <w:r/>
            <w:r>
              <w:rPr>
                <w:rFonts w:ascii="仿宋_GB2312" w:hAnsi="仿宋_GB2312" w:eastAsia="仿宋_GB2312"/>
                <w:b w:val="0"/>
                <w:color w:val="000000"/>
                <w:sz w:val="32"/>
              </w:rPr>
              <w:t>中小</w:t>
            </w:r>
          </w:p>
        </w:tc>
      </w:tr>
      <w:tr>
        <w:tc>
          <w:tcPr>
            <w:tcW w:type="dxa" w:w="1984"/>
          </w:tcPr>
          <w:p>
            <w:pPr>
              <w:spacing w:lineRule="exact" w:line="600"/>
              <w:jc w:val="center"/>
            </w:pPr>
            <w:r/>
            <w:r>
              <w:rPr>
                <w:rFonts w:ascii="仿宋_GB2312" w:hAnsi="仿宋_GB2312" w:eastAsia="仿宋_GB2312"/>
                <w:b w:val="0"/>
                <w:color w:val="000000"/>
                <w:sz w:val="32"/>
              </w:rPr>
              <w:t>鲁阳节能</w:t>
            </w:r>
          </w:p>
        </w:tc>
        <w:tc>
          <w:tcPr>
            <w:tcW w:type="dxa" w:w="3118"/>
          </w:tcPr>
          <w:p>
            <w:pPr>
              <w:spacing w:lineRule="exact" w:line="600"/>
              <w:jc w:val="center"/>
            </w:pPr>
            <w:r/>
            <w:r>
              <w:rPr>
                <w:rFonts w:ascii="仿宋_GB2312" w:hAnsi="仿宋_GB2312" w:eastAsia="仿宋_GB2312"/>
                <w:b w:val="0"/>
                <w:color w:val="000000"/>
                <w:sz w:val="32"/>
              </w:rPr>
              <w:t>35.32亿元</w:t>
            </w:r>
          </w:p>
        </w:tc>
        <w:tc>
          <w:tcPr>
            <w:tcW w:type="dxa" w:w="3402"/>
          </w:tcPr>
          <w:p>
            <w:pPr>
              <w:spacing w:lineRule="exact" w:line="600"/>
              <w:jc w:val="center"/>
            </w:pPr>
            <w:r/>
            <w:r>
              <w:rPr>
                <w:rFonts w:ascii="仿宋_GB2312" w:hAnsi="仿宋_GB2312" w:eastAsia="仿宋_GB2312"/>
                <w:b w:val="0"/>
                <w:color w:val="000000"/>
                <w:sz w:val="32"/>
              </w:rPr>
              <w:t>龙头</w:t>
            </w:r>
          </w:p>
        </w:tc>
      </w:tr>
      <w:tr>
        <w:tc>
          <w:tcPr>
            <w:tcW w:type="dxa" w:w="1984"/>
          </w:tcPr>
          <w:p>
            <w:pPr>
              <w:spacing w:lineRule="exact" w:line="600"/>
              <w:jc w:val="center"/>
            </w:pPr>
            <w:r/>
            <w:r>
              <w:rPr>
                <w:rFonts w:ascii="仿宋_GB2312" w:hAnsi="仿宋_GB2312" w:eastAsia="仿宋_GB2312"/>
                <w:b w:val="0"/>
                <w:color w:val="000000"/>
                <w:sz w:val="32"/>
              </w:rPr>
              <w:t>陶瓷纤维</w:t>
            </w:r>
          </w:p>
        </w:tc>
        <w:tc>
          <w:tcPr>
            <w:tcW w:type="dxa" w:w="3118"/>
          </w:tcPr>
          <w:p>
            <w:pPr>
              <w:spacing w:lineRule="exact" w:line="600"/>
              <w:jc w:val="center"/>
            </w:pPr>
            <w:r/>
            <w:r>
              <w:rPr>
                <w:rFonts w:ascii="仿宋_GB2312" w:hAnsi="仿宋_GB2312" w:eastAsia="仿宋_GB2312"/>
                <w:b w:val="0"/>
                <w:color w:val="000000"/>
                <w:sz w:val="32"/>
              </w:rPr>
              <w:t>32.1亿元</w:t>
            </w:r>
          </w:p>
        </w:tc>
        <w:tc>
          <w:tcPr>
            <w:tcW w:type="dxa" w:w="3402"/>
          </w:tcPr>
          <w:p>
            <w:pPr>
              <w:spacing w:lineRule="exact" w:line="600"/>
              <w:jc w:val="center"/>
            </w:pPr>
            <w:r/>
            <w:r>
              <w:rPr>
                <w:rFonts w:ascii="仿宋_GB2312" w:hAnsi="仿宋_GB2312" w:eastAsia="仿宋_GB2312"/>
                <w:b w:val="0"/>
                <w:color w:val="000000"/>
                <w:sz w:val="32"/>
              </w:rPr>
              <w:t>鲁阳</w:t>
            </w:r>
          </w:p>
        </w:tc>
      </w:tr>
      <w:tr>
        <w:tc>
          <w:tcPr>
            <w:tcW w:type="dxa" w:w="1984"/>
          </w:tcPr>
          <w:p>
            <w:pPr>
              <w:spacing w:lineRule="exact" w:line="600"/>
              <w:jc w:val="center"/>
            </w:pPr>
            <w:r/>
            <w:r>
              <w:rPr>
                <w:rFonts w:ascii="仿宋_GB2312" w:hAnsi="仿宋_GB2312" w:eastAsia="仿宋_GB2312"/>
                <w:b w:val="0"/>
                <w:color w:val="000000"/>
                <w:sz w:val="32"/>
              </w:rPr>
              <w:t>行业</w:t>
            </w:r>
          </w:p>
        </w:tc>
        <w:tc>
          <w:tcPr>
            <w:tcW w:type="dxa" w:w="3118"/>
          </w:tcPr>
          <w:p>
            <w:pPr>
              <w:spacing w:lineRule="exact" w:line="600"/>
              <w:jc w:val="center"/>
            </w:pPr>
            <w:r/>
            <w:r>
              <w:rPr>
                <w:rFonts w:ascii="仿宋_GB2312" w:hAnsi="仿宋_GB2312" w:eastAsia="仿宋_GB2312"/>
                <w:b w:val="0"/>
                <w:color w:val="000000"/>
                <w:sz w:val="32"/>
              </w:rPr>
              <w:t>毛利分化</w:t>
            </w:r>
          </w:p>
        </w:tc>
        <w:tc>
          <w:tcPr>
            <w:tcW w:type="dxa" w:w="3402"/>
          </w:tcPr>
          <w:p>
            <w:pPr>
              <w:spacing w:lineRule="exact" w:line="600"/>
              <w:jc w:val="center"/>
            </w:pPr>
            <w:r/>
            <w:r>
              <w:rPr>
                <w:rFonts w:ascii="仿宋_GB2312" w:hAnsi="仿宋_GB2312" w:eastAsia="仿宋_GB2312"/>
                <w:b w:val="0"/>
                <w:color w:val="000000"/>
                <w:sz w:val="32"/>
              </w:rPr>
              <w:t>研判</w:t>
            </w:r>
          </w:p>
        </w:tc>
      </w:tr>
    </w:tbl>
    <w:p>
      <w:pPr>
        <w:spacing w:lineRule="exact" w:line="600" w:before="120" w:after="120"/>
        <w:ind w:firstLine="420"/>
        <w:jc w:val="left"/>
      </w:pPr>
      <w:r>
        <w:rPr>
          <w:rFonts w:ascii="楷体_GB2312" w:hAnsi="楷体_GB2312" w:eastAsia="楷体_GB2312"/>
          <w:b w:val="0"/>
          <w:color w:val="000000"/>
          <w:sz w:val="32"/>
        </w:rPr>
        <w:t>（三）基础设施保障</w:t>
      </w:r>
    </w:p>
    <w:p>
      <w:pPr>
        <w:spacing w:lineRule="exact" w:line="600" w:before="0" w:after="0"/>
        <w:ind w:firstLine="420"/>
        <w:jc w:val="both"/>
      </w:pPr>
      <w:r>
        <w:rPr>
          <w:rFonts w:ascii="仿宋_GB2312" w:hAnsi="仿宋_GB2312" w:eastAsia="仿宋_GB2312"/>
          <w:b w:val="0"/>
          <w:color w:val="000000"/>
          <w:sz w:val="32"/>
        </w:rPr>
        <w:t>周村经济开发区为国家级绿色工业园区，集中资源引进项目、推动企业做强（来源：周村经开区简介）。园区形成高端装备、新能源新材料、纺织丝绸三大主导产业（来源：周村经开区简介）。基础设施与环保配套支撑耐材绿色转型。</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保障</w:t>
            </w:r>
          </w:p>
        </w:tc>
        <w:tc>
          <w:tcPr>
            <w:tcW w:type="dxa" w:w="3402"/>
          </w:tcPr>
          <w:p>
            <w:pPr>
              <w:spacing w:lineRule="exact" w:line="600"/>
              <w:jc w:val="center"/>
            </w:pPr>
            <w:r/>
            <w:r>
              <w:rPr>
                <w:rFonts w:ascii="黑体" w:hAnsi="黑体" w:eastAsia="黑体"/>
                <w:b/>
                <w:color w:val="000000"/>
                <w:sz w:val="32"/>
              </w:rPr>
              <w:t>内容</w:t>
            </w:r>
          </w:p>
        </w:tc>
        <w:tc>
          <w:tcPr>
            <w:tcW w:type="dxa" w:w="3685"/>
          </w:tcPr>
          <w:p>
            <w:pPr>
              <w:spacing w:lineRule="exact" w:line="600"/>
              <w:jc w:val="center"/>
            </w:pPr>
            <w:r/>
            <w:r>
              <w:rPr>
                <w:rFonts w:ascii="黑体" w:hAnsi="黑体" w:eastAsia="黑体"/>
                <w:b/>
                <w:color w:val="000000"/>
                <w:sz w:val="32"/>
              </w:rPr>
              <w:t>状态</w:t>
            </w:r>
          </w:p>
        </w:tc>
      </w:tr>
      <w:tr>
        <w:tc>
          <w:tcPr>
            <w:tcW w:type="dxa" w:w="1701"/>
          </w:tcPr>
          <w:p>
            <w:pPr>
              <w:spacing w:lineRule="exact" w:line="600"/>
              <w:jc w:val="center"/>
            </w:pPr>
            <w:r/>
            <w:r>
              <w:rPr>
                <w:rFonts w:ascii="仿宋_GB2312" w:hAnsi="仿宋_GB2312" w:eastAsia="仿宋_GB2312"/>
                <w:b w:val="0"/>
                <w:color w:val="000000"/>
                <w:sz w:val="32"/>
              </w:rPr>
              <w:t>经开区</w:t>
            </w:r>
          </w:p>
        </w:tc>
        <w:tc>
          <w:tcPr>
            <w:tcW w:type="dxa" w:w="3402"/>
          </w:tcPr>
          <w:p>
            <w:pPr>
              <w:spacing w:lineRule="exact" w:line="600"/>
              <w:jc w:val="center"/>
            </w:pPr>
            <w:r/>
            <w:r>
              <w:rPr>
                <w:rFonts w:ascii="仿宋_GB2312" w:hAnsi="仿宋_GB2312" w:eastAsia="仿宋_GB2312"/>
                <w:b w:val="0"/>
                <w:color w:val="000000"/>
                <w:sz w:val="32"/>
              </w:rPr>
              <w:t>国家级绿色园区</w:t>
            </w:r>
          </w:p>
        </w:tc>
        <w:tc>
          <w:tcPr>
            <w:tcW w:type="dxa" w:w="3685"/>
          </w:tcPr>
          <w:p>
            <w:pPr>
              <w:spacing w:lineRule="exact" w:line="600"/>
              <w:jc w:val="center"/>
            </w:pPr>
            <w:r/>
            <w:r>
              <w:rPr>
                <w:rFonts w:ascii="仿宋_GB2312" w:hAnsi="仿宋_GB2312" w:eastAsia="仿宋_GB2312"/>
                <w:b w:val="0"/>
                <w:color w:val="000000"/>
                <w:sz w:val="32"/>
              </w:rPr>
              <w:t>运营</w:t>
            </w:r>
          </w:p>
        </w:tc>
      </w:tr>
      <w:tr>
        <w:tc>
          <w:tcPr>
            <w:tcW w:type="dxa" w:w="1701"/>
          </w:tcPr>
          <w:p>
            <w:pPr>
              <w:spacing w:lineRule="exact" w:line="600"/>
              <w:jc w:val="center"/>
            </w:pPr>
            <w:r/>
            <w:r>
              <w:rPr>
                <w:rFonts w:ascii="仿宋_GB2312" w:hAnsi="仿宋_GB2312" w:eastAsia="仿宋_GB2312"/>
                <w:b w:val="0"/>
                <w:color w:val="000000"/>
                <w:sz w:val="32"/>
              </w:rPr>
              <w:t>主导产业</w:t>
            </w:r>
          </w:p>
        </w:tc>
        <w:tc>
          <w:tcPr>
            <w:tcW w:type="dxa" w:w="3402"/>
          </w:tcPr>
          <w:p>
            <w:pPr>
              <w:spacing w:lineRule="exact" w:line="600"/>
              <w:jc w:val="center"/>
            </w:pPr>
            <w:r/>
            <w:r>
              <w:rPr>
                <w:rFonts w:ascii="仿宋_GB2312" w:hAnsi="仿宋_GB2312" w:eastAsia="仿宋_GB2312"/>
                <w:b w:val="0"/>
                <w:color w:val="000000"/>
                <w:sz w:val="32"/>
              </w:rPr>
              <w:t>新材料等三大</w:t>
            </w:r>
          </w:p>
        </w:tc>
        <w:tc>
          <w:tcPr>
            <w:tcW w:type="dxa" w:w="3685"/>
          </w:tcPr>
          <w:p>
            <w:pPr>
              <w:spacing w:lineRule="exact" w:line="600"/>
              <w:jc w:val="center"/>
            </w:pPr>
            <w:r/>
            <w:r>
              <w:rPr>
                <w:rFonts w:ascii="仿宋_GB2312" w:hAnsi="仿宋_GB2312" w:eastAsia="仿宋_GB2312"/>
                <w:b w:val="0"/>
                <w:color w:val="000000"/>
                <w:sz w:val="32"/>
              </w:rPr>
              <w:t>布局</w:t>
            </w:r>
          </w:p>
        </w:tc>
      </w:tr>
      <w:tr>
        <w:tc>
          <w:tcPr>
            <w:tcW w:type="dxa" w:w="1701"/>
          </w:tcPr>
          <w:p>
            <w:pPr>
              <w:spacing w:lineRule="exact" w:line="600"/>
              <w:jc w:val="center"/>
            </w:pPr>
            <w:r/>
            <w:r>
              <w:rPr>
                <w:rFonts w:ascii="仿宋_GB2312" w:hAnsi="仿宋_GB2312" w:eastAsia="仿宋_GB2312"/>
                <w:b w:val="0"/>
                <w:color w:val="000000"/>
                <w:sz w:val="32"/>
              </w:rPr>
              <w:t>环保配套</w:t>
            </w:r>
          </w:p>
        </w:tc>
        <w:tc>
          <w:tcPr>
            <w:tcW w:type="dxa" w:w="3402"/>
          </w:tcPr>
          <w:p>
            <w:pPr>
              <w:spacing w:lineRule="exact" w:line="600"/>
              <w:jc w:val="center"/>
            </w:pPr>
            <w:r/>
            <w:r>
              <w:rPr>
                <w:rFonts w:ascii="仿宋_GB2312" w:hAnsi="仿宋_GB2312" w:eastAsia="仿宋_GB2312"/>
                <w:b w:val="0"/>
                <w:color w:val="000000"/>
                <w:sz w:val="32"/>
              </w:rPr>
              <w:t>治理设施</w:t>
            </w:r>
          </w:p>
        </w:tc>
        <w:tc>
          <w:tcPr>
            <w:tcW w:type="dxa" w:w="3685"/>
          </w:tcPr>
          <w:p>
            <w:pPr>
              <w:spacing w:lineRule="exact" w:line="600"/>
              <w:jc w:val="center"/>
            </w:pPr>
            <w:r/>
            <w:r>
              <w:rPr>
                <w:rFonts w:ascii="仿宋_GB2312" w:hAnsi="仿宋_GB2312" w:eastAsia="仿宋_GB2312"/>
                <w:b w:val="0"/>
                <w:color w:val="000000"/>
                <w:sz w:val="32"/>
              </w:rPr>
              <w:t>完善</w:t>
            </w:r>
          </w:p>
        </w:tc>
      </w:tr>
      <w:tr>
        <w:tc>
          <w:tcPr>
            <w:tcW w:type="dxa" w:w="1701"/>
          </w:tcPr>
          <w:p>
            <w:pPr>
              <w:spacing w:lineRule="exact" w:line="600"/>
              <w:jc w:val="center"/>
            </w:pPr>
            <w:r/>
            <w:r>
              <w:rPr>
                <w:rFonts w:ascii="仿宋_GB2312" w:hAnsi="仿宋_GB2312" w:eastAsia="仿宋_GB2312"/>
                <w:b w:val="0"/>
                <w:color w:val="000000"/>
                <w:sz w:val="32"/>
              </w:rPr>
              <w:t>物流</w:t>
            </w:r>
          </w:p>
        </w:tc>
        <w:tc>
          <w:tcPr>
            <w:tcW w:type="dxa" w:w="3402"/>
          </w:tcPr>
          <w:p>
            <w:pPr>
              <w:spacing w:lineRule="exact" w:line="600"/>
              <w:jc w:val="center"/>
            </w:pPr>
            <w:r/>
            <w:r>
              <w:rPr>
                <w:rFonts w:ascii="仿宋_GB2312" w:hAnsi="仿宋_GB2312" w:eastAsia="仿宋_GB2312"/>
                <w:b w:val="0"/>
                <w:color w:val="000000"/>
                <w:sz w:val="32"/>
              </w:rPr>
              <w:t>区位</w:t>
            </w:r>
          </w:p>
        </w:tc>
        <w:tc>
          <w:tcPr>
            <w:tcW w:type="dxa" w:w="3685"/>
          </w:tcPr>
          <w:p>
            <w:pPr>
              <w:spacing w:lineRule="exact" w:line="600"/>
              <w:jc w:val="center"/>
            </w:pPr>
            <w:r/>
            <w:r>
              <w:rPr>
                <w:rFonts w:ascii="仿宋_GB2312" w:hAnsi="仿宋_GB2312" w:eastAsia="仿宋_GB2312"/>
                <w:b w:val="0"/>
                <w:color w:val="000000"/>
                <w:sz w:val="32"/>
              </w:rPr>
              <w:t>便捷</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机遇一：双碳与工业节能推动陶瓷纤维对重质耐材替代，市场CAGR 11.1%、2029近100亿（来源：华经院）。机遇二：新能源（锂电、光伏）、航空航天、聚光太阳能等新兴应用增量（来源：华经院）。机遇三：出口（同发销美日德韩等）（来源：同发官网）。机遇四：周村绿色园区与链主带动（来源：经济日报）。</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机遇</w:t>
            </w:r>
          </w:p>
        </w:tc>
        <w:tc>
          <w:tcPr>
            <w:tcW w:type="dxa" w:w="3118"/>
          </w:tcPr>
          <w:p>
            <w:pPr>
              <w:spacing w:lineRule="exact" w:line="600"/>
              <w:jc w:val="center"/>
            </w:pPr>
            <w:r/>
            <w:r>
              <w:rPr>
                <w:rFonts w:ascii="黑体" w:hAnsi="黑体" w:eastAsia="黑体"/>
                <w:b/>
                <w:color w:val="000000"/>
                <w:sz w:val="32"/>
              </w:rPr>
              <w:t>依据</w:t>
            </w:r>
          </w:p>
        </w:tc>
        <w:tc>
          <w:tcPr>
            <w:tcW w:type="dxa" w:w="3402"/>
          </w:tcPr>
          <w:p>
            <w:pPr>
              <w:spacing w:lineRule="exact" w:line="600"/>
              <w:jc w:val="center"/>
            </w:pPr>
            <w:r/>
            <w:r>
              <w:rPr>
                <w:rFonts w:ascii="黑体" w:hAnsi="黑体" w:eastAsia="黑体"/>
                <w:b/>
                <w:color w:val="000000"/>
                <w:sz w:val="32"/>
              </w:rPr>
              <w:t>收益</w:t>
            </w:r>
          </w:p>
        </w:tc>
      </w:tr>
      <w:tr>
        <w:tc>
          <w:tcPr>
            <w:tcW w:type="dxa" w:w="1984"/>
          </w:tcPr>
          <w:p>
            <w:pPr>
              <w:spacing w:lineRule="exact" w:line="600"/>
              <w:jc w:val="center"/>
            </w:pPr>
            <w:r/>
            <w:r>
              <w:rPr>
                <w:rFonts w:ascii="仿宋_GB2312" w:hAnsi="仿宋_GB2312" w:eastAsia="仿宋_GB2312"/>
                <w:b w:val="0"/>
                <w:color w:val="000000"/>
                <w:sz w:val="32"/>
              </w:rPr>
              <w:t>节能替代</w:t>
            </w:r>
          </w:p>
        </w:tc>
        <w:tc>
          <w:tcPr>
            <w:tcW w:type="dxa" w:w="3118"/>
          </w:tcPr>
          <w:p>
            <w:pPr>
              <w:spacing w:lineRule="exact" w:line="600"/>
              <w:jc w:val="center"/>
            </w:pPr>
            <w:r/>
            <w:r>
              <w:rPr>
                <w:rFonts w:ascii="仿宋_GB2312" w:hAnsi="仿宋_GB2312" w:eastAsia="仿宋_GB2312"/>
                <w:b w:val="0"/>
                <w:color w:val="000000"/>
                <w:sz w:val="32"/>
              </w:rPr>
              <w:t>CAGR11.1%</w:t>
            </w:r>
          </w:p>
        </w:tc>
        <w:tc>
          <w:tcPr>
            <w:tcW w:type="dxa" w:w="3402"/>
          </w:tcPr>
          <w:p>
            <w:pPr>
              <w:spacing w:lineRule="exact" w:line="600"/>
              <w:jc w:val="center"/>
            </w:pPr>
            <w:r/>
            <w:r>
              <w:rPr>
                <w:rFonts w:ascii="仿宋_GB2312" w:hAnsi="仿宋_GB2312" w:eastAsia="仿宋_GB2312"/>
                <w:b w:val="0"/>
                <w:color w:val="000000"/>
                <w:sz w:val="32"/>
              </w:rPr>
              <w:t>增量</w:t>
            </w:r>
          </w:p>
        </w:tc>
      </w:tr>
      <w:tr>
        <w:tc>
          <w:tcPr>
            <w:tcW w:type="dxa" w:w="1984"/>
          </w:tcPr>
          <w:p>
            <w:pPr>
              <w:spacing w:lineRule="exact" w:line="600"/>
              <w:jc w:val="center"/>
            </w:pPr>
            <w:r/>
            <w:r>
              <w:rPr>
                <w:rFonts w:ascii="仿宋_GB2312" w:hAnsi="仿宋_GB2312" w:eastAsia="仿宋_GB2312"/>
                <w:b w:val="0"/>
                <w:color w:val="000000"/>
                <w:sz w:val="32"/>
              </w:rPr>
              <w:t>新兴应用</w:t>
            </w:r>
          </w:p>
        </w:tc>
        <w:tc>
          <w:tcPr>
            <w:tcW w:type="dxa" w:w="3118"/>
          </w:tcPr>
          <w:p>
            <w:pPr>
              <w:spacing w:lineRule="exact" w:line="600"/>
              <w:jc w:val="center"/>
            </w:pPr>
            <w:r/>
            <w:r>
              <w:rPr>
                <w:rFonts w:ascii="仿宋_GB2312" w:hAnsi="仿宋_GB2312" w:eastAsia="仿宋_GB2312"/>
                <w:b w:val="0"/>
                <w:color w:val="000000"/>
                <w:sz w:val="32"/>
              </w:rPr>
              <w:t>新能源/航空</w:t>
            </w:r>
          </w:p>
        </w:tc>
        <w:tc>
          <w:tcPr>
            <w:tcW w:type="dxa" w:w="3402"/>
          </w:tcPr>
          <w:p>
            <w:pPr>
              <w:spacing w:lineRule="exact" w:line="600"/>
              <w:jc w:val="center"/>
            </w:pPr>
            <w:r/>
            <w:r>
              <w:rPr>
                <w:rFonts w:ascii="仿宋_GB2312" w:hAnsi="仿宋_GB2312" w:eastAsia="仿宋_GB2312"/>
                <w:b w:val="0"/>
                <w:color w:val="000000"/>
                <w:sz w:val="32"/>
              </w:rPr>
              <w:t>新需求</w:t>
            </w:r>
          </w:p>
        </w:tc>
      </w:tr>
      <w:tr>
        <w:tc>
          <w:tcPr>
            <w:tcW w:type="dxa" w:w="1984"/>
          </w:tcPr>
          <w:p>
            <w:pPr>
              <w:spacing w:lineRule="exact" w:line="600"/>
              <w:jc w:val="center"/>
            </w:pPr>
            <w:r/>
            <w:r>
              <w:rPr>
                <w:rFonts w:ascii="仿宋_GB2312" w:hAnsi="仿宋_GB2312" w:eastAsia="仿宋_GB2312"/>
                <w:b w:val="0"/>
                <w:color w:val="000000"/>
                <w:sz w:val="32"/>
              </w:rPr>
              <w:t>出口</w:t>
            </w:r>
          </w:p>
        </w:tc>
        <w:tc>
          <w:tcPr>
            <w:tcW w:type="dxa" w:w="3118"/>
          </w:tcPr>
          <w:p>
            <w:pPr>
              <w:spacing w:lineRule="exact" w:line="600"/>
              <w:jc w:val="center"/>
            </w:pPr>
            <w:r/>
            <w:r>
              <w:rPr>
                <w:rFonts w:ascii="仿宋_GB2312" w:hAnsi="仿宋_GB2312" w:eastAsia="仿宋_GB2312"/>
                <w:b w:val="0"/>
                <w:color w:val="000000"/>
                <w:sz w:val="32"/>
              </w:rPr>
              <w:t>多国</w:t>
            </w:r>
          </w:p>
        </w:tc>
        <w:tc>
          <w:tcPr>
            <w:tcW w:type="dxa" w:w="3402"/>
          </w:tcPr>
          <w:p>
            <w:pPr>
              <w:spacing w:lineRule="exact" w:line="600"/>
              <w:jc w:val="center"/>
            </w:pPr>
            <w:r/>
            <w:r>
              <w:rPr>
                <w:rFonts w:ascii="仿宋_GB2312" w:hAnsi="仿宋_GB2312" w:eastAsia="仿宋_GB2312"/>
                <w:b w:val="0"/>
                <w:color w:val="000000"/>
                <w:sz w:val="32"/>
              </w:rPr>
              <w:t>外销</w:t>
            </w:r>
          </w:p>
        </w:tc>
      </w:tr>
      <w:tr>
        <w:tc>
          <w:tcPr>
            <w:tcW w:type="dxa" w:w="1984"/>
          </w:tcPr>
          <w:p>
            <w:pPr>
              <w:spacing w:lineRule="exact" w:line="600"/>
              <w:jc w:val="center"/>
            </w:pPr>
            <w:r/>
            <w:r>
              <w:rPr>
                <w:rFonts w:ascii="仿宋_GB2312" w:hAnsi="仿宋_GB2312" w:eastAsia="仿宋_GB2312"/>
                <w:b w:val="0"/>
                <w:color w:val="000000"/>
                <w:sz w:val="32"/>
              </w:rPr>
              <w:t>绿色园区</w:t>
            </w:r>
          </w:p>
        </w:tc>
        <w:tc>
          <w:tcPr>
            <w:tcW w:type="dxa" w:w="3118"/>
          </w:tcPr>
          <w:p>
            <w:pPr>
              <w:spacing w:lineRule="exact" w:line="600"/>
              <w:jc w:val="center"/>
            </w:pPr>
            <w:r/>
            <w:r>
              <w:rPr>
                <w:rFonts w:ascii="仿宋_GB2312" w:hAnsi="仿宋_GB2312" w:eastAsia="仿宋_GB2312"/>
                <w:b w:val="0"/>
                <w:color w:val="000000"/>
                <w:sz w:val="32"/>
              </w:rPr>
              <w:t>政策</w:t>
            </w:r>
          </w:p>
        </w:tc>
        <w:tc>
          <w:tcPr>
            <w:tcW w:type="dxa" w:w="3402"/>
          </w:tcPr>
          <w:p>
            <w:pPr>
              <w:spacing w:lineRule="exact" w:line="600"/>
              <w:jc w:val="center"/>
            </w:pPr>
            <w:r/>
            <w:r>
              <w:rPr>
                <w:rFonts w:ascii="仿宋_GB2312" w:hAnsi="仿宋_GB2312" w:eastAsia="仿宋_GB2312"/>
                <w:b w:val="0"/>
                <w:color w:val="000000"/>
                <w:sz w:val="32"/>
              </w:rPr>
              <w:t>赋能</w:t>
            </w:r>
          </w:p>
        </w:tc>
      </w:tr>
    </w:tbl>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挑战一：耐材属「两高」，环保能耗约束强、转型压力陡（来源：经济日报）。挑战二：低端同质化价格战，中端毛利受压。挑战三：高端多晶纤维技术由国际巨头主导，本土追赶难（来源：华经院）。挑战四：公开资料有限，中小企业融资与品牌弱。</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挑战</w:t>
            </w:r>
          </w:p>
        </w:tc>
        <w:tc>
          <w:tcPr>
            <w:tcW w:type="dxa" w:w="3402"/>
          </w:tcPr>
          <w:p>
            <w:pPr>
              <w:spacing w:lineRule="exact" w:line="600"/>
              <w:jc w:val="center"/>
            </w:pPr>
            <w:r/>
            <w:r>
              <w:rPr>
                <w:rFonts w:ascii="黑体" w:hAnsi="黑体" w:eastAsia="黑体"/>
                <w:b/>
                <w:color w:val="000000"/>
                <w:sz w:val="32"/>
              </w:rPr>
              <w:t>表现</w:t>
            </w:r>
          </w:p>
        </w:tc>
        <w:tc>
          <w:tcPr>
            <w:tcW w:type="dxa" w:w="3685"/>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两高管控</w:t>
            </w:r>
          </w:p>
        </w:tc>
        <w:tc>
          <w:tcPr>
            <w:tcW w:type="dxa" w:w="3402"/>
          </w:tcPr>
          <w:p>
            <w:pPr>
              <w:spacing w:lineRule="exact" w:line="600"/>
              <w:jc w:val="center"/>
            </w:pPr>
            <w:r/>
            <w:r>
              <w:rPr>
                <w:rFonts w:ascii="仿宋_GB2312" w:hAnsi="仿宋_GB2312" w:eastAsia="仿宋_GB2312"/>
                <w:b w:val="0"/>
                <w:color w:val="000000"/>
                <w:sz w:val="32"/>
              </w:rPr>
              <w:t>环保投入</w:t>
            </w:r>
          </w:p>
        </w:tc>
        <w:tc>
          <w:tcPr>
            <w:tcW w:type="dxa" w:w="3685"/>
          </w:tcPr>
          <w:p>
            <w:pPr>
              <w:spacing w:lineRule="exact" w:line="600"/>
              <w:jc w:val="center"/>
            </w:pPr>
            <w:r/>
            <w:r>
              <w:rPr>
                <w:rFonts w:ascii="仿宋_GB2312" w:hAnsi="仿宋_GB2312" w:eastAsia="仿宋_GB2312"/>
                <w:b w:val="0"/>
                <w:color w:val="000000"/>
                <w:sz w:val="32"/>
              </w:rPr>
              <w:t>成本升</w:t>
            </w:r>
          </w:p>
        </w:tc>
      </w:tr>
      <w:tr>
        <w:tc>
          <w:tcPr>
            <w:tcW w:type="dxa" w:w="1701"/>
          </w:tcPr>
          <w:p>
            <w:pPr>
              <w:spacing w:lineRule="exact" w:line="600"/>
              <w:jc w:val="center"/>
            </w:pPr>
            <w:r/>
            <w:r>
              <w:rPr>
                <w:rFonts w:ascii="仿宋_GB2312" w:hAnsi="仿宋_GB2312" w:eastAsia="仿宋_GB2312"/>
                <w:b w:val="0"/>
                <w:color w:val="000000"/>
                <w:sz w:val="32"/>
              </w:rPr>
              <w:t>价格战</w:t>
            </w:r>
          </w:p>
        </w:tc>
        <w:tc>
          <w:tcPr>
            <w:tcW w:type="dxa" w:w="3402"/>
          </w:tcPr>
          <w:p>
            <w:pPr>
              <w:spacing w:lineRule="exact" w:line="600"/>
              <w:jc w:val="center"/>
            </w:pPr>
            <w:r/>
            <w:r>
              <w:rPr>
                <w:rFonts w:ascii="仿宋_GB2312" w:hAnsi="仿宋_GB2312" w:eastAsia="仿宋_GB2312"/>
                <w:b w:val="0"/>
                <w:color w:val="000000"/>
                <w:sz w:val="32"/>
              </w:rPr>
              <w:t>低端</w:t>
            </w:r>
          </w:p>
        </w:tc>
        <w:tc>
          <w:tcPr>
            <w:tcW w:type="dxa" w:w="3685"/>
          </w:tcPr>
          <w:p>
            <w:pPr>
              <w:spacing w:lineRule="exact" w:line="600"/>
              <w:jc w:val="center"/>
            </w:pPr>
            <w:r/>
            <w:r>
              <w:rPr>
                <w:rFonts w:ascii="仿宋_GB2312" w:hAnsi="仿宋_GB2312" w:eastAsia="仿宋_GB2312"/>
                <w:b w:val="0"/>
                <w:color w:val="000000"/>
                <w:sz w:val="32"/>
              </w:rPr>
              <w:t>毛利压</w:t>
            </w:r>
          </w:p>
        </w:tc>
      </w:tr>
      <w:tr>
        <w:tc>
          <w:tcPr>
            <w:tcW w:type="dxa" w:w="1701"/>
          </w:tcPr>
          <w:p>
            <w:pPr>
              <w:spacing w:lineRule="exact" w:line="600"/>
              <w:jc w:val="center"/>
            </w:pPr>
            <w:r/>
            <w:r>
              <w:rPr>
                <w:rFonts w:ascii="仿宋_GB2312" w:hAnsi="仿宋_GB2312" w:eastAsia="仿宋_GB2312"/>
                <w:b w:val="0"/>
                <w:color w:val="000000"/>
                <w:sz w:val="32"/>
              </w:rPr>
              <w:t>高端壁垒</w:t>
            </w:r>
          </w:p>
        </w:tc>
        <w:tc>
          <w:tcPr>
            <w:tcW w:type="dxa" w:w="3402"/>
          </w:tcPr>
          <w:p>
            <w:pPr>
              <w:spacing w:lineRule="exact" w:line="600"/>
              <w:jc w:val="center"/>
            </w:pPr>
            <w:r/>
            <w:r>
              <w:rPr>
                <w:rFonts w:ascii="仿宋_GB2312" w:hAnsi="仿宋_GB2312" w:eastAsia="仿宋_GB2312"/>
                <w:b w:val="0"/>
                <w:color w:val="000000"/>
                <w:sz w:val="32"/>
              </w:rPr>
              <w:t>国际主导</w:t>
            </w:r>
          </w:p>
        </w:tc>
        <w:tc>
          <w:tcPr>
            <w:tcW w:type="dxa" w:w="3685"/>
          </w:tcPr>
          <w:p>
            <w:pPr>
              <w:spacing w:lineRule="exact" w:line="600"/>
              <w:jc w:val="center"/>
            </w:pPr>
            <w:r/>
            <w:r>
              <w:rPr>
                <w:rFonts w:ascii="仿宋_GB2312" w:hAnsi="仿宋_GB2312" w:eastAsia="仿宋_GB2312"/>
                <w:b w:val="0"/>
                <w:color w:val="000000"/>
                <w:sz w:val="32"/>
              </w:rPr>
              <w:t>追赶难</w:t>
            </w:r>
          </w:p>
        </w:tc>
      </w:tr>
      <w:tr>
        <w:tc>
          <w:tcPr>
            <w:tcW w:type="dxa" w:w="1701"/>
          </w:tcPr>
          <w:p>
            <w:pPr>
              <w:spacing w:lineRule="exact" w:line="600"/>
              <w:jc w:val="center"/>
            </w:pPr>
            <w:r/>
            <w:r>
              <w:rPr>
                <w:rFonts w:ascii="仿宋_GB2312" w:hAnsi="仿宋_GB2312" w:eastAsia="仿宋_GB2312"/>
                <w:b w:val="0"/>
                <w:color w:val="000000"/>
                <w:sz w:val="32"/>
              </w:rPr>
              <w:t>资料有限</w:t>
            </w:r>
          </w:p>
        </w:tc>
        <w:tc>
          <w:tcPr>
            <w:tcW w:type="dxa" w:w="3402"/>
          </w:tcPr>
          <w:p>
            <w:pPr>
              <w:spacing w:lineRule="exact" w:line="600"/>
              <w:jc w:val="center"/>
            </w:pPr>
            <w:r/>
            <w:r>
              <w:rPr>
                <w:rFonts w:ascii="仿宋_GB2312" w:hAnsi="仿宋_GB2312" w:eastAsia="仿宋_GB2312"/>
                <w:b w:val="0"/>
                <w:color w:val="000000"/>
                <w:sz w:val="32"/>
              </w:rPr>
              <w:t>中小</w:t>
            </w:r>
          </w:p>
        </w:tc>
        <w:tc>
          <w:tcPr>
            <w:tcW w:type="dxa" w:w="3685"/>
          </w:tcPr>
          <w:p>
            <w:pPr>
              <w:spacing w:lineRule="exact" w:line="600"/>
              <w:jc w:val="center"/>
            </w:pPr>
            <w:r/>
            <w:r>
              <w:rPr>
                <w:rFonts w:ascii="仿宋_GB2312" w:hAnsi="仿宋_GB2312" w:eastAsia="仿宋_GB2312"/>
                <w:b w:val="0"/>
                <w:color w:val="000000"/>
                <w:sz w:val="32"/>
              </w:rPr>
              <w:t>融资弱</w:t>
            </w:r>
          </w:p>
        </w:tc>
      </w:tr>
    </w:tbl>
    <w:p>
      <w:pPr>
        <w:spacing w:lineRule="exact" w:line="600" w:before="120" w:after="120"/>
        <w:ind w:firstLine="420"/>
        <w:jc w:val="left"/>
      </w:pPr>
      <w:r>
        <w:rPr>
          <w:rFonts w:ascii="楷体_GB2312" w:hAnsi="楷体_GB2312" w:eastAsia="楷体_GB2312"/>
          <w:b w:val="0"/>
          <w:color w:val="000000"/>
          <w:sz w:val="32"/>
        </w:rPr>
        <w:t>（三）潜在风险</w:t>
      </w:r>
    </w:p>
    <w:p>
      <w:pPr>
        <w:spacing w:lineRule="exact" w:line="600" w:before="0" w:after="0"/>
        <w:ind w:firstLine="420"/>
        <w:jc w:val="both"/>
      </w:pPr>
      <w:r>
        <w:rPr>
          <w:rFonts w:ascii="仿宋_GB2312" w:hAnsi="仿宋_GB2312" w:eastAsia="仿宋_GB2312"/>
          <w:b w:val="0"/>
          <w:color w:val="000000"/>
          <w:sz w:val="32"/>
        </w:rPr>
        <w:t>风险一：房地产与钢铁下行拖累传统耐材需求。风险二：能源（天然气）价格上行吞噬利润。风险三：环保限产与碳成本上升。风险四：出口受关税与贸易壁垒影响（来源：格隆汇硅酸铝纤维关税研究）。需以高端化、绿色化、多元市场应对。</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w:t>
            </w:r>
          </w:p>
        </w:tc>
        <w:tc>
          <w:tcPr>
            <w:tcW w:type="dxa" w:w="3402"/>
          </w:tcPr>
          <w:p>
            <w:pPr>
              <w:spacing w:lineRule="exact" w:line="600"/>
              <w:jc w:val="center"/>
            </w:pPr>
            <w:r/>
            <w:r>
              <w:rPr>
                <w:rFonts w:ascii="黑体" w:hAnsi="黑体" w:eastAsia="黑体"/>
                <w:b/>
                <w:color w:val="000000"/>
                <w:sz w:val="32"/>
              </w:rPr>
              <w:t>触发</w:t>
            </w:r>
          </w:p>
        </w:tc>
        <w:tc>
          <w:tcPr>
            <w:tcW w:type="dxa" w:w="3685"/>
          </w:tcPr>
          <w:p>
            <w:pPr>
              <w:spacing w:lineRule="exact" w:line="600"/>
              <w:jc w:val="center"/>
            </w:pPr>
            <w:r/>
            <w:r>
              <w:rPr>
                <w:rFonts w:ascii="黑体" w:hAnsi="黑体" w:eastAsia="黑体"/>
                <w:b/>
                <w:color w:val="000000"/>
                <w:sz w:val="32"/>
              </w:rPr>
              <w:t>应对</w:t>
            </w:r>
          </w:p>
        </w:tc>
      </w:tr>
      <w:tr>
        <w:tc>
          <w:tcPr>
            <w:tcW w:type="dxa" w:w="1701"/>
          </w:tcPr>
          <w:p>
            <w:pPr>
              <w:spacing w:lineRule="exact" w:line="600"/>
              <w:jc w:val="center"/>
            </w:pPr>
            <w:r/>
            <w:r>
              <w:rPr>
                <w:rFonts w:ascii="仿宋_GB2312" w:hAnsi="仿宋_GB2312" w:eastAsia="仿宋_GB2312"/>
                <w:b w:val="0"/>
                <w:color w:val="000000"/>
                <w:sz w:val="32"/>
              </w:rPr>
              <w:t>地产/钢铁下行</w:t>
            </w:r>
          </w:p>
        </w:tc>
        <w:tc>
          <w:tcPr>
            <w:tcW w:type="dxa" w:w="3402"/>
          </w:tcPr>
          <w:p>
            <w:pPr>
              <w:spacing w:lineRule="exact" w:line="600"/>
              <w:jc w:val="center"/>
            </w:pPr>
            <w:r/>
            <w:r>
              <w:rPr>
                <w:rFonts w:ascii="仿宋_GB2312" w:hAnsi="仿宋_GB2312" w:eastAsia="仿宋_GB2312"/>
                <w:b w:val="0"/>
                <w:color w:val="000000"/>
                <w:sz w:val="32"/>
              </w:rPr>
              <w:t>需求弱</w:t>
            </w:r>
          </w:p>
        </w:tc>
        <w:tc>
          <w:tcPr>
            <w:tcW w:type="dxa" w:w="3685"/>
          </w:tcPr>
          <w:p>
            <w:pPr>
              <w:spacing w:lineRule="exact" w:line="600"/>
              <w:jc w:val="center"/>
            </w:pPr>
            <w:r/>
            <w:r>
              <w:rPr>
                <w:rFonts w:ascii="仿宋_GB2312" w:hAnsi="仿宋_GB2312" w:eastAsia="仿宋_GB2312"/>
                <w:b w:val="0"/>
                <w:color w:val="000000"/>
                <w:sz w:val="32"/>
              </w:rPr>
              <w:t>新兴应用</w:t>
            </w:r>
          </w:p>
        </w:tc>
      </w:tr>
      <w:tr>
        <w:tc>
          <w:tcPr>
            <w:tcW w:type="dxa" w:w="1701"/>
          </w:tcPr>
          <w:p>
            <w:pPr>
              <w:spacing w:lineRule="exact" w:line="600"/>
              <w:jc w:val="center"/>
            </w:pPr>
            <w:r/>
            <w:r>
              <w:rPr>
                <w:rFonts w:ascii="仿宋_GB2312" w:hAnsi="仿宋_GB2312" w:eastAsia="仿宋_GB2312"/>
                <w:b w:val="0"/>
                <w:color w:val="000000"/>
                <w:sz w:val="32"/>
              </w:rPr>
              <w:t>能源上行</w:t>
            </w:r>
          </w:p>
        </w:tc>
        <w:tc>
          <w:tcPr>
            <w:tcW w:type="dxa" w:w="3402"/>
          </w:tcPr>
          <w:p>
            <w:pPr>
              <w:spacing w:lineRule="exact" w:line="600"/>
              <w:jc w:val="center"/>
            </w:pPr>
            <w:r/>
            <w:r>
              <w:rPr>
                <w:rFonts w:ascii="仿宋_GB2312" w:hAnsi="仿宋_GB2312" w:eastAsia="仿宋_GB2312"/>
                <w:b w:val="0"/>
                <w:color w:val="000000"/>
                <w:sz w:val="32"/>
              </w:rPr>
              <w:t>气价</w:t>
            </w:r>
          </w:p>
        </w:tc>
        <w:tc>
          <w:tcPr>
            <w:tcW w:type="dxa" w:w="3685"/>
          </w:tcPr>
          <w:p>
            <w:pPr>
              <w:spacing w:lineRule="exact" w:line="600"/>
              <w:jc w:val="center"/>
            </w:pPr>
            <w:r/>
            <w:r>
              <w:rPr>
                <w:rFonts w:ascii="仿宋_GB2312" w:hAnsi="仿宋_GB2312" w:eastAsia="仿宋_GB2312"/>
                <w:b w:val="0"/>
                <w:color w:val="000000"/>
                <w:sz w:val="32"/>
              </w:rPr>
              <w:t>节能</w:t>
            </w:r>
          </w:p>
        </w:tc>
      </w:tr>
      <w:tr>
        <w:tc>
          <w:tcPr>
            <w:tcW w:type="dxa" w:w="1701"/>
          </w:tcPr>
          <w:p>
            <w:pPr>
              <w:spacing w:lineRule="exact" w:line="600"/>
              <w:jc w:val="center"/>
            </w:pPr>
            <w:r/>
            <w:r>
              <w:rPr>
                <w:rFonts w:ascii="仿宋_GB2312" w:hAnsi="仿宋_GB2312" w:eastAsia="仿宋_GB2312"/>
                <w:b w:val="0"/>
                <w:color w:val="000000"/>
                <w:sz w:val="32"/>
              </w:rPr>
              <w:t>碳成本</w:t>
            </w:r>
          </w:p>
        </w:tc>
        <w:tc>
          <w:tcPr>
            <w:tcW w:type="dxa" w:w="3402"/>
          </w:tcPr>
          <w:p>
            <w:pPr>
              <w:spacing w:lineRule="exact" w:line="600"/>
              <w:jc w:val="center"/>
            </w:pPr>
            <w:r/>
            <w:r>
              <w:rPr>
                <w:rFonts w:ascii="仿宋_GB2312" w:hAnsi="仿宋_GB2312" w:eastAsia="仿宋_GB2312"/>
                <w:b w:val="0"/>
                <w:color w:val="000000"/>
                <w:sz w:val="32"/>
              </w:rPr>
              <w:t>限产</w:t>
            </w:r>
          </w:p>
        </w:tc>
        <w:tc>
          <w:tcPr>
            <w:tcW w:type="dxa" w:w="3685"/>
          </w:tcPr>
          <w:p>
            <w:pPr>
              <w:spacing w:lineRule="exact" w:line="600"/>
              <w:jc w:val="center"/>
            </w:pPr>
            <w:r/>
            <w:r>
              <w:rPr>
                <w:rFonts w:ascii="仿宋_GB2312" w:hAnsi="仿宋_GB2312" w:eastAsia="仿宋_GB2312"/>
                <w:b w:val="0"/>
                <w:color w:val="000000"/>
                <w:sz w:val="32"/>
              </w:rPr>
              <w:t>绿色</w:t>
            </w:r>
          </w:p>
        </w:tc>
      </w:tr>
      <w:tr>
        <w:tc>
          <w:tcPr>
            <w:tcW w:type="dxa" w:w="1701"/>
          </w:tcPr>
          <w:p>
            <w:pPr>
              <w:spacing w:lineRule="exact" w:line="600"/>
              <w:jc w:val="center"/>
            </w:pPr>
            <w:r/>
            <w:r>
              <w:rPr>
                <w:rFonts w:ascii="仿宋_GB2312" w:hAnsi="仿宋_GB2312" w:eastAsia="仿宋_GB2312"/>
                <w:b w:val="0"/>
                <w:color w:val="000000"/>
                <w:sz w:val="32"/>
              </w:rPr>
              <w:t>贸易壁垒</w:t>
            </w:r>
          </w:p>
        </w:tc>
        <w:tc>
          <w:tcPr>
            <w:tcW w:type="dxa" w:w="3402"/>
          </w:tcPr>
          <w:p>
            <w:pPr>
              <w:spacing w:lineRule="exact" w:line="600"/>
              <w:jc w:val="center"/>
            </w:pPr>
            <w:r/>
            <w:r>
              <w:rPr>
                <w:rFonts w:ascii="仿宋_GB2312" w:hAnsi="仿宋_GB2312" w:eastAsia="仿宋_GB2312"/>
                <w:b w:val="0"/>
                <w:color w:val="000000"/>
                <w:sz w:val="32"/>
              </w:rPr>
              <w:t>关税</w:t>
            </w:r>
          </w:p>
        </w:tc>
        <w:tc>
          <w:tcPr>
            <w:tcW w:type="dxa" w:w="3685"/>
          </w:tcPr>
          <w:p>
            <w:pPr>
              <w:spacing w:lineRule="exact" w:line="600"/>
              <w:jc w:val="center"/>
            </w:pPr>
            <w:r/>
            <w:r>
              <w:rPr>
                <w:rFonts w:ascii="仿宋_GB2312" w:hAnsi="仿宋_GB2312" w:eastAsia="仿宋_GB2312"/>
                <w:b w:val="0"/>
                <w:color w:val="000000"/>
                <w:sz w:val="32"/>
              </w:rPr>
              <w:t>多元</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（一）绿色智能改造</w:t>
      </w:r>
    </w:p>
    <w:p>
      <w:pPr>
        <w:spacing w:lineRule="exact" w:line="600" w:before="0" w:after="0"/>
        <w:ind w:firstLine="420"/>
        <w:jc w:val="both"/>
      </w:pPr>
      <w:r>
        <w:rPr>
          <w:rFonts w:ascii="仿宋_GB2312" w:hAnsi="仿宋_GB2312" w:eastAsia="仿宋_GB2312"/>
          <w:b w:val="0"/>
          <w:color w:val="000000"/>
          <w:sz w:val="32"/>
        </w:rPr>
        <w:t>路径一：推广嘉岳模式，自动配料+窑炉控温，产能+33%、能耗-25%、污染物-28%（来源：经济日报）。路径二：整治小散乱污、集中度提升（来源：经济日报）。路径三：余热回收与低能耗窑炉普及。</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举措</w:t>
            </w:r>
          </w:p>
        </w:tc>
        <w:tc>
          <w:tcPr>
            <w:tcW w:type="dxa" w:w="3402"/>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智能配料</w:t>
            </w:r>
          </w:p>
        </w:tc>
        <w:tc>
          <w:tcPr>
            <w:tcW w:type="dxa" w:w="3685"/>
          </w:tcPr>
          <w:p>
            <w:pPr>
              <w:spacing w:lineRule="exact" w:line="600"/>
              <w:jc w:val="center"/>
            </w:pPr>
            <w:r/>
            <w:r>
              <w:rPr>
                <w:rFonts w:ascii="仿宋_GB2312" w:hAnsi="仿宋_GB2312" w:eastAsia="仿宋_GB2312"/>
                <w:b w:val="0"/>
                <w:color w:val="000000"/>
                <w:sz w:val="32"/>
              </w:rPr>
              <w:t>自动+控温</w:t>
            </w:r>
          </w:p>
        </w:tc>
        <w:tc>
          <w:tcPr>
            <w:tcW w:type="dxa" w:w="3402"/>
          </w:tcPr>
          <w:p>
            <w:pPr>
              <w:spacing w:lineRule="exact" w:line="600"/>
              <w:jc w:val="center"/>
            </w:pPr>
            <w:r/>
            <w:r>
              <w:rPr>
                <w:rFonts w:ascii="仿宋_GB2312" w:hAnsi="仿宋_GB2312" w:eastAsia="仿宋_GB2312"/>
                <w:b w:val="0"/>
                <w:color w:val="000000"/>
                <w:sz w:val="32"/>
              </w:rPr>
              <w:t>降耗</w:t>
            </w:r>
          </w:p>
        </w:tc>
      </w:tr>
      <w:tr>
        <w:tc>
          <w:tcPr>
            <w:tcW w:type="dxa" w:w="1701"/>
          </w:tcPr>
          <w:p>
            <w:pPr>
              <w:spacing w:lineRule="exact" w:line="600"/>
              <w:jc w:val="center"/>
            </w:pPr>
            <w:r/>
            <w:r>
              <w:rPr>
                <w:rFonts w:ascii="仿宋_GB2312" w:hAnsi="仿宋_GB2312" w:eastAsia="仿宋_GB2312"/>
                <w:b w:val="0"/>
                <w:color w:val="000000"/>
                <w:sz w:val="32"/>
              </w:rPr>
              <w:t>集中度</w:t>
            </w:r>
          </w:p>
        </w:tc>
        <w:tc>
          <w:tcPr>
            <w:tcW w:type="dxa" w:w="3685"/>
          </w:tcPr>
          <w:p>
            <w:pPr>
              <w:spacing w:lineRule="exact" w:line="600"/>
              <w:jc w:val="center"/>
            </w:pPr>
            <w:r/>
            <w:r>
              <w:rPr>
                <w:rFonts w:ascii="仿宋_GB2312" w:hAnsi="仿宋_GB2312" w:eastAsia="仿宋_GB2312"/>
                <w:b w:val="0"/>
                <w:color w:val="000000"/>
                <w:sz w:val="32"/>
              </w:rPr>
              <w:t>整治散乱</w:t>
            </w:r>
          </w:p>
        </w:tc>
        <w:tc>
          <w:tcPr>
            <w:tcW w:type="dxa" w:w="3402"/>
          </w:tcPr>
          <w:p>
            <w:pPr>
              <w:spacing w:lineRule="exact" w:line="600"/>
              <w:jc w:val="center"/>
            </w:pPr>
            <w:r/>
            <w:r>
              <w:rPr>
                <w:rFonts w:ascii="仿宋_GB2312" w:hAnsi="仿宋_GB2312" w:eastAsia="仿宋_GB2312"/>
                <w:b w:val="0"/>
                <w:color w:val="000000"/>
                <w:sz w:val="32"/>
              </w:rPr>
              <w:t>提质</w:t>
            </w:r>
          </w:p>
        </w:tc>
      </w:tr>
      <w:tr>
        <w:tc>
          <w:tcPr>
            <w:tcW w:type="dxa" w:w="1701"/>
          </w:tcPr>
          <w:p>
            <w:pPr>
              <w:spacing w:lineRule="exact" w:line="600"/>
              <w:jc w:val="center"/>
            </w:pPr>
            <w:r/>
            <w:r>
              <w:rPr>
                <w:rFonts w:ascii="仿宋_GB2312" w:hAnsi="仿宋_GB2312" w:eastAsia="仿宋_GB2312"/>
                <w:b w:val="0"/>
                <w:color w:val="000000"/>
                <w:sz w:val="32"/>
              </w:rPr>
              <w:t>余热</w:t>
            </w:r>
          </w:p>
        </w:tc>
        <w:tc>
          <w:tcPr>
            <w:tcW w:type="dxa" w:w="3685"/>
          </w:tcPr>
          <w:p>
            <w:pPr>
              <w:spacing w:lineRule="exact" w:line="600"/>
              <w:jc w:val="center"/>
            </w:pPr>
            <w:r/>
            <w:r>
              <w:rPr>
                <w:rFonts w:ascii="仿宋_GB2312" w:hAnsi="仿宋_GB2312" w:eastAsia="仿宋_GB2312"/>
                <w:b w:val="0"/>
                <w:color w:val="000000"/>
                <w:sz w:val="32"/>
              </w:rPr>
              <w:t>回收</w:t>
            </w:r>
          </w:p>
        </w:tc>
        <w:tc>
          <w:tcPr>
            <w:tcW w:type="dxa" w:w="3402"/>
          </w:tcPr>
          <w:p>
            <w:pPr>
              <w:spacing w:lineRule="exact" w:line="600"/>
              <w:jc w:val="center"/>
            </w:pPr>
            <w:r/>
            <w:r>
              <w:rPr>
                <w:rFonts w:ascii="仿宋_GB2312" w:hAnsi="仿宋_GB2312" w:eastAsia="仿宋_GB2312"/>
                <w:b w:val="0"/>
                <w:color w:val="000000"/>
                <w:sz w:val="32"/>
              </w:rPr>
              <w:t>节能</w:t>
            </w:r>
          </w:p>
        </w:tc>
      </w:tr>
    </w:tbl>
    <w:p>
      <w:pPr>
        <w:spacing w:lineRule="exact" w:line="600" w:before="120" w:after="120"/>
        <w:ind w:firstLine="420"/>
        <w:jc w:val="left"/>
      </w:pPr>
      <w:r>
        <w:rPr>
          <w:rFonts w:ascii="楷体_GB2312" w:hAnsi="楷体_GB2312" w:eastAsia="楷体_GB2312"/>
          <w:b w:val="0"/>
          <w:color w:val="000000"/>
          <w:sz w:val="32"/>
        </w:rPr>
        <w:t>（二）高端化延伸</w:t>
      </w:r>
    </w:p>
    <w:p>
      <w:pPr>
        <w:spacing w:lineRule="exact" w:line="600" w:before="0" w:after="0"/>
        <w:ind w:firstLine="420"/>
        <w:jc w:val="both"/>
      </w:pPr>
      <w:r>
        <w:rPr>
          <w:rFonts w:ascii="仿宋_GB2312" w:hAnsi="仿宋_GB2312" w:eastAsia="仿宋_GB2312"/>
          <w:b w:val="0"/>
          <w:color w:val="000000"/>
          <w:sz w:val="32"/>
        </w:rPr>
        <w:t>路径一：延伸晶体氧化铝、多晶莫来石/氧化锆高端纤维，突破国际垄断（来源：华经院）。路径二：同发等扩建高端线、提升产品档次（来源：同发企业介绍）。路径三：以鲁阳为标杆，提升国内份额与技术。</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高端纤维</w:t>
            </w:r>
          </w:p>
        </w:tc>
        <w:tc>
          <w:tcPr>
            <w:tcW w:type="dxa" w:w="3685"/>
          </w:tcPr>
          <w:p>
            <w:pPr>
              <w:spacing w:lineRule="exact" w:line="600"/>
              <w:jc w:val="center"/>
            </w:pPr>
            <w:r/>
            <w:r>
              <w:rPr>
                <w:rFonts w:ascii="仿宋_GB2312" w:hAnsi="仿宋_GB2312" w:eastAsia="仿宋_GB2312"/>
                <w:b w:val="0"/>
                <w:color w:val="000000"/>
                <w:sz w:val="32"/>
              </w:rPr>
              <w:t>晶体/多晶</w:t>
            </w:r>
          </w:p>
        </w:tc>
        <w:tc>
          <w:tcPr>
            <w:tcW w:type="dxa" w:w="3402"/>
          </w:tcPr>
          <w:p>
            <w:pPr>
              <w:spacing w:lineRule="exact" w:line="600"/>
              <w:jc w:val="center"/>
            </w:pPr>
            <w:r/>
            <w:r>
              <w:rPr>
                <w:rFonts w:ascii="仿宋_GB2312" w:hAnsi="仿宋_GB2312" w:eastAsia="仿宋_GB2312"/>
                <w:b w:val="0"/>
                <w:color w:val="000000"/>
                <w:sz w:val="32"/>
              </w:rPr>
              <w:t>进口替代</w:t>
            </w:r>
          </w:p>
        </w:tc>
      </w:tr>
      <w:tr>
        <w:tc>
          <w:tcPr>
            <w:tcW w:type="dxa" w:w="1701"/>
          </w:tcPr>
          <w:p>
            <w:pPr>
              <w:spacing w:lineRule="exact" w:line="600"/>
              <w:jc w:val="center"/>
            </w:pPr>
            <w:r/>
            <w:r>
              <w:rPr>
                <w:rFonts w:ascii="仿宋_GB2312" w:hAnsi="仿宋_GB2312" w:eastAsia="仿宋_GB2312"/>
                <w:b w:val="0"/>
                <w:color w:val="000000"/>
                <w:sz w:val="32"/>
              </w:rPr>
              <w:t>产线</w:t>
            </w:r>
          </w:p>
        </w:tc>
        <w:tc>
          <w:tcPr>
            <w:tcW w:type="dxa" w:w="3685"/>
          </w:tcPr>
          <w:p>
            <w:pPr>
              <w:spacing w:lineRule="exact" w:line="600"/>
              <w:jc w:val="center"/>
            </w:pPr>
            <w:r/>
            <w:r>
              <w:rPr>
                <w:rFonts w:ascii="仿宋_GB2312" w:hAnsi="仿宋_GB2312" w:eastAsia="仿宋_GB2312"/>
                <w:b w:val="0"/>
                <w:color w:val="000000"/>
                <w:sz w:val="32"/>
              </w:rPr>
              <w:t>同发扩</w:t>
            </w:r>
          </w:p>
        </w:tc>
        <w:tc>
          <w:tcPr>
            <w:tcW w:type="dxa" w:w="3402"/>
          </w:tcPr>
          <w:p>
            <w:pPr>
              <w:spacing w:lineRule="exact" w:line="600"/>
              <w:jc w:val="center"/>
            </w:pPr>
            <w:r/>
            <w:r>
              <w:rPr>
                <w:rFonts w:ascii="仿宋_GB2312" w:hAnsi="仿宋_GB2312" w:eastAsia="仿宋_GB2312"/>
                <w:b w:val="0"/>
                <w:color w:val="000000"/>
                <w:sz w:val="32"/>
              </w:rPr>
              <w:t>档次</w:t>
            </w:r>
          </w:p>
        </w:tc>
      </w:tr>
      <w:tr>
        <w:tc>
          <w:tcPr>
            <w:tcW w:type="dxa" w:w="1701"/>
          </w:tcPr>
          <w:p>
            <w:pPr>
              <w:spacing w:lineRule="exact" w:line="600"/>
              <w:jc w:val="center"/>
            </w:pPr>
            <w:r/>
            <w:r>
              <w:rPr>
                <w:rFonts w:ascii="仿宋_GB2312" w:hAnsi="仿宋_GB2312" w:eastAsia="仿宋_GB2312"/>
                <w:b w:val="0"/>
                <w:color w:val="000000"/>
                <w:sz w:val="32"/>
              </w:rPr>
              <w:t>标杆</w:t>
            </w:r>
          </w:p>
        </w:tc>
        <w:tc>
          <w:tcPr>
            <w:tcW w:type="dxa" w:w="3685"/>
          </w:tcPr>
          <w:p>
            <w:pPr>
              <w:spacing w:lineRule="exact" w:line="600"/>
              <w:jc w:val="center"/>
            </w:pPr>
            <w:r/>
            <w:r>
              <w:rPr>
                <w:rFonts w:ascii="仿宋_GB2312" w:hAnsi="仿宋_GB2312" w:eastAsia="仿宋_GB2312"/>
                <w:b w:val="0"/>
                <w:color w:val="000000"/>
                <w:sz w:val="32"/>
              </w:rPr>
              <w:t>鲁阳</w:t>
            </w:r>
          </w:p>
        </w:tc>
        <w:tc>
          <w:tcPr>
            <w:tcW w:type="dxa" w:w="3402"/>
          </w:tcPr>
          <w:p>
            <w:pPr>
              <w:spacing w:lineRule="exact" w:line="600"/>
              <w:jc w:val="center"/>
            </w:pPr>
            <w:r/>
            <w:r>
              <w:rPr>
                <w:rFonts w:ascii="仿宋_GB2312" w:hAnsi="仿宋_GB2312" w:eastAsia="仿宋_GB2312"/>
                <w:b w:val="0"/>
                <w:color w:val="000000"/>
                <w:sz w:val="32"/>
              </w:rPr>
              <w:t>技术</w:t>
            </w:r>
          </w:p>
        </w:tc>
      </w:tr>
    </w:tbl>
    <w:p>
      <w:pPr>
        <w:spacing w:lineRule="exact" w:line="600" w:before="120" w:after="120"/>
        <w:ind w:firstLine="420"/>
        <w:jc w:val="left"/>
      </w:pPr>
      <w:r>
        <w:rPr>
          <w:rFonts w:ascii="楷体_GB2312" w:hAnsi="楷体_GB2312" w:eastAsia="楷体_GB2312"/>
          <w:b w:val="0"/>
          <w:color w:val="000000"/>
          <w:sz w:val="32"/>
        </w:rPr>
        <w:t>（三）集群生态与品牌</w:t>
      </w:r>
    </w:p>
    <w:p>
      <w:pPr>
        <w:spacing w:lineRule="exact" w:line="600" w:before="0" w:after="0"/>
        <w:ind w:firstLine="420"/>
        <w:jc w:val="both"/>
      </w:pPr>
      <w:r>
        <w:rPr>
          <w:rFonts w:ascii="仿宋_GB2312" w:hAnsi="仿宋_GB2312" w:eastAsia="仿宋_GB2312"/>
          <w:b w:val="0"/>
          <w:color w:val="000000"/>
          <w:sz w:val="32"/>
        </w:rPr>
        <w:t>路径一：依托周村绿色园区与「开采-煅烧-制造」链条降本协同（来源：经济日报）。路径二：链主（嘉岳、鲁阳）带中小企业融通。路径三：以ISO9001与出口认证提升品牌，拓展一带一路市场（来源：同发官网）。</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效果</w:t>
            </w:r>
          </w:p>
        </w:tc>
      </w:tr>
      <w:tr>
        <w:tc>
          <w:tcPr>
            <w:tcW w:type="dxa" w:w="1701"/>
          </w:tcPr>
          <w:p>
            <w:pPr>
              <w:spacing w:lineRule="exact" w:line="600"/>
              <w:jc w:val="center"/>
            </w:pPr>
            <w:r/>
            <w:r>
              <w:rPr>
                <w:rFonts w:ascii="仿宋_GB2312" w:hAnsi="仿宋_GB2312" w:eastAsia="仿宋_GB2312"/>
                <w:b w:val="0"/>
                <w:color w:val="000000"/>
                <w:sz w:val="32"/>
              </w:rPr>
              <w:t>链条协同</w:t>
            </w:r>
          </w:p>
        </w:tc>
        <w:tc>
          <w:tcPr>
            <w:tcW w:type="dxa" w:w="3685"/>
          </w:tcPr>
          <w:p>
            <w:pPr>
              <w:spacing w:lineRule="exact" w:line="600"/>
              <w:jc w:val="center"/>
            </w:pPr>
            <w:r/>
            <w:r>
              <w:rPr>
                <w:rFonts w:ascii="仿宋_GB2312" w:hAnsi="仿宋_GB2312" w:eastAsia="仿宋_GB2312"/>
                <w:b w:val="0"/>
                <w:color w:val="000000"/>
                <w:sz w:val="32"/>
              </w:rPr>
              <w:t>本地原料</w:t>
            </w:r>
          </w:p>
        </w:tc>
        <w:tc>
          <w:tcPr>
            <w:tcW w:type="dxa" w:w="3402"/>
          </w:tcPr>
          <w:p>
            <w:pPr>
              <w:spacing w:lineRule="exact" w:line="600"/>
              <w:jc w:val="center"/>
            </w:pPr>
            <w:r/>
            <w:r>
              <w:rPr>
                <w:rFonts w:ascii="仿宋_GB2312" w:hAnsi="仿宋_GB2312" w:eastAsia="仿宋_GB2312"/>
                <w:b w:val="0"/>
                <w:color w:val="000000"/>
                <w:sz w:val="32"/>
              </w:rPr>
              <w:t>降本</w:t>
            </w:r>
          </w:p>
        </w:tc>
      </w:tr>
      <w:tr>
        <w:tc>
          <w:tcPr>
            <w:tcW w:type="dxa" w:w="1701"/>
          </w:tcPr>
          <w:p>
            <w:pPr>
              <w:spacing w:lineRule="exact" w:line="600"/>
              <w:jc w:val="center"/>
            </w:pPr>
            <w:r/>
            <w:r>
              <w:rPr>
                <w:rFonts w:ascii="仿宋_GB2312" w:hAnsi="仿宋_GB2312" w:eastAsia="仿宋_GB2312"/>
                <w:b w:val="0"/>
                <w:color w:val="000000"/>
                <w:sz w:val="32"/>
              </w:rPr>
              <w:t>融通</w:t>
            </w:r>
          </w:p>
        </w:tc>
        <w:tc>
          <w:tcPr>
            <w:tcW w:type="dxa" w:w="3685"/>
          </w:tcPr>
          <w:p>
            <w:pPr>
              <w:spacing w:lineRule="exact" w:line="600"/>
              <w:jc w:val="center"/>
            </w:pPr>
            <w:r/>
            <w:r>
              <w:rPr>
                <w:rFonts w:ascii="仿宋_GB2312" w:hAnsi="仿宋_GB2312" w:eastAsia="仿宋_GB2312"/>
                <w:b w:val="0"/>
                <w:color w:val="000000"/>
                <w:sz w:val="32"/>
              </w:rPr>
              <w:t>链主带</w:t>
            </w:r>
          </w:p>
        </w:tc>
        <w:tc>
          <w:tcPr>
            <w:tcW w:type="dxa" w:w="3402"/>
          </w:tcPr>
          <w:p>
            <w:pPr>
              <w:spacing w:lineRule="exact" w:line="600"/>
              <w:jc w:val="center"/>
            </w:pPr>
            <w:r/>
            <w:r>
              <w:rPr>
                <w:rFonts w:ascii="仿宋_GB2312" w:hAnsi="仿宋_GB2312" w:eastAsia="仿宋_GB2312"/>
                <w:b w:val="0"/>
                <w:color w:val="000000"/>
                <w:sz w:val="32"/>
              </w:rPr>
              <w:t>生态</w:t>
            </w:r>
          </w:p>
        </w:tc>
      </w:tr>
      <w:tr>
        <w:tc>
          <w:tcPr>
            <w:tcW w:type="dxa" w:w="1701"/>
          </w:tcPr>
          <w:p>
            <w:pPr>
              <w:spacing w:lineRule="exact" w:line="600"/>
              <w:jc w:val="center"/>
            </w:pPr>
            <w:r/>
            <w:r>
              <w:rPr>
                <w:rFonts w:ascii="仿宋_GB2312" w:hAnsi="仿宋_GB2312" w:eastAsia="仿宋_GB2312"/>
                <w:b w:val="0"/>
                <w:color w:val="000000"/>
                <w:sz w:val="32"/>
              </w:rPr>
              <w:t>品牌</w:t>
            </w:r>
          </w:p>
        </w:tc>
        <w:tc>
          <w:tcPr>
            <w:tcW w:type="dxa" w:w="3685"/>
          </w:tcPr>
          <w:p>
            <w:pPr>
              <w:spacing w:lineRule="exact" w:line="600"/>
              <w:jc w:val="center"/>
            </w:pPr>
            <w:r/>
            <w:r>
              <w:rPr>
                <w:rFonts w:ascii="仿宋_GB2312" w:hAnsi="仿宋_GB2312" w:eastAsia="仿宋_GB2312"/>
                <w:b w:val="0"/>
                <w:color w:val="000000"/>
                <w:sz w:val="32"/>
              </w:rPr>
              <w:t>认证出口</w:t>
            </w:r>
          </w:p>
        </w:tc>
        <w:tc>
          <w:tcPr>
            <w:tcW w:type="dxa" w:w="3402"/>
          </w:tcPr>
          <w:p>
            <w:pPr>
              <w:spacing w:lineRule="exact" w:line="600"/>
              <w:jc w:val="center"/>
            </w:pPr>
            <w:r/>
            <w:r>
              <w:rPr>
                <w:rFonts w:ascii="仿宋_GB2312" w:hAnsi="仿宋_GB2312" w:eastAsia="仿宋_GB2312"/>
                <w:b w:val="0"/>
                <w:color w:val="000000"/>
                <w:sz w:val="32"/>
              </w:rPr>
              <w:t>市场</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（一）绿色技改与产能</w:t>
      </w:r>
    </w:p>
    <w:p>
      <w:pPr>
        <w:spacing w:lineRule="exact" w:line="600" w:before="0" w:after="0"/>
        <w:ind w:firstLine="420"/>
        <w:jc w:val="both"/>
      </w:pPr>
      <w:r>
        <w:rPr>
          <w:rFonts w:ascii="仿宋_GB2312" w:hAnsi="仿宋_GB2312" w:eastAsia="仿宋_GB2312"/>
          <w:b w:val="0"/>
          <w:color w:val="000000"/>
          <w:sz w:val="32"/>
        </w:rPr>
        <w:t>嘉岳16万吨/年项目、中小企业窑炉节能改造、自动配料系统需项目贷与设备融资（来源：经济日报）。同发高端晶体氧化铝线扩建需资本开支（来源：同发企业介绍）。绿色园区基建需配套融资。</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融资主体</w:t>
            </w:r>
          </w:p>
        </w:tc>
        <w:tc>
          <w:tcPr>
            <w:tcW w:type="dxa" w:w="3685"/>
          </w:tcPr>
          <w:p>
            <w:pPr>
              <w:spacing w:lineRule="exact" w:line="600"/>
              <w:jc w:val="center"/>
            </w:pPr>
            <w:r/>
            <w:r>
              <w:rPr>
                <w:rFonts w:ascii="黑体" w:hAnsi="黑体" w:eastAsia="黑体"/>
                <w:b/>
                <w:color w:val="000000"/>
                <w:sz w:val="32"/>
              </w:rPr>
              <w:t>项目</w:t>
            </w:r>
          </w:p>
        </w:tc>
        <w:tc>
          <w:tcPr>
            <w:tcW w:type="dxa" w:w="3402"/>
          </w:tcPr>
          <w:p>
            <w:pPr>
              <w:spacing w:lineRule="exact" w:line="600"/>
              <w:jc w:val="center"/>
            </w:pPr>
            <w:r/>
            <w:r>
              <w:rPr>
                <w:rFonts w:ascii="黑体" w:hAnsi="黑体" w:eastAsia="黑体"/>
                <w:b/>
                <w:color w:val="000000"/>
                <w:sz w:val="32"/>
              </w:rPr>
              <w:t>工具</w:t>
            </w:r>
          </w:p>
        </w:tc>
      </w:tr>
      <w:tr>
        <w:tc>
          <w:tcPr>
            <w:tcW w:type="dxa" w:w="1701"/>
          </w:tcPr>
          <w:p>
            <w:pPr>
              <w:spacing w:lineRule="exact" w:line="600"/>
              <w:jc w:val="center"/>
            </w:pPr>
            <w:r/>
            <w:r>
              <w:rPr>
                <w:rFonts w:ascii="仿宋_GB2312" w:hAnsi="仿宋_GB2312" w:eastAsia="仿宋_GB2312"/>
                <w:b w:val="0"/>
                <w:color w:val="000000"/>
                <w:sz w:val="32"/>
              </w:rPr>
              <w:t>嘉岳</w:t>
            </w:r>
          </w:p>
        </w:tc>
        <w:tc>
          <w:tcPr>
            <w:tcW w:type="dxa" w:w="3685"/>
          </w:tcPr>
          <w:p>
            <w:pPr>
              <w:spacing w:lineRule="exact" w:line="600"/>
              <w:jc w:val="center"/>
            </w:pPr>
            <w:r/>
            <w:r>
              <w:rPr>
                <w:rFonts w:ascii="仿宋_GB2312" w:hAnsi="仿宋_GB2312" w:eastAsia="仿宋_GB2312"/>
                <w:b w:val="0"/>
                <w:color w:val="000000"/>
                <w:sz w:val="32"/>
              </w:rPr>
              <w:t>16万吨智能工厂</w:t>
            </w:r>
          </w:p>
        </w:tc>
        <w:tc>
          <w:tcPr>
            <w:tcW w:type="dxa" w:w="3402"/>
          </w:tcPr>
          <w:p>
            <w:pPr>
              <w:spacing w:lineRule="exact" w:line="600"/>
              <w:jc w:val="center"/>
            </w:pPr>
            <w:r/>
            <w:r>
              <w:rPr>
                <w:rFonts w:ascii="仿宋_GB2312" w:hAnsi="仿宋_GB2312" w:eastAsia="仿宋_GB2312"/>
                <w:b w:val="0"/>
                <w:color w:val="000000"/>
                <w:sz w:val="32"/>
              </w:rPr>
              <w:t>项目贷</w:t>
            </w:r>
          </w:p>
        </w:tc>
      </w:tr>
      <w:tr>
        <w:tc>
          <w:tcPr>
            <w:tcW w:type="dxa" w:w="1701"/>
          </w:tcPr>
          <w:p>
            <w:pPr>
              <w:spacing w:lineRule="exact" w:line="600"/>
              <w:jc w:val="center"/>
            </w:pPr>
            <w:r/>
            <w:r>
              <w:rPr>
                <w:rFonts w:ascii="仿宋_GB2312" w:hAnsi="仿宋_GB2312" w:eastAsia="仿宋_GB2312"/>
                <w:b w:val="0"/>
                <w:color w:val="000000"/>
                <w:sz w:val="32"/>
              </w:rPr>
              <w:t>同发</w:t>
            </w:r>
          </w:p>
        </w:tc>
        <w:tc>
          <w:tcPr>
            <w:tcW w:type="dxa" w:w="3685"/>
          </w:tcPr>
          <w:p>
            <w:pPr>
              <w:spacing w:lineRule="exact" w:line="600"/>
              <w:jc w:val="center"/>
            </w:pPr>
            <w:r/>
            <w:r>
              <w:rPr>
                <w:rFonts w:ascii="仿宋_GB2312" w:hAnsi="仿宋_GB2312" w:eastAsia="仿宋_GB2312"/>
                <w:b w:val="0"/>
                <w:color w:val="000000"/>
                <w:sz w:val="32"/>
              </w:rPr>
              <w:t>高端线扩建</w:t>
            </w:r>
          </w:p>
        </w:tc>
        <w:tc>
          <w:tcPr>
            <w:tcW w:type="dxa" w:w="3402"/>
          </w:tcPr>
          <w:p>
            <w:pPr>
              <w:spacing w:lineRule="exact" w:line="600"/>
              <w:jc w:val="center"/>
            </w:pPr>
            <w:r/>
            <w:r>
              <w:rPr>
                <w:rFonts w:ascii="仿宋_GB2312" w:hAnsi="仿宋_GB2312" w:eastAsia="仿宋_GB2312"/>
                <w:b w:val="0"/>
                <w:color w:val="000000"/>
                <w:sz w:val="32"/>
              </w:rPr>
              <w:t>设备贷</w:t>
            </w:r>
          </w:p>
        </w:tc>
      </w:tr>
      <w:tr>
        <w:tc>
          <w:tcPr>
            <w:tcW w:type="dxa" w:w="1701"/>
          </w:tcPr>
          <w:p>
            <w:pPr>
              <w:spacing w:lineRule="exact" w:line="600"/>
              <w:jc w:val="center"/>
            </w:pPr>
            <w:r/>
            <w:r>
              <w:rPr>
                <w:rFonts w:ascii="仿宋_GB2312" w:hAnsi="仿宋_GB2312" w:eastAsia="仿宋_GB2312"/>
                <w:b w:val="0"/>
                <w:color w:val="000000"/>
                <w:sz w:val="32"/>
              </w:rPr>
              <w:t>中小</w:t>
            </w:r>
          </w:p>
        </w:tc>
        <w:tc>
          <w:tcPr>
            <w:tcW w:type="dxa" w:w="3685"/>
          </w:tcPr>
          <w:p>
            <w:pPr>
              <w:spacing w:lineRule="exact" w:line="600"/>
              <w:jc w:val="center"/>
            </w:pPr>
            <w:r/>
            <w:r>
              <w:rPr>
                <w:rFonts w:ascii="仿宋_GB2312" w:hAnsi="仿宋_GB2312" w:eastAsia="仿宋_GB2312"/>
                <w:b w:val="0"/>
                <w:color w:val="000000"/>
                <w:sz w:val="32"/>
              </w:rPr>
              <w:t>窑炉改造</w:t>
            </w:r>
          </w:p>
        </w:tc>
        <w:tc>
          <w:tcPr>
            <w:tcW w:type="dxa" w:w="3402"/>
          </w:tcPr>
          <w:p>
            <w:pPr>
              <w:spacing w:lineRule="exact" w:line="600"/>
              <w:jc w:val="center"/>
            </w:pPr>
            <w:r/>
            <w:r>
              <w:rPr>
                <w:rFonts w:ascii="仿宋_GB2312" w:hAnsi="仿宋_GB2312" w:eastAsia="仿宋_GB2312"/>
                <w:b w:val="0"/>
                <w:color w:val="000000"/>
                <w:sz w:val="32"/>
              </w:rPr>
              <w:t>绿色贷</w:t>
            </w:r>
          </w:p>
        </w:tc>
      </w:tr>
      <w:tr>
        <w:tc>
          <w:tcPr>
            <w:tcW w:type="dxa" w:w="1701"/>
          </w:tcPr>
          <w:p>
            <w:pPr>
              <w:spacing w:lineRule="exact" w:line="600"/>
              <w:jc w:val="center"/>
            </w:pPr>
            <w:r/>
            <w:r>
              <w:rPr>
                <w:rFonts w:ascii="仿宋_GB2312" w:hAnsi="仿宋_GB2312" w:eastAsia="仿宋_GB2312"/>
                <w:b w:val="0"/>
                <w:color w:val="000000"/>
                <w:sz w:val="32"/>
              </w:rPr>
              <w:t>园区</w:t>
            </w:r>
          </w:p>
        </w:tc>
        <w:tc>
          <w:tcPr>
            <w:tcW w:type="dxa" w:w="3685"/>
          </w:tcPr>
          <w:p>
            <w:pPr>
              <w:spacing w:lineRule="exact" w:line="600"/>
              <w:jc w:val="center"/>
            </w:pPr>
            <w:r/>
            <w:r>
              <w:rPr>
                <w:rFonts w:ascii="仿宋_GB2312" w:hAnsi="仿宋_GB2312" w:eastAsia="仿宋_GB2312"/>
                <w:b w:val="0"/>
                <w:color w:val="000000"/>
                <w:sz w:val="32"/>
              </w:rPr>
              <w:t>基建</w:t>
            </w:r>
          </w:p>
        </w:tc>
        <w:tc>
          <w:tcPr>
            <w:tcW w:type="dxa" w:w="3402"/>
          </w:tcPr>
          <w:p>
            <w:pPr>
              <w:spacing w:lineRule="exact" w:line="600"/>
              <w:jc w:val="center"/>
            </w:pPr>
            <w:r/>
            <w:r>
              <w:rPr>
                <w:rFonts w:ascii="仿宋_GB2312" w:hAnsi="仿宋_GB2312" w:eastAsia="仿宋_GB2312"/>
                <w:b w:val="0"/>
                <w:color w:val="000000"/>
                <w:sz w:val="32"/>
              </w:rPr>
              <w:t>园区债</w:t>
            </w:r>
          </w:p>
        </w:tc>
      </w:tr>
    </w:tbl>
    <w:p>
      <w:pPr>
        <w:spacing w:lineRule="exact" w:line="600" w:before="120" w:after="120"/>
        <w:ind w:firstLine="420"/>
        <w:jc w:val="left"/>
      </w:pPr>
      <w:r>
        <w:rPr>
          <w:rFonts w:ascii="楷体_GB2312" w:hAnsi="楷体_GB2312" w:eastAsia="楷体_GB2312"/>
          <w:b w:val="0"/>
          <w:color w:val="000000"/>
          <w:sz w:val="32"/>
        </w:rPr>
        <w:t>（二）研发与高端突破</w:t>
      </w:r>
    </w:p>
    <w:p>
      <w:pPr>
        <w:spacing w:lineRule="exact" w:line="600" w:before="0" w:after="0"/>
        <w:ind w:firstLine="420"/>
        <w:jc w:val="both"/>
      </w:pPr>
      <w:r>
        <w:rPr>
          <w:rFonts w:ascii="仿宋_GB2312" w:hAnsi="仿宋_GB2312" w:eastAsia="仿宋_GB2312"/>
          <w:b w:val="0"/>
          <w:color w:val="000000"/>
          <w:sz w:val="32"/>
        </w:rPr>
        <w:t>面向高端多晶纤维、晶体氧化铝纤维的研发投入需资金支持；政策鼓励新材料攻关（山东十强）。科创贷、知识产权质押适用。公开资料有限，行业共性研判：中小企业在高端研发上资金约束明显。</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方向</w:t>
            </w:r>
          </w:p>
        </w:tc>
        <w:tc>
          <w:tcPr>
            <w:tcW w:type="dxa" w:w="3118"/>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高端纤维</w:t>
            </w:r>
          </w:p>
        </w:tc>
        <w:tc>
          <w:tcPr>
            <w:tcW w:type="dxa" w:w="3118"/>
          </w:tcPr>
          <w:p>
            <w:pPr>
              <w:spacing w:lineRule="exact" w:line="600"/>
              <w:jc w:val="center"/>
            </w:pPr>
            <w:r/>
            <w:r>
              <w:rPr>
                <w:rFonts w:ascii="仿宋_GB2312" w:hAnsi="仿宋_GB2312" w:eastAsia="仿宋_GB2312"/>
                <w:b w:val="0"/>
                <w:color w:val="000000"/>
                <w:sz w:val="32"/>
              </w:rPr>
              <w:t>多晶/晶体</w:t>
            </w:r>
          </w:p>
        </w:tc>
        <w:tc>
          <w:tcPr>
            <w:tcW w:type="dxa" w:w="3402"/>
          </w:tcPr>
          <w:p>
            <w:pPr>
              <w:spacing w:lineRule="exact" w:line="600"/>
              <w:jc w:val="center"/>
            </w:pPr>
            <w:r/>
            <w:r>
              <w:rPr>
                <w:rFonts w:ascii="仿宋_GB2312" w:hAnsi="仿宋_GB2312" w:eastAsia="仿宋_GB2312"/>
                <w:b w:val="0"/>
                <w:color w:val="000000"/>
                <w:sz w:val="32"/>
              </w:rPr>
              <w:t>科创贷</w:t>
            </w:r>
          </w:p>
        </w:tc>
      </w:tr>
      <w:tr>
        <w:tc>
          <w:tcPr>
            <w:tcW w:type="dxa" w:w="1984"/>
          </w:tcPr>
          <w:p>
            <w:pPr>
              <w:spacing w:lineRule="exact" w:line="600"/>
              <w:jc w:val="center"/>
            </w:pPr>
            <w:r/>
            <w:r>
              <w:rPr>
                <w:rFonts w:ascii="仿宋_GB2312" w:hAnsi="仿宋_GB2312" w:eastAsia="仿宋_GB2312"/>
                <w:b w:val="0"/>
                <w:color w:val="000000"/>
                <w:sz w:val="32"/>
              </w:rPr>
              <w:t>工艺</w:t>
            </w:r>
          </w:p>
        </w:tc>
        <w:tc>
          <w:tcPr>
            <w:tcW w:type="dxa" w:w="3118"/>
          </w:tcPr>
          <w:p>
            <w:pPr>
              <w:spacing w:lineRule="exact" w:line="600"/>
              <w:jc w:val="center"/>
            </w:pPr>
            <w:r/>
            <w:r>
              <w:rPr>
                <w:rFonts w:ascii="仿宋_GB2312" w:hAnsi="仿宋_GB2312" w:eastAsia="仿宋_GB2312"/>
                <w:b w:val="0"/>
                <w:color w:val="000000"/>
                <w:sz w:val="32"/>
              </w:rPr>
              <w:t>节能配方</w:t>
            </w:r>
          </w:p>
        </w:tc>
        <w:tc>
          <w:tcPr>
            <w:tcW w:type="dxa" w:w="3402"/>
          </w:tcPr>
          <w:p>
            <w:pPr>
              <w:spacing w:lineRule="exact" w:line="600"/>
              <w:jc w:val="center"/>
            </w:pPr>
            <w:r/>
            <w:r>
              <w:rPr>
                <w:rFonts w:ascii="仿宋_GB2312" w:hAnsi="仿宋_GB2312" w:eastAsia="仿宋_GB2312"/>
                <w:b w:val="0"/>
                <w:color w:val="000000"/>
                <w:sz w:val="32"/>
              </w:rPr>
              <w:t>研发贷</w:t>
            </w:r>
          </w:p>
        </w:tc>
      </w:tr>
      <w:tr>
        <w:tc>
          <w:tcPr>
            <w:tcW w:type="dxa" w:w="1984"/>
          </w:tcPr>
          <w:p>
            <w:pPr>
              <w:spacing w:lineRule="exact" w:line="600"/>
              <w:jc w:val="center"/>
            </w:pPr>
            <w:r/>
            <w:r>
              <w:rPr>
                <w:rFonts w:ascii="仿宋_GB2312" w:hAnsi="仿宋_GB2312" w:eastAsia="仿宋_GB2312"/>
                <w:b w:val="0"/>
                <w:color w:val="000000"/>
                <w:sz w:val="32"/>
              </w:rPr>
              <w:t>认证</w:t>
            </w:r>
          </w:p>
        </w:tc>
        <w:tc>
          <w:tcPr>
            <w:tcW w:type="dxa" w:w="3118"/>
          </w:tcPr>
          <w:p>
            <w:pPr>
              <w:spacing w:lineRule="exact" w:line="600"/>
              <w:jc w:val="center"/>
            </w:pPr>
            <w:r/>
            <w:r>
              <w:rPr>
                <w:rFonts w:ascii="仿宋_GB2312" w:hAnsi="仿宋_GB2312" w:eastAsia="仿宋_GB2312"/>
                <w:b w:val="0"/>
                <w:color w:val="000000"/>
                <w:sz w:val="32"/>
              </w:rPr>
              <w:t>ISO/出口</w:t>
            </w:r>
          </w:p>
        </w:tc>
        <w:tc>
          <w:tcPr>
            <w:tcW w:type="dxa" w:w="3402"/>
          </w:tcPr>
          <w:p>
            <w:pPr>
              <w:spacing w:lineRule="exact" w:line="600"/>
              <w:jc w:val="center"/>
            </w:pPr>
            <w:r/>
            <w:r>
              <w:rPr>
                <w:rFonts w:ascii="仿宋_GB2312" w:hAnsi="仿宋_GB2312" w:eastAsia="仿宋_GB2312"/>
                <w:b w:val="0"/>
                <w:color w:val="000000"/>
                <w:sz w:val="32"/>
              </w:rPr>
              <w:t>专项</w:t>
            </w:r>
          </w:p>
        </w:tc>
      </w:tr>
    </w:tbl>
    <w:p>
      <w:pPr>
        <w:spacing w:lineRule="exact" w:line="600" w:before="120" w:after="120"/>
        <w:ind w:firstLine="420"/>
        <w:jc w:val="left"/>
      </w:pPr>
      <w:r>
        <w:rPr>
          <w:rFonts w:ascii="楷体_GB2312" w:hAnsi="楷体_GB2312" w:eastAsia="楷体_GB2312"/>
          <w:b w:val="0"/>
          <w:color w:val="000000"/>
          <w:sz w:val="32"/>
        </w:rPr>
        <w:t>（三）环保与流动资金的保障</w:t>
      </w:r>
    </w:p>
    <w:p>
      <w:pPr>
        <w:spacing w:lineRule="exact" w:line="600" w:before="0" w:after="0"/>
        <w:ind w:firstLine="420"/>
        <w:jc w:val="both"/>
      </w:pPr>
      <w:r>
        <w:rPr>
          <w:rFonts w:ascii="仿宋_GB2312" w:hAnsi="仿宋_GB2312" w:eastAsia="仿宋_GB2312"/>
          <w:b w:val="0"/>
          <w:color w:val="000000"/>
          <w:sz w:val="32"/>
        </w:rPr>
        <w:t>「两高」行业环保设施（除尘、脱硫）与碳成本管理需投入，适用绿色金融；中小企业原材料与能源采购流动资金需求大，需供应链金融与流贷支持。</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方向</w:t>
            </w:r>
          </w:p>
        </w:tc>
        <w:tc>
          <w:tcPr>
            <w:tcW w:type="dxa" w:w="3118"/>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环保</w:t>
            </w:r>
          </w:p>
        </w:tc>
        <w:tc>
          <w:tcPr>
            <w:tcW w:type="dxa" w:w="3118"/>
          </w:tcPr>
          <w:p>
            <w:pPr>
              <w:spacing w:lineRule="exact" w:line="600"/>
              <w:jc w:val="center"/>
            </w:pPr>
            <w:r/>
            <w:r>
              <w:rPr>
                <w:rFonts w:ascii="仿宋_GB2312" w:hAnsi="仿宋_GB2312" w:eastAsia="仿宋_GB2312"/>
                <w:b w:val="0"/>
                <w:color w:val="000000"/>
                <w:sz w:val="32"/>
              </w:rPr>
              <w:t>除尘脱硫</w:t>
            </w:r>
          </w:p>
        </w:tc>
        <w:tc>
          <w:tcPr>
            <w:tcW w:type="dxa" w:w="3402"/>
          </w:tcPr>
          <w:p>
            <w:pPr>
              <w:spacing w:lineRule="exact" w:line="600"/>
              <w:jc w:val="center"/>
            </w:pPr>
            <w:r/>
            <w:r>
              <w:rPr>
                <w:rFonts w:ascii="仿宋_GB2312" w:hAnsi="仿宋_GB2312" w:eastAsia="仿宋_GB2312"/>
                <w:b w:val="0"/>
                <w:color w:val="000000"/>
                <w:sz w:val="32"/>
              </w:rPr>
              <w:t>绿色</w:t>
            </w:r>
          </w:p>
        </w:tc>
      </w:tr>
      <w:tr>
        <w:tc>
          <w:tcPr>
            <w:tcW w:type="dxa" w:w="1984"/>
          </w:tcPr>
          <w:p>
            <w:pPr>
              <w:spacing w:lineRule="exact" w:line="600"/>
              <w:jc w:val="center"/>
            </w:pPr>
            <w:r/>
            <w:r>
              <w:rPr>
                <w:rFonts w:ascii="仿宋_GB2312" w:hAnsi="仿宋_GB2312" w:eastAsia="仿宋_GB2312"/>
                <w:b w:val="0"/>
                <w:color w:val="000000"/>
                <w:sz w:val="32"/>
              </w:rPr>
              <w:t>碳成本</w:t>
            </w:r>
          </w:p>
        </w:tc>
        <w:tc>
          <w:tcPr>
            <w:tcW w:type="dxa" w:w="3118"/>
          </w:tcPr>
          <w:p>
            <w:pPr>
              <w:spacing w:lineRule="exact" w:line="600"/>
              <w:jc w:val="center"/>
            </w:pPr>
            <w:r/>
            <w:r>
              <w:rPr>
                <w:rFonts w:ascii="仿宋_GB2312" w:hAnsi="仿宋_GB2312" w:eastAsia="仿宋_GB2312"/>
                <w:b w:val="0"/>
                <w:color w:val="000000"/>
                <w:sz w:val="32"/>
              </w:rPr>
              <w:t>管理</w:t>
            </w:r>
          </w:p>
        </w:tc>
        <w:tc>
          <w:tcPr>
            <w:tcW w:type="dxa" w:w="3402"/>
          </w:tcPr>
          <w:p>
            <w:pPr>
              <w:spacing w:lineRule="exact" w:line="600"/>
              <w:jc w:val="center"/>
            </w:pPr>
            <w:r/>
            <w:r>
              <w:rPr>
                <w:rFonts w:ascii="仿宋_GB2312" w:hAnsi="仿宋_GB2312" w:eastAsia="仿宋_GB2312"/>
                <w:b w:val="0"/>
                <w:color w:val="000000"/>
                <w:sz w:val="32"/>
              </w:rPr>
              <w:t>转型贷</w:t>
            </w:r>
          </w:p>
        </w:tc>
      </w:tr>
      <w:tr>
        <w:tc>
          <w:tcPr>
            <w:tcW w:type="dxa" w:w="1984"/>
          </w:tcPr>
          <w:p>
            <w:pPr>
              <w:spacing w:lineRule="exact" w:line="600"/>
              <w:jc w:val="center"/>
            </w:pPr>
            <w:r/>
            <w:r>
              <w:rPr>
                <w:rFonts w:ascii="仿宋_GB2312" w:hAnsi="仿宋_GB2312" w:eastAsia="仿宋_GB2312"/>
                <w:b w:val="0"/>
                <w:color w:val="000000"/>
                <w:sz w:val="32"/>
              </w:rPr>
              <w:t>流动</w:t>
            </w:r>
          </w:p>
        </w:tc>
        <w:tc>
          <w:tcPr>
            <w:tcW w:type="dxa" w:w="3118"/>
          </w:tcPr>
          <w:p>
            <w:pPr>
              <w:spacing w:lineRule="exact" w:line="600"/>
              <w:jc w:val="center"/>
            </w:pPr>
            <w:r/>
            <w:r>
              <w:rPr>
                <w:rFonts w:ascii="仿宋_GB2312" w:hAnsi="仿宋_GB2312" w:eastAsia="仿宋_GB2312"/>
                <w:b w:val="0"/>
                <w:color w:val="000000"/>
                <w:sz w:val="32"/>
              </w:rPr>
              <w:t>原料采购</w:t>
            </w:r>
          </w:p>
        </w:tc>
        <w:tc>
          <w:tcPr>
            <w:tcW w:type="dxa" w:w="3402"/>
          </w:tcPr>
          <w:p>
            <w:pPr>
              <w:spacing w:lineRule="exact" w:line="600"/>
              <w:jc w:val="center"/>
            </w:pPr>
            <w:r/>
            <w:r>
              <w:rPr>
                <w:rFonts w:ascii="仿宋_GB2312" w:hAnsi="仿宋_GB2312" w:eastAsia="仿宋_GB2312"/>
                <w:b w:val="0"/>
                <w:color w:val="000000"/>
                <w:sz w:val="32"/>
              </w:rPr>
              <w:t>流贷</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淄博同发耐火保温材料有限公司：位于周村区恒星路136号，硅酸铝纤维/陶瓷纤维专业生产企业，拥有连熔连甩线6条、真空成型线6条、纤维纺织组合块线2条、干法树脂线2条、晶体氧化铝纤维线1条、纤维纸线1条，年产普通/标准/高纯/高铝等纤维棉、针刺毯、毡、板、纸、组合块及高温纺织品10000余吨；产品销全国30余省并出口美、日、德、韩、俄、新加坡等，通过ISO9001认证，导热系数约0.03、使用温度达1200℃。来源：企业官网/工商信息、同发产品说明。</w:t>
      </w:r>
    </w:p>
    <w:p>
      <w:pPr>
        <w:spacing w:lineRule="exact" w:line="600" w:before="0" w:after="0"/>
        <w:ind w:firstLine="420"/>
        <w:jc w:val="both"/>
      </w:pPr>
      <w:r>
        <w:rPr>
          <w:rFonts w:ascii="仿宋_GB2312" w:hAnsi="仿宋_GB2312" w:eastAsia="仿宋_GB2312"/>
          <w:b w:val="0"/>
          <w:color w:val="000000"/>
          <w:sz w:val="32"/>
        </w:rPr>
        <w:t>嘉岳新材料有限公司（王村镇）：耐材链主，16万吨/年节能环保型铝硅新材料及智慧工厂项目使焦化炭素行业硅铝基耐火材料市占率全国第一，产能提高33%、能耗降25%、污染物减排28%、亩均纳税20万元。来源：经济日报，2026。</w:t>
      </w:r>
    </w:p>
    <w:p>
      <w:pPr>
        <w:spacing w:lineRule="exact" w:line="600" w:before="0" w:after="0"/>
        <w:ind w:firstLine="420"/>
        <w:jc w:val="both"/>
      </w:pPr>
      <w:r>
        <w:rPr>
          <w:rFonts w:ascii="仿宋_GB2312" w:hAnsi="仿宋_GB2312" w:eastAsia="仿宋_GB2312"/>
          <w:b w:val="0"/>
          <w:color w:val="000000"/>
          <w:sz w:val="32"/>
        </w:rPr>
        <w:t>山东鲁阳节能材料股份有限公司（淄博沂源，同市）：陶瓷纤维行业首家上市企业、国内龙头，2024年营收35.32亿元、陶瓷纤维收入32.1亿元，年产能超10万吨，为周村矿物功能填料集群的技术与规模标杆。来源：华经产业研究院，2026。</w:t>
      </w:r>
    </w:p>
    <w:p>
      <w:pPr>
        <w:spacing w:lineRule="exact" w:line="600" w:before="0" w:after="0"/>
        <w:jc w:val="left"/>
      </w:pPr>
      <w:r>
        <w:rPr>
          <w:rFonts w:ascii="仿宋_GB2312" w:hAnsi="仿宋_GB2312" w:eastAsia="仿宋_GB2312"/>
          <w:b w:val="0"/>
          <w:color w:val="000000"/>
          <w:sz w:val="28"/>
        </w:rPr>
        <w:t>主要数据来源：经济日报（rss.jingjiribao.cn）：《山东淄博周村区：新材料产业追「新」逐「绿」》，2026；华经产业研究院（网易财经转载）：《2025年中国陶瓷纤维行业市场规模、产业链及重点企业分析》，2026；cninfo360：《中国陶瓷纤维硅酸铝行业市场前景预测及投资价值评估分析报告》，2024；淄博同发耐火保温材料有限公司官网及工商/企业名录信息；周村经济开发区情况简介（淄博市发改委PDF）；山东省「十强产业」新材料相关政策；格隆汇：《关税叠加与市场分化：硅酸铝纤维行业出口竞争力及区域转移趋势研究》，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