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山东烟台龙口市(高端交通铝材)特色产业集群</w:t>
      </w:r>
    </w:p>
    <w:p>
      <w:pPr>
        <w:spacing w:lineRule="exact" w:line="600" w:before="240" w:after="240"/>
        <w:ind w:firstLine="0"/>
        <w:jc w:val="center"/>
      </w:pPr>
      <w:r>
        <w:rPr>
          <w:rFonts w:ascii="方正小标宋简体" w:hAnsi="方正小标宋简体" w:eastAsia="方正小标宋简体"/>
          <w:b w:val="0"/>
          <w:color w:val="000000"/>
          <w:sz w:val="44"/>
        </w:rPr>
        <w:t>铝材精深加工行业深度分析报告</w:t>
      </w:r>
    </w:p>
    <w:p>
      <w:pPr>
        <w:spacing w:lineRule="exact" w:line="600" w:before="0" w:after="0"/>
        <w:jc w:val="left"/>
      </w:pPr>
      <w:r>
        <w:rPr>
          <w:rFonts w:ascii="仿宋_GB2312" w:hAnsi="仿宋_GB2312" w:eastAsia="仿宋_GB2312"/>
          <w:b w:val="0"/>
          <w:color w:val="000000"/>
          <w:sz w:val="28"/>
        </w:rPr>
        <w:t>本报告聚焦铝材精深加工环节（熔铸—挤压/轧制—热处理—表面处理—精密加工），数据来源于南山铝业年报、丛林铝业官网、龙口市政府报道、中国有色金属加工工业协会及券商研报。数据截至2023—2024年。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铝材精深加工是龙口高端交通铝材集群价值跃升的关键环节，涵盖熔铸、挤压、轧制、锻压、热处理及精密机加工。南山铝业具备从熔铸到箔轧的完整深加工能力，铝型材产能28万吨、罐料60万吨、汽车板20万吨、航空板5万吨、动力电池箔2.1万吨，深加工业务已成为主要盈利来源（高端产品毛利占比约30%）。丛林铝业拥有15条大型挤压线、8条自动焊接线、6台五轴数控加工中心，具备车体模块精密加工能力。2023年全国铝挤压材产量2340万吨（+8.8%），精深加工（交通、新能源用工业材）增速显著高于传统建筑材。挑战在于加工费下行、高端认证壁垒与设备更新资金需求。</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南山铝型材产能</w:t>
            </w:r>
          </w:p>
        </w:tc>
        <w:tc>
          <w:tcPr>
            <w:tcW w:type="dxa" w:w="2835"/>
          </w:tcPr>
          <w:p>
            <w:pPr>
              <w:spacing w:lineRule="exact" w:line="600"/>
              <w:jc w:val="center"/>
            </w:pPr>
            <w:r/>
            <w:r>
              <w:rPr>
                <w:rFonts w:ascii="仿宋_GB2312" w:hAnsi="仿宋_GB2312" w:eastAsia="仿宋_GB2312"/>
                <w:b w:val="0"/>
                <w:color w:val="000000"/>
                <w:sz w:val="32"/>
              </w:rPr>
              <w:t>28万吨</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南山罐料产能</w:t>
            </w:r>
          </w:p>
        </w:tc>
        <w:tc>
          <w:tcPr>
            <w:tcW w:type="dxa" w:w="2835"/>
          </w:tcPr>
          <w:p>
            <w:pPr>
              <w:spacing w:lineRule="exact" w:line="600"/>
              <w:jc w:val="center"/>
            </w:pPr>
            <w:r/>
            <w:r>
              <w:rPr>
                <w:rFonts w:ascii="仿宋_GB2312" w:hAnsi="仿宋_GB2312" w:eastAsia="仿宋_GB2312"/>
                <w:b w:val="0"/>
                <w:color w:val="000000"/>
                <w:sz w:val="32"/>
              </w:rPr>
              <w:t>60万吨</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南山汽车板产能</w:t>
            </w:r>
          </w:p>
        </w:tc>
        <w:tc>
          <w:tcPr>
            <w:tcW w:type="dxa" w:w="2835"/>
          </w:tcPr>
          <w:p>
            <w:pPr>
              <w:spacing w:lineRule="exact" w:line="600"/>
              <w:jc w:val="center"/>
            </w:pPr>
            <w:r/>
            <w:r>
              <w:rPr>
                <w:rFonts w:ascii="仿宋_GB2312" w:hAnsi="仿宋_GB2312" w:eastAsia="仿宋_GB2312"/>
                <w:b w:val="0"/>
                <w:color w:val="000000"/>
                <w:sz w:val="32"/>
              </w:rPr>
              <w:t>20万吨（三期40万吨）</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南山航空板产能</w:t>
            </w:r>
          </w:p>
        </w:tc>
        <w:tc>
          <w:tcPr>
            <w:tcW w:type="dxa" w:w="2835"/>
          </w:tcPr>
          <w:p>
            <w:pPr>
              <w:spacing w:lineRule="exact" w:line="600"/>
              <w:jc w:val="center"/>
            </w:pPr>
            <w:r/>
            <w:r>
              <w:rPr>
                <w:rFonts w:ascii="仿宋_GB2312" w:hAnsi="仿宋_GB2312" w:eastAsia="仿宋_GB2312"/>
                <w:b w:val="0"/>
                <w:color w:val="000000"/>
                <w:sz w:val="32"/>
              </w:rPr>
              <w:t>5万吨</w:t>
            </w:r>
          </w:p>
        </w:tc>
        <w:tc>
          <w:tcPr>
            <w:tcW w:type="dxa" w:w="3118"/>
          </w:tcPr>
          <w:p>
            <w:pPr>
              <w:spacing w:lineRule="exact" w:line="600"/>
              <w:jc w:val="center"/>
            </w:pPr>
            <w:r/>
            <w:r>
              <w:rPr>
                <w:rFonts w:ascii="仿宋_GB2312" w:hAnsi="仿宋_GB2312" w:eastAsia="仿宋_GB2312"/>
                <w:b w:val="0"/>
                <w:color w:val="000000"/>
                <w:sz w:val="32"/>
              </w:rPr>
              <w:t>券商</w:t>
            </w:r>
          </w:p>
        </w:tc>
      </w:tr>
      <w:tr>
        <w:tc>
          <w:tcPr>
            <w:tcW w:type="dxa" w:w="2835"/>
          </w:tcPr>
          <w:p>
            <w:pPr>
              <w:spacing w:lineRule="exact" w:line="600"/>
              <w:jc w:val="center"/>
            </w:pPr>
            <w:r/>
            <w:r>
              <w:rPr>
                <w:rFonts w:ascii="仿宋_GB2312" w:hAnsi="仿宋_GB2312" w:eastAsia="仿宋_GB2312"/>
                <w:b w:val="0"/>
                <w:color w:val="000000"/>
                <w:sz w:val="32"/>
              </w:rPr>
              <w:t>南山动力电池箔产能</w:t>
            </w:r>
          </w:p>
        </w:tc>
        <w:tc>
          <w:tcPr>
            <w:tcW w:type="dxa" w:w="2835"/>
          </w:tcPr>
          <w:p>
            <w:pPr>
              <w:spacing w:lineRule="exact" w:line="600"/>
              <w:jc w:val="center"/>
            </w:pPr>
            <w:r/>
            <w:r>
              <w:rPr>
                <w:rFonts w:ascii="仿宋_GB2312" w:hAnsi="仿宋_GB2312" w:eastAsia="仿宋_GB2312"/>
                <w:b w:val="0"/>
                <w:color w:val="000000"/>
                <w:sz w:val="32"/>
              </w:rPr>
              <w:t>2.1万吨</w:t>
            </w:r>
          </w:p>
        </w:tc>
        <w:tc>
          <w:tcPr>
            <w:tcW w:type="dxa" w:w="3118"/>
          </w:tcPr>
          <w:p>
            <w:pPr>
              <w:spacing w:lineRule="exact" w:line="600"/>
              <w:jc w:val="center"/>
            </w:pPr>
            <w:r/>
            <w:r>
              <w:rPr>
                <w:rFonts w:ascii="仿宋_GB2312" w:hAnsi="仿宋_GB2312" w:eastAsia="仿宋_GB2312"/>
                <w:b w:val="0"/>
                <w:color w:val="000000"/>
                <w:sz w:val="32"/>
              </w:rPr>
              <w:t>券商</w:t>
            </w:r>
          </w:p>
        </w:tc>
      </w:tr>
      <w:tr>
        <w:tc>
          <w:tcPr>
            <w:tcW w:type="dxa" w:w="2835"/>
          </w:tcPr>
          <w:p>
            <w:pPr>
              <w:spacing w:lineRule="exact" w:line="600"/>
              <w:jc w:val="center"/>
            </w:pPr>
            <w:r/>
            <w:r>
              <w:rPr>
                <w:rFonts w:ascii="仿宋_GB2312" w:hAnsi="仿宋_GB2312" w:eastAsia="仿宋_GB2312"/>
                <w:b w:val="0"/>
                <w:color w:val="000000"/>
                <w:sz w:val="32"/>
              </w:rPr>
              <w:t>丛林大型挤压线</w:t>
            </w:r>
          </w:p>
        </w:tc>
        <w:tc>
          <w:tcPr>
            <w:tcW w:type="dxa" w:w="2835"/>
          </w:tcPr>
          <w:p>
            <w:pPr>
              <w:spacing w:lineRule="exact" w:line="600"/>
              <w:jc w:val="center"/>
            </w:pPr>
            <w:r/>
            <w:r>
              <w:rPr>
                <w:rFonts w:ascii="仿宋_GB2312" w:hAnsi="仿宋_GB2312" w:eastAsia="仿宋_GB2312"/>
                <w:b w:val="0"/>
                <w:color w:val="000000"/>
                <w:sz w:val="32"/>
              </w:rPr>
              <w:t>15条（含万吨机）</w:t>
            </w:r>
          </w:p>
        </w:tc>
        <w:tc>
          <w:tcPr>
            <w:tcW w:type="dxa" w:w="3118"/>
          </w:tcPr>
          <w:p>
            <w:pPr>
              <w:spacing w:lineRule="exact" w:line="600"/>
              <w:jc w:val="center"/>
            </w:pPr>
            <w:r/>
            <w:r>
              <w:rPr>
                <w:rFonts w:ascii="仿宋_GB2312" w:hAnsi="仿宋_GB2312" w:eastAsia="仿宋_GB2312"/>
                <w:b w:val="0"/>
                <w:color w:val="000000"/>
                <w:sz w:val="32"/>
              </w:rPr>
              <w:t>丛林官网</w:t>
            </w:r>
          </w:p>
        </w:tc>
      </w:tr>
      <w:tr>
        <w:tc>
          <w:tcPr>
            <w:tcW w:type="dxa" w:w="2835"/>
          </w:tcPr>
          <w:p>
            <w:pPr>
              <w:spacing w:lineRule="exact" w:line="600"/>
              <w:jc w:val="center"/>
            </w:pPr>
            <w:r/>
            <w:r>
              <w:rPr>
                <w:rFonts w:ascii="仿宋_GB2312" w:hAnsi="仿宋_GB2312" w:eastAsia="仿宋_GB2312"/>
                <w:b w:val="0"/>
                <w:color w:val="000000"/>
                <w:sz w:val="32"/>
              </w:rPr>
              <w:t>丛林工业铝型材产量</w:t>
            </w:r>
          </w:p>
        </w:tc>
        <w:tc>
          <w:tcPr>
            <w:tcW w:type="dxa" w:w="2835"/>
          </w:tcPr>
          <w:p>
            <w:pPr>
              <w:spacing w:lineRule="exact" w:line="600"/>
              <w:jc w:val="center"/>
            </w:pPr>
            <w:r/>
            <w:r>
              <w:rPr>
                <w:rFonts w:ascii="仿宋_GB2312" w:hAnsi="仿宋_GB2312" w:eastAsia="仿宋_GB2312"/>
                <w:b w:val="0"/>
                <w:color w:val="000000"/>
                <w:sz w:val="32"/>
              </w:rPr>
              <w:t>10万—12万吨/年</w:t>
            </w:r>
          </w:p>
        </w:tc>
        <w:tc>
          <w:tcPr>
            <w:tcW w:type="dxa" w:w="3118"/>
          </w:tcPr>
          <w:p>
            <w:pPr>
              <w:spacing w:lineRule="exact" w:line="600"/>
              <w:jc w:val="center"/>
            </w:pPr>
            <w:r/>
            <w:r>
              <w:rPr>
                <w:rFonts w:ascii="仿宋_GB2312" w:hAnsi="仿宋_GB2312" w:eastAsia="仿宋_GB2312"/>
                <w:b w:val="0"/>
                <w:color w:val="000000"/>
                <w:sz w:val="32"/>
              </w:rPr>
              <w:t>丛林官网</w:t>
            </w:r>
          </w:p>
        </w:tc>
      </w:tr>
      <w:tr>
        <w:tc>
          <w:tcPr>
            <w:tcW w:type="dxa" w:w="2835"/>
          </w:tcPr>
          <w:p>
            <w:pPr>
              <w:spacing w:lineRule="exact" w:line="600"/>
              <w:jc w:val="center"/>
            </w:pPr>
            <w:r/>
            <w:r>
              <w:rPr>
                <w:rFonts w:ascii="仿宋_GB2312" w:hAnsi="仿宋_GB2312" w:eastAsia="仿宋_GB2312"/>
                <w:b w:val="0"/>
                <w:color w:val="000000"/>
                <w:sz w:val="32"/>
              </w:rPr>
              <w:t>2023全国铝挤压材产量</w:t>
            </w:r>
          </w:p>
        </w:tc>
        <w:tc>
          <w:tcPr>
            <w:tcW w:type="dxa" w:w="2835"/>
          </w:tcPr>
          <w:p>
            <w:pPr>
              <w:spacing w:lineRule="exact" w:line="600"/>
              <w:jc w:val="center"/>
            </w:pPr>
            <w:r/>
            <w:r>
              <w:rPr>
                <w:rFonts w:ascii="仿宋_GB2312" w:hAnsi="仿宋_GB2312" w:eastAsia="仿宋_GB2312"/>
                <w:b w:val="0"/>
                <w:color w:val="000000"/>
                <w:sz w:val="32"/>
              </w:rPr>
              <w:t>2340万吨（+8.8%）</w:t>
            </w:r>
          </w:p>
        </w:tc>
        <w:tc>
          <w:tcPr>
            <w:tcW w:type="dxa" w:w="3118"/>
          </w:tcPr>
          <w:p>
            <w:pPr>
              <w:spacing w:lineRule="exact" w:line="600"/>
              <w:jc w:val="center"/>
            </w:pPr>
            <w:r/>
            <w:r>
              <w:rPr>
                <w:rFonts w:ascii="仿宋_GB2312" w:hAnsi="仿宋_GB2312" w:eastAsia="仿宋_GB2312"/>
                <w:b w:val="0"/>
                <w:color w:val="000000"/>
                <w:sz w:val="32"/>
              </w:rPr>
              <w:t>有色加工协会</w:t>
            </w:r>
          </w:p>
        </w:tc>
      </w:tr>
      <w:tr>
        <w:tc>
          <w:tcPr>
            <w:tcW w:type="dxa" w:w="2835"/>
          </w:tcPr>
          <w:p>
            <w:pPr>
              <w:spacing w:lineRule="exact" w:line="600"/>
              <w:jc w:val="center"/>
            </w:pPr>
            <w:r/>
            <w:r>
              <w:rPr>
                <w:rFonts w:ascii="仿宋_GB2312" w:hAnsi="仿宋_GB2312" w:eastAsia="仿宋_GB2312"/>
                <w:b w:val="0"/>
                <w:color w:val="000000"/>
                <w:sz w:val="32"/>
              </w:rPr>
              <w:t>2023工业铝型材产量</w:t>
            </w:r>
          </w:p>
        </w:tc>
        <w:tc>
          <w:tcPr>
            <w:tcW w:type="dxa" w:w="2835"/>
          </w:tcPr>
          <w:p>
            <w:pPr>
              <w:spacing w:lineRule="exact" w:line="600"/>
              <w:jc w:val="center"/>
            </w:pPr>
            <w:r/>
            <w:r>
              <w:rPr>
                <w:rFonts w:ascii="仿宋_GB2312" w:hAnsi="仿宋_GB2312" w:eastAsia="仿宋_GB2312"/>
                <w:b w:val="0"/>
                <w:color w:val="000000"/>
                <w:sz w:val="32"/>
              </w:rPr>
              <w:t>950万吨（+25%）</w:t>
            </w:r>
          </w:p>
        </w:tc>
        <w:tc>
          <w:tcPr>
            <w:tcW w:type="dxa" w:w="3118"/>
          </w:tcPr>
          <w:p>
            <w:pPr>
              <w:spacing w:lineRule="exact" w:line="600"/>
              <w:jc w:val="center"/>
            </w:pPr>
            <w:r/>
            <w:r>
              <w:rPr>
                <w:rFonts w:ascii="仿宋_GB2312" w:hAnsi="仿宋_GB2312" w:eastAsia="仿宋_GB2312"/>
                <w:b w:val="0"/>
                <w:color w:val="000000"/>
                <w:sz w:val="32"/>
              </w:rPr>
              <w:t>有色加工协会</w:t>
            </w:r>
          </w:p>
        </w:tc>
      </w:tr>
      <w:tr>
        <w:tc>
          <w:tcPr>
            <w:tcW w:type="dxa" w:w="2835"/>
          </w:tcPr>
          <w:p>
            <w:pPr>
              <w:spacing w:lineRule="exact" w:line="600"/>
              <w:jc w:val="center"/>
            </w:pPr>
            <w:r/>
            <w:r>
              <w:rPr>
                <w:rFonts w:ascii="仿宋_GB2312" w:hAnsi="仿宋_GB2312" w:eastAsia="仿宋_GB2312"/>
                <w:b w:val="0"/>
                <w:color w:val="000000"/>
                <w:sz w:val="32"/>
              </w:rPr>
              <w:t>2023新能源汽车铝型材</w:t>
            </w:r>
          </w:p>
        </w:tc>
        <w:tc>
          <w:tcPr>
            <w:tcW w:type="dxa" w:w="2835"/>
          </w:tcPr>
          <w:p>
            <w:pPr>
              <w:spacing w:lineRule="exact" w:line="600"/>
              <w:jc w:val="center"/>
            </w:pPr>
            <w:r/>
            <w:r>
              <w:rPr>
                <w:rFonts w:ascii="仿宋_GB2312" w:hAnsi="仿宋_GB2312" w:eastAsia="仿宋_GB2312"/>
                <w:b w:val="0"/>
                <w:color w:val="000000"/>
                <w:sz w:val="32"/>
              </w:rPr>
              <w:t>98万吨（+30.7%）</w:t>
            </w:r>
          </w:p>
        </w:tc>
        <w:tc>
          <w:tcPr>
            <w:tcW w:type="dxa" w:w="3118"/>
          </w:tcPr>
          <w:p>
            <w:pPr>
              <w:spacing w:lineRule="exact" w:line="600"/>
              <w:jc w:val="center"/>
            </w:pPr>
            <w:r/>
            <w:r>
              <w:rPr>
                <w:rFonts w:ascii="仿宋_GB2312" w:hAnsi="仿宋_GB2312" w:eastAsia="仿宋_GB2312"/>
                <w:b w:val="0"/>
                <w:color w:val="000000"/>
                <w:sz w:val="32"/>
              </w:rPr>
              <w:t>协会数据</w:t>
            </w:r>
          </w:p>
        </w:tc>
      </w:tr>
      <w:tr>
        <w:tc>
          <w:tcPr>
            <w:tcW w:type="dxa" w:w="2835"/>
          </w:tcPr>
          <w:p>
            <w:pPr>
              <w:spacing w:lineRule="exact" w:line="600"/>
              <w:jc w:val="center"/>
            </w:pPr>
            <w:r/>
            <w:r>
              <w:rPr>
                <w:rFonts w:ascii="仿宋_GB2312" w:hAnsi="仿宋_GB2312" w:eastAsia="仿宋_GB2312"/>
                <w:b w:val="0"/>
                <w:color w:val="000000"/>
                <w:sz w:val="32"/>
              </w:rPr>
              <w:t>2023光伏型材</w:t>
            </w:r>
          </w:p>
        </w:tc>
        <w:tc>
          <w:tcPr>
            <w:tcW w:type="dxa" w:w="2835"/>
          </w:tcPr>
          <w:p>
            <w:pPr>
              <w:spacing w:lineRule="exact" w:line="600"/>
              <w:jc w:val="center"/>
            </w:pPr>
            <w:r/>
            <w:r>
              <w:rPr>
                <w:rFonts w:ascii="仿宋_GB2312" w:hAnsi="仿宋_GB2312" w:eastAsia="仿宋_GB2312"/>
                <w:b w:val="0"/>
                <w:color w:val="000000"/>
                <w:sz w:val="32"/>
              </w:rPr>
              <w:t>340万吨（+30.8%）</w:t>
            </w:r>
          </w:p>
        </w:tc>
        <w:tc>
          <w:tcPr>
            <w:tcW w:type="dxa" w:w="3118"/>
          </w:tcPr>
          <w:p>
            <w:pPr>
              <w:spacing w:lineRule="exact" w:line="600"/>
              <w:jc w:val="center"/>
            </w:pPr>
            <w:r/>
            <w:r>
              <w:rPr>
                <w:rFonts w:ascii="仿宋_GB2312" w:hAnsi="仿宋_GB2312" w:eastAsia="仿宋_GB2312"/>
                <w:b w:val="0"/>
                <w:color w:val="000000"/>
                <w:sz w:val="32"/>
              </w:rPr>
              <w:t>协会数据</w:t>
            </w:r>
          </w:p>
        </w:tc>
      </w:tr>
      <w:tr>
        <w:tc>
          <w:tcPr>
            <w:tcW w:type="dxa" w:w="2835"/>
          </w:tcPr>
          <w:p>
            <w:pPr>
              <w:spacing w:lineRule="exact" w:line="600"/>
              <w:jc w:val="center"/>
            </w:pPr>
            <w:r/>
            <w:r>
              <w:rPr>
                <w:rFonts w:ascii="仿宋_GB2312" w:hAnsi="仿宋_GB2312" w:eastAsia="仿宋_GB2312"/>
                <w:b w:val="0"/>
                <w:color w:val="000000"/>
                <w:sz w:val="32"/>
              </w:rPr>
              <w:t>南山高端产品毛利占比</w:t>
            </w:r>
          </w:p>
        </w:tc>
        <w:tc>
          <w:tcPr>
            <w:tcW w:type="dxa" w:w="2835"/>
          </w:tcPr>
          <w:p>
            <w:pPr>
              <w:spacing w:lineRule="exact" w:line="600"/>
              <w:jc w:val="center"/>
            </w:pPr>
            <w:r/>
            <w:r>
              <w:rPr>
                <w:rFonts w:ascii="仿宋_GB2312" w:hAnsi="仿宋_GB2312" w:eastAsia="仿宋_GB2312"/>
                <w:b w:val="0"/>
                <w:color w:val="000000"/>
                <w:sz w:val="32"/>
              </w:rPr>
              <w:t>约30%</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南山热轧板毛利率</w:t>
            </w:r>
          </w:p>
        </w:tc>
        <w:tc>
          <w:tcPr>
            <w:tcW w:type="dxa" w:w="2835"/>
          </w:tcPr>
          <w:p>
            <w:pPr>
              <w:spacing w:lineRule="exact" w:line="600"/>
              <w:jc w:val="center"/>
            </w:pPr>
            <w:r/>
            <w:r>
              <w:rPr>
                <w:rFonts w:ascii="仿宋_GB2312" w:hAnsi="仿宋_GB2312" w:eastAsia="仿宋_GB2312"/>
                <w:b w:val="0"/>
                <w:color w:val="000000"/>
                <w:sz w:val="32"/>
              </w:rPr>
              <w:t>33.76%</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南山研发费用</w:t>
            </w:r>
          </w:p>
        </w:tc>
        <w:tc>
          <w:tcPr>
            <w:tcW w:type="dxa" w:w="2835"/>
          </w:tcPr>
          <w:p>
            <w:pPr>
              <w:spacing w:lineRule="exact" w:line="600"/>
              <w:jc w:val="center"/>
            </w:pPr>
            <w:r/>
            <w:r>
              <w:rPr>
                <w:rFonts w:ascii="仿宋_GB2312" w:hAnsi="仿宋_GB2312" w:eastAsia="仿宋_GB2312"/>
                <w:b w:val="0"/>
                <w:color w:val="000000"/>
                <w:sz w:val="32"/>
              </w:rPr>
              <w:t>12.73亿元</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集群相关企业</w:t>
            </w:r>
          </w:p>
        </w:tc>
        <w:tc>
          <w:tcPr>
            <w:tcW w:type="dxa" w:w="2835"/>
          </w:tcPr>
          <w:p>
            <w:pPr>
              <w:spacing w:lineRule="exact" w:line="600"/>
              <w:jc w:val="center"/>
            </w:pPr>
            <w:r/>
            <w:r>
              <w:rPr>
                <w:rFonts w:ascii="仿宋_GB2312" w:hAnsi="仿宋_GB2312" w:eastAsia="仿宋_GB2312"/>
                <w:b w:val="0"/>
                <w:color w:val="000000"/>
                <w:sz w:val="32"/>
              </w:rPr>
              <w:t>243家</w:t>
            </w:r>
          </w:p>
        </w:tc>
        <w:tc>
          <w:tcPr>
            <w:tcW w:type="dxa" w:w="3118"/>
          </w:tcPr>
          <w:p>
            <w:pPr>
              <w:spacing w:lineRule="exact" w:line="600"/>
              <w:jc w:val="center"/>
            </w:pPr>
            <w:r/>
            <w:r>
              <w:rPr>
                <w:rFonts w:ascii="仿宋_GB2312" w:hAnsi="仿宋_GB2312" w:eastAsia="仿宋_GB2312"/>
                <w:b w:val="0"/>
                <w:color w:val="000000"/>
                <w:sz w:val="32"/>
              </w:rPr>
              <w:t>龙口市政府</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（一）深加工政策导向</w:t>
      </w:r>
    </w:p>
    <w:p>
      <w:pPr>
        <w:spacing w:lineRule="exact" w:line="600" w:before="0" w:after="0"/>
        <w:ind w:firstLine="420"/>
        <w:jc w:val="both"/>
      </w:pPr>
      <w:r>
        <w:rPr>
          <w:rFonts w:ascii="仿宋_GB2312" w:hAnsi="仿宋_GB2312" w:eastAsia="仿宋_GB2312"/>
          <w:b w:val="0"/>
          <w:color w:val="000000"/>
          <w:sz w:val="32"/>
        </w:rPr>
        <w:t>国家与山东省政策均鼓励铝加工向「精深加工、高附加值」转型。《山东省铝行业高质量发展行动计划（2024—2027年）》将高端铝创新应用、高端交通铝材列为重点集群，强调延链协同与质量提升；工信部《环保装备制造业高质量发展行动计划》等虽不直接针对铝材，但绿色低碳导向倒逼加工环节节能降耗。龙口市将高端铝材列为十大产业之首，出台《关于推动龙口市高端铝材料产业高质量发展的工作方案》，促进产业链向下游延伸、结构优化与质效提升。</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政策/规划</w:t>
            </w:r>
          </w:p>
        </w:tc>
        <w:tc>
          <w:tcPr>
            <w:tcW w:type="dxa" w:w="3685"/>
          </w:tcPr>
          <w:p>
            <w:pPr>
              <w:spacing w:lineRule="exact" w:line="600"/>
              <w:jc w:val="center"/>
            </w:pPr>
            <w:r/>
            <w:r>
              <w:rPr>
                <w:rFonts w:ascii="黑体" w:hAnsi="黑体" w:eastAsia="黑体"/>
                <w:b/>
                <w:color w:val="000000"/>
                <w:sz w:val="32"/>
              </w:rPr>
              <w:t>深加工导向</w:t>
            </w:r>
          </w:p>
        </w:tc>
        <w:tc>
          <w:tcPr>
            <w:tcW w:type="dxa" w:w="2835"/>
          </w:tcPr>
          <w:p>
            <w:pPr>
              <w:spacing w:lineRule="exact" w:line="600"/>
              <w:jc w:val="center"/>
            </w:pPr>
            <w:r/>
            <w:r>
              <w:rPr>
                <w:rFonts w:ascii="黑体" w:hAnsi="黑体" w:eastAsia="黑体"/>
                <w:b/>
                <w:color w:val="000000"/>
                <w:sz w:val="32"/>
              </w:rPr>
              <w:t>来源</w:t>
            </w:r>
          </w:p>
        </w:tc>
      </w:tr>
      <w:tr>
        <w:tc>
          <w:tcPr>
            <w:tcW w:type="dxa" w:w="3118"/>
          </w:tcPr>
          <w:p>
            <w:pPr>
              <w:spacing w:lineRule="exact" w:line="600"/>
              <w:jc w:val="center"/>
            </w:pPr>
            <w:r/>
            <w:r>
              <w:rPr>
                <w:rFonts w:ascii="仿宋_GB2312" w:hAnsi="仿宋_GB2312" w:eastAsia="仿宋_GB2312"/>
                <w:b w:val="0"/>
                <w:color w:val="000000"/>
                <w:sz w:val="32"/>
              </w:rPr>
              <w:t>山东省铝行业行动计划2024—2027</w:t>
            </w:r>
          </w:p>
        </w:tc>
        <w:tc>
          <w:tcPr>
            <w:tcW w:type="dxa" w:w="3685"/>
          </w:tcPr>
          <w:p>
            <w:pPr>
              <w:spacing w:lineRule="exact" w:line="600"/>
              <w:jc w:val="center"/>
            </w:pPr>
            <w:r/>
            <w:r>
              <w:rPr>
                <w:rFonts w:ascii="仿宋_GB2312" w:hAnsi="仿宋_GB2312" w:eastAsia="仿宋_GB2312"/>
                <w:b w:val="0"/>
                <w:color w:val="000000"/>
                <w:sz w:val="32"/>
              </w:rPr>
              <w:t>延链协同、质量提升</w:t>
            </w:r>
          </w:p>
        </w:tc>
        <w:tc>
          <w:tcPr>
            <w:tcW w:type="dxa" w:w="2835"/>
          </w:tcPr>
          <w:p>
            <w:pPr>
              <w:spacing w:lineRule="exact" w:line="600"/>
              <w:jc w:val="center"/>
            </w:pPr>
            <w:r/>
            <w:r>
              <w:rPr>
                <w:rFonts w:ascii="仿宋_GB2312" w:hAnsi="仿宋_GB2312" w:eastAsia="仿宋_GB2312"/>
                <w:b w:val="0"/>
                <w:color w:val="000000"/>
                <w:sz w:val="32"/>
              </w:rPr>
              <w:t>省政府</w:t>
            </w:r>
          </w:p>
        </w:tc>
      </w:tr>
      <w:tr>
        <w:tc>
          <w:tcPr>
            <w:tcW w:type="dxa" w:w="3118"/>
          </w:tcPr>
          <w:p>
            <w:pPr>
              <w:spacing w:lineRule="exact" w:line="600"/>
              <w:jc w:val="center"/>
            </w:pPr>
            <w:r/>
            <w:r>
              <w:rPr>
                <w:rFonts w:ascii="仿宋_GB2312" w:hAnsi="仿宋_GB2312" w:eastAsia="仿宋_GB2312"/>
                <w:b w:val="0"/>
                <w:color w:val="000000"/>
                <w:sz w:val="32"/>
              </w:rPr>
              <w:t>龙口高端铝材料工作方案</w:t>
            </w:r>
          </w:p>
        </w:tc>
        <w:tc>
          <w:tcPr>
            <w:tcW w:type="dxa" w:w="3685"/>
          </w:tcPr>
          <w:p>
            <w:pPr>
              <w:spacing w:lineRule="exact" w:line="600"/>
              <w:jc w:val="center"/>
            </w:pPr>
            <w:r/>
            <w:r>
              <w:rPr>
                <w:rFonts w:ascii="仿宋_GB2312" w:hAnsi="仿宋_GB2312" w:eastAsia="仿宋_GB2312"/>
                <w:b w:val="0"/>
                <w:color w:val="000000"/>
                <w:sz w:val="32"/>
              </w:rPr>
              <w:t>向下游延伸</w:t>
            </w:r>
          </w:p>
        </w:tc>
        <w:tc>
          <w:tcPr>
            <w:tcW w:type="dxa" w:w="2835"/>
          </w:tcPr>
          <w:p>
            <w:pPr>
              <w:spacing w:lineRule="exact" w:line="600"/>
              <w:jc w:val="center"/>
            </w:pPr>
            <w:r/>
            <w:r>
              <w:rPr>
                <w:rFonts w:ascii="仿宋_GB2312" w:hAnsi="仿宋_GB2312" w:eastAsia="仿宋_GB2312"/>
                <w:b w:val="0"/>
                <w:color w:val="000000"/>
                <w:sz w:val="32"/>
              </w:rPr>
              <w:t>龙口市政府</w:t>
            </w:r>
          </w:p>
        </w:tc>
      </w:tr>
      <w:tr>
        <w:tc>
          <w:tcPr>
            <w:tcW w:type="dxa" w:w="3118"/>
          </w:tcPr>
          <w:p>
            <w:pPr>
              <w:spacing w:lineRule="exact" w:line="600"/>
              <w:jc w:val="center"/>
            </w:pPr>
            <w:r/>
            <w:r>
              <w:rPr>
                <w:rFonts w:ascii="仿宋_GB2312" w:hAnsi="仿宋_GB2312" w:eastAsia="仿宋_GB2312"/>
                <w:b w:val="0"/>
                <w:color w:val="000000"/>
                <w:sz w:val="32"/>
              </w:rPr>
              <w:t>「双碳」目标</w:t>
            </w:r>
          </w:p>
        </w:tc>
        <w:tc>
          <w:tcPr>
            <w:tcW w:type="dxa" w:w="3685"/>
          </w:tcPr>
          <w:p>
            <w:pPr>
              <w:spacing w:lineRule="exact" w:line="600"/>
              <w:jc w:val="center"/>
            </w:pPr>
            <w:r/>
            <w:r>
              <w:rPr>
                <w:rFonts w:ascii="仿宋_GB2312" w:hAnsi="仿宋_GB2312" w:eastAsia="仿宋_GB2312"/>
                <w:b w:val="0"/>
                <w:color w:val="000000"/>
                <w:sz w:val="32"/>
              </w:rPr>
              <w:t>节能降耗加工</w:t>
            </w:r>
          </w:p>
        </w:tc>
        <w:tc>
          <w:tcPr>
            <w:tcW w:type="dxa" w:w="2835"/>
          </w:tcPr>
          <w:p>
            <w:pPr>
              <w:spacing w:lineRule="exact" w:line="600"/>
              <w:jc w:val="center"/>
            </w:pPr>
            <w:r/>
            <w:r>
              <w:rPr>
                <w:rFonts w:ascii="仿宋_GB2312" w:hAnsi="仿宋_GB2312" w:eastAsia="仿宋_GB2312"/>
                <w:b w:val="0"/>
                <w:color w:val="000000"/>
                <w:sz w:val="32"/>
              </w:rPr>
              <w:t>国家</w:t>
            </w:r>
          </w:p>
        </w:tc>
      </w:tr>
      <w:tr>
        <w:tc>
          <w:tcPr>
            <w:tcW w:type="dxa" w:w="3118"/>
          </w:tcPr>
          <w:p>
            <w:pPr>
              <w:spacing w:lineRule="exact" w:line="600"/>
              <w:jc w:val="center"/>
            </w:pPr>
            <w:r/>
            <w:r>
              <w:rPr>
                <w:rFonts w:ascii="仿宋_GB2312" w:hAnsi="仿宋_GB2312" w:eastAsia="仿宋_GB2312"/>
                <w:b w:val="0"/>
                <w:color w:val="000000"/>
                <w:sz w:val="32"/>
              </w:rPr>
              <w:t>十强产业雁阵形集群</w:t>
            </w:r>
          </w:p>
        </w:tc>
        <w:tc>
          <w:tcPr>
            <w:tcW w:type="dxa" w:w="3685"/>
          </w:tcPr>
          <w:p>
            <w:pPr>
              <w:spacing w:lineRule="exact" w:line="600"/>
              <w:jc w:val="center"/>
            </w:pPr>
            <w:r/>
            <w:r>
              <w:rPr>
                <w:rFonts w:ascii="仿宋_GB2312" w:hAnsi="仿宋_GB2312" w:eastAsia="仿宋_GB2312"/>
                <w:b w:val="0"/>
                <w:color w:val="000000"/>
                <w:sz w:val="32"/>
              </w:rPr>
              <w:t>高端化定位</w:t>
            </w:r>
          </w:p>
        </w:tc>
        <w:tc>
          <w:tcPr>
            <w:tcW w:type="dxa" w:w="2835"/>
          </w:tcPr>
          <w:p>
            <w:pPr>
              <w:spacing w:lineRule="exact" w:line="600"/>
              <w:jc w:val="center"/>
            </w:pPr>
            <w:r/>
            <w:r>
              <w:rPr>
                <w:rFonts w:ascii="仿宋_GB2312" w:hAnsi="仿宋_GB2312" w:eastAsia="仿宋_GB2312"/>
                <w:b w:val="0"/>
                <w:color w:val="000000"/>
                <w:sz w:val="32"/>
              </w:rPr>
              <w:t>山东省</w:t>
            </w:r>
          </w:p>
        </w:tc>
      </w:tr>
    </w:tbl>
    <w:p>
      <w:pPr>
        <w:spacing w:lineRule="exact" w:line="600" w:before="120" w:after="120"/>
        <w:ind w:firstLine="420"/>
        <w:jc w:val="left"/>
      </w:pPr>
      <w:r>
        <w:rPr>
          <w:rFonts w:ascii="楷体_GB2312" w:hAnsi="楷体_GB2312" w:eastAsia="楷体_GB2312"/>
          <w:b w:val="0"/>
          <w:color w:val="000000"/>
          <w:sz w:val="32"/>
        </w:rPr>
        <w:t>（二）区域深加工定位</w:t>
      </w:r>
    </w:p>
    <w:p>
      <w:pPr>
        <w:spacing w:lineRule="exact" w:line="600" w:before="0" w:after="0"/>
        <w:ind w:firstLine="420"/>
        <w:jc w:val="both"/>
      </w:pPr>
      <w:r>
        <w:rPr>
          <w:rFonts w:ascii="仿宋_GB2312" w:hAnsi="仿宋_GB2312" w:eastAsia="仿宋_GB2312"/>
          <w:b w:val="0"/>
          <w:color w:val="000000"/>
          <w:sz w:val="32"/>
        </w:rPr>
        <w:t>龙口是全球唯一同地区拥有热电、氧化铝、电解铝、熔铸、铝型材/热轧—冷轧—箔轧/锻压、废铝回收完整最短距离产业链的城市。完整的上游布局使本地精深加工企业可获得稳定、低物流成本的铝液与铸锭供应，形成「铝液短流程合金化及塑性成型加工」的独有优势（该技术列入国家科技支撑计划）。这种一体化条件显著降低深加工环节能耗与成本，是龙口区别于其他铝加工集聚区的重要禀赋。</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区域禀赋指标</w:t>
            </w:r>
          </w:p>
        </w:tc>
        <w:tc>
          <w:tcPr>
            <w:tcW w:type="dxa" w:w="3685"/>
          </w:tcPr>
          <w:p>
            <w:pPr>
              <w:spacing w:lineRule="exact" w:line="600"/>
              <w:jc w:val="center"/>
            </w:pPr>
            <w:r/>
            <w:r>
              <w:rPr>
                <w:rFonts w:ascii="黑体" w:hAnsi="黑体" w:eastAsia="黑体"/>
                <w:b/>
                <w:color w:val="000000"/>
                <w:sz w:val="32"/>
              </w:rPr>
              <w:t>内容</w:t>
            </w:r>
          </w:p>
        </w:tc>
        <w:tc>
          <w:tcPr>
            <w:tcW w:type="dxa" w:w="2551"/>
          </w:tcPr>
          <w:p>
            <w:pPr>
              <w:spacing w:lineRule="exact" w:line="600"/>
              <w:jc w:val="center"/>
            </w:pPr>
            <w:r/>
            <w:r>
              <w:rPr>
                <w:rFonts w:ascii="黑体" w:hAnsi="黑体" w:eastAsia="黑体"/>
                <w:b/>
                <w:color w:val="000000"/>
                <w:sz w:val="32"/>
              </w:rPr>
              <w:t>优势</w:t>
            </w:r>
          </w:p>
        </w:tc>
      </w:tr>
      <w:tr>
        <w:tc>
          <w:tcPr>
            <w:tcW w:type="dxa" w:w="2835"/>
          </w:tcPr>
          <w:p>
            <w:pPr>
              <w:spacing w:lineRule="exact" w:line="600"/>
              <w:jc w:val="center"/>
            </w:pPr>
            <w:r/>
            <w:r>
              <w:rPr>
                <w:rFonts w:ascii="仿宋_GB2312" w:hAnsi="仿宋_GB2312" w:eastAsia="仿宋_GB2312"/>
                <w:b w:val="0"/>
                <w:color w:val="000000"/>
                <w:sz w:val="32"/>
              </w:rPr>
              <w:t>产业链完整度</w:t>
            </w:r>
          </w:p>
        </w:tc>
        <w:tc>
          <w:tcPr>
            <w:tcW w:type="dxa" w:w="3685"/>
          </w:tcPr>
          <w:p>
            <w:pPr>
              <w:spacing w:lineRule="exact" w:line="600"/>
              <w:jc w:val="center"/>
            </w:pPr>
            <w:r/>
            <w:r>
              <w:rPr>
                <w:rFonts w:ascii="仿宋_GB2312" w:hAnsi="仿宋_GB2312" w:eastAsia="仿宋_GB2312"/>
                <w:b w:val="0"/>
                <w:color w:val="000000"/>
                <w:sz w:val="32"/>
              </w:rPr>
              <w:t>全球唯一同地区最完整</w:t>
            </w:r>
          </w:p>
        </w:tc>
        <w:tc>
          <w:tcPr>
            <w:tcW w:type="dxa" w:w="2551"/>
          </w:tcPr>
          <w:p>
            <w:pPr>
              <w:spacing w:lineRule="exact" w:line="600"/>
              <w:jc w:val="center"/>
            </w:pPr>
            <w:r/>
            <w:r>
              <w:rPr>
                <w:rFonts w:ascii="仿宋_GB2312" w:hAnsi="仿宋_GB2312" w:eastAsia="仿宋_GB2312"/>
                <w:b w:val="0"/>
                <w:color w:val="000000"/>
                <w:sz w:val="32"/>
              </w:rPr>
              <w:t>短距离</w:t>
            </w:r>
          </w:p>
        </w:tc>
      </w:tr>
      <w:tr>
        <w:tc>
          <w:tcPr>
            <w:tcW w:type="dxa" w:w="2835"/>
          </w:tcPr>
          <w:p>
            <w:pPr>
              <w:spacing w:lineRule="exact" w:line="600"/>
              <w:jc w:val="center"/>
            </w:pPr>
            <w:r/>
            <w:r>
              <w:rPr>
                <w:rFonts w:ascii="仿宋_GB2312" w:hAnsi="仿宋_GB2312" w:eastAsia="仿宋_GB2312"/>
                <w:b w:val="0"/>
                <w:color w:val="000000"/>
                <w:sz w:val="32"/>
              </w:rPr>
              <w:t>核心工艺</w:t>
            </w:r>
          </w:p>
        </w:tc>
        <w:tc>
          <w:tcPr>
            <w:tcW w:type="dxa" w:w="3685"/>
          </w:tcPr>
          <w:p>
            <w:pPr>
              <w:spacing w:lineRule="exact" w:line="600"/>
              <w:jc w:val="center"/>
            </w:pPr>
            <w:r/>
            <w:r>
              <w:rPr>
                <w:rFonts w:ascii="仿宋_GB2312" w:hAnsi="仿宋_GB2312" w:eastAsia="仿宋_GB2312"/>
                <w:b w:val="0"/>
                <w:color w:val="000000"/>
                <w:sz w:val="32"/>
              </w:rPr>
              <w:t>铝液短流程合金化</w:t>
            </w:r>
          </w:p>
        </w:tc>
        <w:tc>
          <w:tcPr>
            <w:tcW w:type="dxa" w:w="2551"/>
          </w:tcPr>
          <w:p>
            <w:pPr>
              <w:spacing w:lineRule="exact" w:line="600"/>
              <w:jc w:val="center"/>
            </w:pPr>
            <w:r/>
            <w:r>
              <w:rPr>
                <w:rFonts w:ascii="仿宋_GB2312" w:hAnsi="仿宋_GB2312" w:eastAsia="仿宋_GB2312"/>
                <w:b w:val="0"/>
                <w:color w:val="000000"/>
                <w:sz w:val="32"/>
              </w:rPr>
              <w:t>国家支撑计划</w:t>
            </w:r>
          </w:p>
        </w:tc>
      </w:tr>
      <w:tr>
        <w:tc>
          <w:tcPr>
            <w:tcW w:type="dxa" w:w="2835"/>
          </w:tcPr>
          <w:p>
            <w:pPr>
              <w:spacing w:lineRule="exact" w:line="600"/>
              <w:jc w:val="center"/>
            </w:pPr>
            <w:r/>
            <w:r>
              <w:rPr>
                <w:rFonts w:ascii="仿宋_GB2312" w:hAnsi="仿宋_GB2312" w:eastAsia="仿宋_GB2312"/>
                <w:b w:val="0"/>
                <w:color w:val="000000"/>
                <w:sz w:val="32"/>
              </w:rPr>
              <w:t>规划面积</w:t>
            </w:r>
          </w:p>
        </w:tc>
        <w:tc>
          <w:tcPr>
            <w:tcW w:type="dxa" w:w="3685"/>
          </w:tcPr>
          <w:p>
            <w:pPr>
              <w:spacing w:lineRule="exact" w:line="600"/>
              <w:jc w:val="center"/>
            </w:pPr>
            <w:r/>
            <w:r>
              <w:rPr>
                <w:rFonts w:ascii="仿宋_GB2312" w:hAnsi="仿宋_GB2312" w:eastAsia="仿宋_GB2312"/>
                <w:b w:val="0"/>
                <w:color w:val="000000"/>
                <w:sz w:val="32"/>
              </w:rPr>
              <w:t>约90平方公里</w:t>
            </w:r>
          </w:p>
        </w:tc>
        <w:tc>
          <w:tcPr>
            <w:tcW w:type="dxa" w:w="2551"/>
          </w:tcPr>
          <w:p>
            <w:pPr>
              <w:spacing w:lineRule="exact" w:line="600"/>
              <w:jc w:val="center"/>
            </w:pPr>
            <w:r/>
            <w:r>
              <w:rPr>
                <w:rFonts w:ascii="仿宋_GB2312" w:hAnsi="仿宋_GB2312" w:eastAsia="仿宋_GB2312"/>
                <w:b w:val="0"/>
                <w:color w:val="000000"/>
                <w:sz w:val="32"/>
              </w:rPr>
              <w:t>三大园区</w:t>
            </w:r>
          </w:p>
        </w:tc>
      </w:tr>
      <w:tr>
        <w:tc>
          <w:tcPr>
            <w:tcW w:type="dxa" w:w="2835"/>
          </w:tcPr>
          <w:p>
            <w:pPr>
              <w:spacing w:lineRule="exact" w:line="600"/>
              <w:jc w:val="center"/>
            </w:pPr>
            <w:r/>
            <w:r>
              <w:rPr>
                <w:rFonts w:ascii="仿宋_GB2312" w:hAnsi="仿宋_GB2312" w:eastAsia="仿宋_GB2312"/>
                <w:b w:val="0"/>
                <w:color w:val="000000"/>
                <w:sz w:val="32"/>
              </w:rPr>
              <w:t>深加工企业</w:t>
            </w:r>
          </w:p>
        </w:tc>
        <w:tc>
          <w:tcPr>
            <w:tcW w:type="dxa" w:w="3685"/>
          </w:tcPr>
          <w:p>
            <w:pPr>
              <w:spacing w:lineRule="exact" w:line="600"/>
              <w:jc w:val="center"/>
            </w:pPr>
            <w:r/>
            <w:r>
              <w:rPr>
                <w:rFonts w:ascii="仿宋_GB2312" w:hAnsi="仿宋_GB2312" w:eastAsia="仿宋_GB2312"/>
                <w:b w:val="0"/>
                <w:color w:val="000000"/>
                <w:sz w:val="32"/>
              </w:rPr>
              <w:t>243家相关企业</w:t>
            </w:r>
          </w:p>
        </w:tc>
        <w:tc>
          <w:tcPr>
            <w:tcW w:type="dxa" w:w="2551"/>
          </w:tcPr>
          <w:p>
            <w:pPr>
              <w:spacing w:lineRule="exact" w:line="600"/>
              <w:jc w:val="center"/>
            </w:pPr>
            <w:r/>
            <w:r>
              <w:rPr>
                <w:rFonts w:ascii="仿宋_GB2312" w:hAnsi="仿宋_GB2312" w:eastAsia="仿宋_GB2312"/>
                <w:b w:val="0"/>
                <w:color w:val="000000"/>
                <w:sz w:val="32"/>
              </w:rPr>
              <w:t>集群配套</w:t>
            </w:r>
          </w:p>
        </w:tc>
      </w:tr>
    </w:tbl>
    <w:p>
      <w:pPr>
        <w:spacing w:lineRule="exact" w:line="600" w:before="120" w:after="120"/>
        <w:ind w:firstLine="420"/>
        <w:jc w:val="left"/>
      </w:pPr>
      <w:r>
        <w:rPr>
          <w:rFonts w:ascii="楷体_GB2312" w:hAnsi="楷体_GB2312" w:eastAsia="楷体_GB2312"/>
          <w:b w:val="0"/>
          <w:color w:val="000000"/>
          <w:sz w:val="32"/>
        </w:rPr>
        <w:t>（三）宏观需求结构</w:t>
      </w:r>
    </w:p>
    <w:p>
      <w:pPr>
        <w:spacing w:lineRule="exact" w:line="600" w:before="0" w:after="0"/>
        <w:ind w:firstLine="420"/>
        <w:jc w:val="both"/>
      </w:pPr>
      <w:r>
        <w:rPr>
          <w:rFonts w:ascii="仿宋_GB2312" w:hAnsi="仿宋_GB2312" w:eastAsia="仿宋_GB2312"/>
          <w:b w:val="0"/>
          <w:color w:val="000000"/>
          <w:sz w:val="32"/>
        </w:rPr>
        <w:t>2023年全国铝加工材产量4695万吨（+3.9%），其中铝挤压材2340万吨（+8.8%）、铝板带1350万吨（-2.2%）。消费结构上，交通运输领域铝材占比7.9%（较2021年+0.7pct），新能源（光伏型材340万吨+30.8%、新能源汽车铝型材98万吨+30.7%）成为深加工增量主引擎。汽车铝材市场规模1567亿元（+11.8%），为铝材精深加工提供持续需求支撑，深加工高端材增速明显快于传统建筑材。</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全国指标</w:t>
            </w:r>
          </w:p>
        </w:tc>
        <w:tc>
          <w:tcPr>
            <w:tcW w:type="dxa" w:w="3118"/>
          </w:tcPr>
          <w:p>
            <w:pPr>
              <w:spacing w:lineRule="exact" w:line="600"/>
              <w:jc w:val="center"/>
            </w:pPr>
            <w:r/>
            <w:r>
              <w:rPr>
                <w:rFonts w:ascii="黑体" w:hAnsi="黑体" w:eastAsia="黑体"/>
                <w:b/>
                <w:color w:val="000000"/>
                <w:sz w:val="32"/>
              </w:rPr>
              <w:t>2023数值</w:t>
            </w:r>
          </w:p>
        </w:tc>
        <w:tc>
          <w:tcPr>
            <w:tcW w:type="dxa" w:w="3118"/>
          </w:tcPr>
          <w:p>
            <w:pPr>
              <w:spacing w:lineRule="exact" w:line="600"/>
              <w:jc w:val="center"/>
            </w:pPr>
            <w:r/>
            <w:r>
              <w:rPr>
                <w:rFonts w:ascii="黑体" w:hAnsi="黑体" w:eastAsia="黑体"/>
                <w:b/>
                <w:color w:val="000000"/>
                <w:sz w:val="32"/>
              </w:rPr>
              <w:t>同比</w:t>
            </w:r>
          </w:p>
        </w:tc>
      </w:tr>
      <w:tr>
        <w:tc>
          <w:tcPr>
            <w:tcW w:type="dxa" w:w="3118"/>
          </w:tcPr>
          <w:p>
            <w:pPr>
              <w:spacing w:lineRule="exact" w:line="600"/>
              <w:jc w:val="center"/>
            </w:pPr>
            <w:r/>
            <w:r>
              <w:rPr>
                <w:rFonts w:ascii="仿宋_GB2312" w:hAnsi="仿宋_GB2312" w:eastAsia="仿宋_GB2312"/>
                <w:b w:val="0"/>
                <w:color w:val="000000"/>
                <w:sz w:val="32"/>
              </w:rPr>
              <w:t>铝加工材总产量</w:t>
            </w:r>
          </w:p>
        </w:tc>
        <w:tc>
          <w:tcPr>
            <w:tcW w:type="dxa" w:w="3118"/>
          </w:tcPr>
          <w:p>
            <w:pPr>
              <w:spacing w:lineRule="exact" w:line="600"/>
              <w:jc w:val="center"/>
            </w:pPr>
            <w:r/>
            <w:r>
              <w:rPr>
                <w:rFonts w:ascii="仿宋_GB2312" w:hAnsi="仿宋_GB2312" w:eastAsia="仿宋_GB2312"/>
                <w:b w:val="0"/>
                <w:color w:val="000000"/>
                <w:sz w:val="32"/>
              </w:rPr>
              <w:t>4695万吨</w:t>
            </w:r>
          </w:p>
        </w:tc>
        <w:tc>
          <w:tcPr>
            <w:tcW w:type="dxa" w:w="3118"/>
          </w:tcPr>
          <w:p>
            <w:pPr>
              <w:spacing w:lineRule="exact" w:line="600"/>
              <w:jc w:val="center"/>
            </w:pPr>
            <w:r/>
            <w:r>
              <w:rPr>
                <w:rFonts w:ascii="仿宋_GB2312" w:hAnsi="仿宋_GB2312" w:eastAsia="仿宋_GB2312"/>
                <w:b w:val="0"/>
                <w:color w:val="000000"/>
                <w:sz w:val="32"/>
              </w:rPr>
              <w:t>+3.9%</w:t>
            </w:r>
          </w:p>
        </w:tc>
      </w:tr>
      <w:tr>
        <w:tc>
          <w:tcPr>
            <w:tcW w:type="dxa" w:w="3118"/>
          </w:tcPr>
          <w:p>
            <w:pPr>
              <w:spacing w:lineRule="exact" w:line="600"/>
              <w:jc w:val="center"/>
            </w:pPr>
            <w:r/>
            <w:r>
              <w:rPr>
                <w:rFonts w:ascii="仿宋_GB2312" w:hAnsi="仿宋_GB2312" w:eastAsia="仿宋_GB2312"/>
                <w:b w:val="0"/>
                <w:color w:val="000000"/>
                <w:sz w:val="32"/>
              </w:rPr>
              <w:t>铝挤压材</w:t>
            </w:r>
          </w:p>
        </w:tc>
        <w:tc>
          <w:tcPr>
            <w:tcW w:type="dxa" w:w="3118"/>
          </w:tcPr>
          <w:p>
            <w:pPr>
              <w:spacing w:lineRule="exact" w:line="600"/>
              <w:jc w:val="center"/>
            </w:pPr>
            <w:r/>
            <w:r>
              <w:rPr>
                <w:rFonts w:ascii="仿宋_GB2312" w:hAnsi="仿宋_GB2312" w:eastAsia="仿宋_GB2312"/>
                <w:b w:val="0"/>
                <w:color w:val="000000"/>
                <w:sz w:val="32"/>
              </w:rPr>
              <w:t>2340万吨</w:t>
            </w:r>
          </w:p>
        </w:tc>
        <w:tc>
          <w:tcPr>
            <w:tcW w:type="dxa" w:w="3118"/>
          </w:tcPr>
          <w:p>
            <w:pPr>
              <w:spacing w:lineRule="exact" w:line="600"/>
              <w:jc w:val="center"/>
            </w:pPr>
            <w:r/>
            <w:r>
              <w:rPr>
                <w:rFonts w:ascii="仿宋_GB2312" w:hAnsi="仿宋_GB2312" w:eastAsia="仿宋_GB2312"/>
                <w:b w:val="0"/>
                <w:color w:val="000000"/>
                <w:sz w:val="32"/>
              </w:rPr>
              <w:t>+8.8%</w:t>
            </w:r>
          </w:p>
        </w:tc>
      </w:tr>
      <w:tr>
        <w:tc>
          <w:tcPr>
            <w:tcW w:type="dxa" w:w="3118"/>
          </w:tcPr>
          <w:p>
            <w:pPr>
              <w:spacing w:lineRule="exact" w:line="600"/>
              <w:jc w:val="center"/>
            </w:pPr>
            <w:r/>
            <w:r>
              <w:rPr>
                <w:rFonts w:ascii="仿宋_GB2312" w:hAnsi="仿宋_GB2312" w:eastAsia="仿宋_GB2312"/>
                <w:b w:val="0"/>
                <w:color w:val="000000"/>
                <w:sz w:val="32"/>
              </w:rPr>
              <w:t>铝板带</w:t>
            </w:r>
          </w:p>
        </w:tc>
        <w:tc>
          <w:tcPr>
            <w:tcW w:type="dxa" w:w="3118"/>
          </w:tcPr>
          <w:p>
            <w:pPr>
              <w:spacing w:lineRule="exact" w:line="600"/>
              <w:jc w:val="center"/>
            </w:pPr>
            <w:r/>
            <w:r>
              <w:rPr>
                <w:rFonts w:ascii="仿宋_GB2312" w:hAnsi="仿宋_GB2312" w:eastAsia="仿宋_GB2312"/>
                <w:b w:val="0"/>
                <w:color w:val="000000"/>
                <w:sz w:val="32"/>
              </w:rPr>
              <w:t>1350万吨</w:t>
            </w:r>
          </w:p>
        </w:tc>
        <w:tc>
          <w:tcPr>
            <w:tcW w:type="dxa" w:w="3118"/>
          </w:tcPr>
          <w:p>
            <w:pPr>
              <w:spacing w:lineRule="exact" w:line="600"/>
              <w:jc w:val="center"/>
            </w:pPr>
            <w:r/>
            <w:r>
              <w:rPr>
                <w:rFonts w:ascii="仿宋_GB2312" w:hAnsi="仿宋_GB2312" w:eastAsia="仿宋_GB2312"/>
                <w:b w:val="0"/>
                <w:color w:val="000000"/>
                <w:sz w:val="32"/>
              </w:rPr>
              <w:t>-2.2%</w:t>
            </w:r>
          </w:p>
        </w:tc>
      </w:tr>
      <w:tr>
        <w:tc>
          <w:tcPr>
            <w:tcW w:type="dxa" w:w="3118"/>
          </w:tcPr>
          <w:p>
            <w:pPr>
              <w:spacing w:lineRule="exact" w:line="600"/>
              <w:jc w:val="center"/>
            </w:pPr>
            <w:r/>
            <w:r>
              <w:rPr>
                <w:rFonts w:ascii="仿宋_GB2312" w:hAnsi="仿宋_GB2312" w:eastAsia="仿宋_GB2312"/>
                <w:b w:val="0"/>
                <w:color w:val="000000"/>
                <w:sz w:val="32"/>
              </w:rPr>
              <w:t>交通领域消费占比</w:t>
            </w:r>
          </w:p>
        </w:tc>
        <w:tc>
          <w:tcPr>
            <w:tcW w:type="dxa" w:w="3118"/>
          </w:tcPr>
          <w:p>
            <w:pPr>
              <w:spacing w:lineRule="exact" w:line="600"/>
              <w:jc w:val="center"/>
            </w:pPr>
            <w:r/>
            <w:r>
              <w:rPr>
                <w:rFonts w:ascii="仿宋_GB2312" w:hAnsi="仿宋_GB2312" w:eastAsia="仿宋_GB2312"/>
                <w:b w:val="0"/>
                <w:color w:val="000000"/>
                <w:sz w:val="32"/>
              </w:rPr>
              <w:t>7.9%</w:t>
            </w:r>
          </w:p>
        </w:tc>
        <w:tc>
          <w:tcPr>
            <w:tcW w:type="dxa" w:w="3118"/>
          </w:tcPr>
          <w:p>
            <w:pPr>
              <w:spacing w:lineRule="exact" w:line="600"/>
              <w:jc w:val="center"/>
            </w:pPr>
            <w:r/>
            <w:r>
              <w:rPr>
                <w:rFonts w:ascii="仿宋_GB2312" w:hAnsi="仿宋_GB2312" w:eastAsia="仿宋_GB2312"/>
                <w:b w:val="0"/>
                <w:color w:val="000000"/>
                <w:sz w:val="32"/>
              </w:rPr>
              <w:t>+0.7pct</w:t>
            </w:r>
          </w:p>
        </w:tc>
      </w:tr>
      <w:tr>
        <w:tc>
          <w:tcPr>
            <w:tcW w:type="dxa" w:w="3118"/>
          </w:tcPr>
          <w:p>
            <w:pPr>
              <w:spacing w:lineRule="exact" w:line="600"/>
              <w:jc w:val="center"/>
            </w:pPr>
            <w:r/>
            <w:r>
              <w:rPr>
                <w:rFonts w:ascii="仿宋_GB2312" w:hAnsi="仿宋_GB2312" w:eastAsia="仿宋_GB2312"/>
                <w:b w:val="0"/>
                <w:color w:val="000000"/>
                <w:sz w:val="32"/>
              </w:rPr>
              <w:t>汽车铝材市场</w:t>
            </w:r>
          </w:p>
        </w:tc>
        <w:tc>
          <w:tcPr>
            <w:tcW w:type="dxa" w:w="3118"/>
          </w:tcPr>
          <w:p>
            <w:pPr>
              <w:spacing w:lineRule="exact" w:line="600"/>
              <w:jc w:val="center"/>
            </w:pPr>
            <w:r/>
            <w:r>
              <w:rPr>
                <w:rFonts w:ascii="仿宋_GB2312" w:hAnsi="仿宋_GB2312" w:eastAsia="仿宋_GB2312"/>
                <w:b w:val="0"/>
                <w:color w:val="000000"/>
                <w:sz w:val="32"/>
              </w:rPr>
              <w:t>1567亿元</w:t>
            </w:r>
          </w:p>
        </w:tc>
        <w:tc>
          <w:tcPr>
            <w:tcW w:type="dxa" w:w="3118"/>
          </w:tcPr>
          <w:p>
            <w:pPr>
              <w:spacing w:lineRule="exact" w:line="600"/>
              <w:jc w:val="center"/>
            </w:pPr>
            <w:r/>
            <w:r>
              <w:rPr>
                <w:rFonts w:ascii="仿宋_GB2312" w:hAnsi="仿宋_GB2312" w:eastAsia="仿宋_GB2312"/>
                <w:b w:val="0"/>
                <w:color w:val="000000"/>
                <w:sz w:val="32"/>
              </w:rPr>
              <w:t>+11.8%</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（一）熔铸与合金化环节</w:t>
      </w:r>
    </w:p>
    <w:p>
      <w:pPr>
        <w:spacing w:lineRule="exact" w:line="600" w:before="0" w:after="0"/>
        <w:ind w:firstLine="420"/>
        <w:jc w:val="both"/>
      </w:pPr>
      <w:r>
        <w:rPr>
          <w:rFonts w:ascii="仿宋_GB2312" w:hAnsi="仿宋_GB2312" w:eastAsia="仿宋_GB2312"/>
          <w:b w:val="0"/>
          <w:color w:val="000000"/>
          <w:sz w:val="32"/>
        </w:rPr>
        <w:t>熔铸是精深加工的前端。南山铝业拥有从氧化铝、电解铝到熔铸的完整能力，采用「铝液短流程合金化及塑性成型加工关键技术」，可直接以铝液合金化后铸锭，减少重熔能耗。丛林铝业建有工艺先进的铝合金熔炼铸造生产线和挤压模具柔性加工生产线。本地铝液直供模式使下游挤压、轧制企业省去铝锭重熔环节，显著降低能耗与碳排放，构成龙口深加工的核心效率优势。</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熔铸能力</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主体</w:t>
            </w:r>
          </w:p>
        </w:tc>
      </w:tr>
      <w:tr>
        <w:tc>
          <w:tcPr>
            <w:tcW w:type="dxa" w:w="2835"/>
          </w:tcPr>
          <w:p>
            <w:pPr>
              <w:spacing w:lineRule="exact" w:line="600"/>
              <w:jc w:val="center"/>
            </w:pPr>
            <w:r/>
            <w:r>
              <w:rPr>
                <w:rFonts w:ascii="仿宋_GB2312" w:hAnsi="仿宋_GB2312" w:eastAsia="仿宋_GB2312"/>
                <w:b w:val="0"/>
                <w:color w:val="000000"/>
                <w:sz w:val="32"/>
              </w:rPr>
              <w:t>铝液短流程合金化</w:t>
            </w:r>
          </w:p>
        </w:tc>
        <w:tc>
          <w:tcPr>
            <w:tcW w:type="dxa" w:w="3402"/>
          </w:tcPr>
          <w:p>
            <w:pPr>
              <w:spacing w:lineRule="exact" w:line="600"/>
              <w:jc w:val="center"/>
            </w:pPr>
            <w:r/>
            <w:r>
              <w:rPr>
                <w:rFonts w:ascii="仿宋_GB2312" w:hAnsi="仿宋_GB2312" w:eastAsia="仿宋_GB2312"/>
                <w:b w:val="0"/>
                <w:color w:val="000000"/>
                <w:sz w:val="32"/>
              </w:rPr>
              <w:t>国家科技支撑计划</w:t>
            </w:r>
          </w:p>
        </w:tc>
        <w:tc>
          <w:tcPr>
            <w:tcW w:type="dxa" w:w="2835"/>
          </w:tcPr>
          <w:p>
            <w:pPr>
              <w:spacing w:lineRule="exact" w:line="600"/>
              <w:jc w:val="center"/>
            </w:pPr>
            <w:r/>
            <w:r>
              <w:rPr>
                <w:rFonts w:ascii="仿宋_GB2312" w:hAnsi="仿宋_GB2312" w:eastAsia="仿宋_GB2312"/>
                <w:b w:val="0"/>
                <w:color w:val="000000"/>
                <w:sz w:val="32"/>
              </w:rPr>
              <w:t>龙口集群</w:t>
            </w:r>
          </w:p>
        </w:tc>
      </w:tr>
      <w:tr>
        <w:tc>
          <w:tcPr>
            <w:tcW w:type="dxa" w:w="2835"/>
          </w:tcPr>
          <w:p>
            <w:pPr>
              <w:spacing w:lineRule="exact" w:line="600"/>
              <w:jc w:val="center"/>
            </w:pPr>
            <w:r/>
            <w:r>
              <w:rPr>
                <w:rFonts w:ascii="仿宋_GB2312" w:hAnsi="仿宋_GB2312" w:eastAsia="仿宋_GB2312"/>
                <w:b w:val="0"/>
                <w:color w:val="000000"/>
                <w:sz w:val="32"/>
              </w:rPr>
              <w:t>熔炼铸造线</w:t>
            </w:r>
          </w:p>
        </w:tc>
        <w:tc>
          <w:tcPr>
            <w:tcW w:type="dxa" w:w="3402"/>
          </w:tcPr>
          <w:p>
            <w:pPr>
              <w:spacing w:lineRule="exact" w:line="600"/>
              <w:jc w:val="center"/>
            </w:pPr>
            <w:r/>
            <w:r>
              <w:rPr>
                <w:rFonts w:ascii="仿宋_GB2312" w:hAnsi="仿宋_GB2312" w:eastAsia="仿宋_GB2312"/>
                <w:b w:val="0"/>
                <w:color w:val="000000"/>
                <w:sz w:val="32"/>
              </w:rPr>
              <w:t>先进产线</w:t>
            </w:r>
          </w:p>
        </w:tc>
        <w:tc>
          <w:tcPr>
            <w:tcW w:type="dxa" w:w="2835"/>
          </w:tcPr>
          <w:p>
            <w:pPr>
              <w:spacing w:lineRule="exact" w:line="600"/>
              <w:jc w:val="center"/>
            </w:pPr>
            <w:r/>
            <w:r>
              <w:rPr>
                <w:rFonts w:ascii="仿宋_GB2312" w:hAnsi="仿宋_GB2312" w:eastAsia="仿宋_GB2312"/>
                <w:b w:val="0"/>
                <w:color w:val="000000"/>
                <w:sz w:val="32"/>
              </w:rPr>
              <w:t>丛林铝业</w:t>
            </w:r>
          </w:p>
        </w:tc>
      </w:tr>
      <w:tr>
        <w:tc>
          <w:tcPr>
            <w:tcW w:type="dxa" w:w="2835"/>
          </w:tcPr>
          <w:p>
            <w:pPr>
              <w:spacing w:lineRule="exact" w:line="600"/>
              <w:jc w:val="center"/>
            </w:pPr>
            <w:r/>
            <w:r>
              <w:rPr>
                <w:rFonts w:ascii="仿宋_GB2312" w:hAnsi="仿宋_GB2312" w:eastAsia="仿宋_GB2312"/>
                <w:b w:val="0"/>
                <w:color w:val="000000"/>
                <w:sz w:val="32"/>
              </w:rPr>
              <w:t>电解铝直供</w:t>
            </w:r>
          </w:p>
        </w:tc>
        <w:tc>
          <w:tcPr>
            <w:tcW w:type="dxa" w:w="3402"/>
          </w:tcPr>
          <w:p>
            <w:pPr>
              <w:spacing w:lineRule="exact" w:line="600"/>
              <w:jc w:val="center"/>
            </w:pPr>
            <w:r/>
            <w:r>
              <w:rPr>
                <w:rFonts w:ascii="仿宋_GB2312" w:hAnsi="仿宋_GB2312" w:eastAsia="仿宋_GB2312"/>
                <w:b w:val="0"/>
                <w:color w:val="000000"/>
                <w:sz w:val="32"/>
              </w:rPr>
              <w:t>48万吨保留产能</w:t>
            </w:r>
          </w:p>
        </w:tc>
        <w:tc>
          <w:tcPr>
            <w:tcW w:type="dxa" w:w="2835"/>
          </w:tcPr>
          <w:p>
            <w:pPr>
              <w:spacing w:lineRule="exact" w:line="600"/>
              <w:jc w:val="center"/>
            </w:pPr>
            <w:r/>
            <w:r>
              <w:rPr>
                <w:rFonts w:ascii="仿宋_GB2312" w:hAnsi="仿宋_GB2312" w:eastAsia="仿宋_GB2312"/>
                <w:b w:val="0"/>
                <w:color w:val="000000"/>
                <w:sz w:val="32"/>
              </w:rPr>
              <w:t>南山铝业</w:t>
            </w:r>
          </w:p>
        </w:tc>
      </w:tr>
      <w:tr>
        <w:tc>
          <w:tcPr>
            <w:tcW w:type="dxa" w:w="2835"/>
          </w:tcPr>
          <w:p>
            <w:pPr>
              <w:spacing w:lineRule="exact" w:line="600"/>
              <w:jc w:val="center"/>
            </w:pPr>
            <w:r/>
            <w:r>
              <w:rPr>
                <w:rFonts w:ascii="仿宋_GB2312" w:hAnsi="仿宋_GB2312" w:eastAsia="仿宋_GB2312"/>
                <w:b w:val="0"/>
                <w:color w:val="000000"/>
                <w:sz w:val="32"/>
              </w:rPr>
              <w:t>再生铝</w:t>
            </w:r>
          </w:p>
        </w:tc>
        <w:tc>
          <w:tcPr>
            <w:tcW w:type="dxa" w:w="3402"/>
          </w:tcPr>
          <w:p>
            <w:pPr>
              <w:spacing w:lineRule="exact" w:line="600"/>
              <w:jc w:val="center"/>
            </w:pPr>
            <w:r/>
            <w:r>
              <w:rPr>
                <w:rFonts w:ascii="仿宋_GB2312" w:hAnsi="仿宋_GB2312" w:eastAsia="仿宋_GB2312"/>
                <w:b w:val="0"/>
                <w:color w:val="000000"/>
                <w:sz w:val="32"/>
              </w:rPr>
              <w:t>10万吨产能</w:t>
            </w:r>
          </w:p>
        </w:tc>
        <w:tc>
          <w:tcPr>
            <w:tcW w:type="dxa" w:w="2835"/>
          </w:tcPr>
          <w:p>
            <w:pPr>
              <w:spacing w:lineRule="exact" w:line="600"/>
              <w:jc w:val="center"/>
            </w:pPr>
            <w:r/>
            <w:r>
              <w:rPr>
                <w:rFonts w:ascii="仿宋_GB2312" w:hAnsi="仿宋_GB2312" w:eastAsia="仿宋_GB2312"/>
                <w:b w:val="0"/>
                <w:color w:val="000000"/>
                <w:sz w:val="32"/>
              </w:rPr>
              <w:t>南山铝业</w:t>
            </w:r>
          </w:p>
        </w:tc>
      </w:tr>
    </w:tbl>
    <w:p>
      <w:pPr>
        <w:spacing w:lineRule="exact" w:line="600" w:before="120" w:after="120"/>
        <w:ind w:firstLine="420"/>
        <w:jc w:val="left"/>
      </w:pPr>
      <w:r>
        <w:rPr>
          <w:rFonts w:ascii="楷体_GB2312" w:hAnsi="楷体_GB2312" w:eastAsia="楷体_GB2312"/>
          <w:b w:val="0"/>
          <w:color w:val="000000"/>
          <w:sz w:val="32"/>
        </w:rPr>
        <w:t>（二）挤压与轧制深加工</w:t>
      </w:r>
    </w:p>
    <w:p>
      <w:pPr>
        <w:spacing w:lineRule="exact" w:line="600" w:before="0" w:after="0"/>
        <w:ind w:firstLine="420"/>
        <w:jc w:val="both"/>
      </w:pPr>
      <w:r>
        <w:rPr>
          <w:rFonts w:ascii="仿宋_GB2312" w:hAnsi="仿宋_GB2312" w:eastAsia="仿宋_GB2312"/>
          <w:b w:val="0"/>
          <w:color w:val="000000"/>
          <w:sz w:val="32"/>
        </w:rPr>
        <w:t>挤压与轧制是交通铝型材深加工的主体。南山铝业具备铝型材28万吨、罐料60万吨、汽车板20万吨、航空板5万吨、动力电池箔2.1万吨的深加工产能；丛林铝业拥有15条大型挤压线（10000吨、9000吨、8000吨等梯度）、8条自动焊接线、6台五轴数控，可生产大断面970mm、长度30米的特大型工业铝型材。两地覆盖从建筑型材到航空厚板、汽车内外板的全谱系深加工能力。</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深加工产能</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主体</w:t>
            </w:r>
          </w:p>
        </w:tc>
      </w:tr>
      <w:tr>
        <w:tc>
          <w:tcPr>
            <w:tcW w:type="dxa" w:w="2835"/>
          </w:tcPr>
          <w:p>
            <w:pPr>
              <w:spacing w:lineRule="exact" w:line="600"/>
              <w:jc w:val="center"/>
            </w:pPr>
            <w:r/>
            <w:r>
              <w:rPr>
                <w:rFonts w:ascii="仿宋_GB2312" w:hAnsi="仿宋_GB2312" w:eastAsia="仿宋_GB2312"/>
                <w:b w:val="0"/>
                <w:color w:val="000000"/>
                <w:sz w:val="32"/>
              </w:rPr>
              <w:t>铝型材</w:t>
            </w:r>
          </w:p>
        </w:tc>
        <w:tc>
          <w:tcPr>
            <w:tcW w:type="dxa" w:w="3118"/>
          </w:tcPr>
          <w:p>
            <w:pPr>
              <w:spacing w:lineRule="exact" w:line="600"/>
              <w:jc w:val="center"/>
            </w:pPr>
            <w:r/>
            <w:r>
              <w:rPr>
                <w:rFonts w:ascii="仿宋_GB2312" w:hAnsi="仿宋_GB2312" w:eastAsia="仿宋_GB2312"/>
                <w:b w:val="0"/>
                <w:color w:val="000000"/>
                <w:sz w:val="32"/>
              </w:rPr>
              <w:t>28万吨</w:t>
            </w:r>
          </w:p>
        </w:tc>
        <w:tc>
          <w:tcPr>
            <w:tcW w:type="dxa" w:w="2835"/>
          </w:tcPr>
          <w:p>
            <w:pPr>
              <w:spacing w:lineRule="exact" w:line="600"/>
              <w:jc w:val="center"/>
            </w:pPr>
            <w:r/>
            <w:r>
              <w:rPr>
                <w:rFonts w:ascii="仿宋_GB2312" w:hAnsi="仿宋_GB2312" w:eastAsia="仿宋_GB2312"/>
                <w:b w:val="0"/>
                <w:color w:val="000000"/>
                <w:sz w:val="32"/>
              </w:rPr>
              <w:t>南山铝业</w:t>
            </w:r>
          </w:p>
        </w:tc>
      </w:tr>
      <w:tr>
        <w:tc>
          <w:tcPr>
            <w:tcW w:type="dxa" w:w="2835"/>
          </w:tcPr>
          <w:p>
            <w:pPr>
              <w:spacing w:lineRule="exact" w:line="600"/>
              <w:jc w:val="center"/>
            </w:pPr>
            <w:r/>
            <w:r>
              <w:rPr>
                <w:rFonts w:ascii="仿宋_GB2312" w:hAnsi="仿宋_GB2312" w:eastAsia="仿宋_GB2312"/>
                <w:b w:val="0"/>
                <w:color w:val="000000"/>
                <w:sz w:val="32"/>
              </w:rPr>
              <w:t>罐料</w:t>
            </w:r>
          </w:p>
        </w:tc>
        <w:tc>
          <w:tcPr>
            <w:tcW w:type="dxa" w:w="3118"/>
          </w:tcPr>
          <w:p>
            <w:pPr>
              <w:spacing w:lineRule="exact" w:line="600"/>
              <w:jc w:val="center"/>
            </w:pPr>
            <w:r/>
            <w:r>
              <w:rPr>
                <w:rFonts w:ascii="仿宋_GB2312" w:hAnsi="仿宋_GB2312" w:eastAsia="仿宋_GB2312"/>
                <w:b w:val="0"/>
                <w:color w:val="000000"/>
                <w:sz w:val="32"/>
              </w:rPr>
              <w:t>60万吨</w:t>
            </w:r>
          </w:p>
        </w:tc>
        <w:tc>
          <w:tcPr>
            <w:tcW w:type="dxa" w:w="2835"/>
          </w:tcPr>
          <w:p>
            <w:pPr>
              <w:spacing w:lineRule="exact" w:line="600"/>
              <w:jc w:val="center"/>
            </w:pPr>
            <w:r/>
            <w:r>
              <w:rPr>
                <w:rFonts w:ascii="仿宋_GB2312" w:hAnsi="仿宋_GB2312" w:eastAsia="仿宋_GB2312"/>
                <w:b w:val="0"/>
                <w:color w:val="000000"/>
                <w:sz w:val="32"/>
              </w:rPr>
              <w:t>南山铝业</w:t>
            </w:r>
          </w:p>
        </w:tc>
      </w:tr>
      <w:tr>
        <w:tc>
          <w:tcPr>
            <w:tcW w:type="dxa" w:w="2835"/>
          </w:tcPr>
          <w:p>
            <w:pPr>
              <w:spacing w:lineRule="exact" w:line="600"/>
              <w:jc w:val="center"/>
            </w:pPr>
            <w:r/>
            <w:r>
              <w:rPr>
                <w:rFonts w:ascii="仿宋_GB2312" w:hAnsi="仿宋_GB2312" w:eastAsia="仿宋_GB2312"/>
                <w:b w:val="0"/>
                <w:color w:val="000000"/>
                <w:sz w:val="32"/>
              </w:rPr>
              <w:t>汽车板</w:t>
            </w:r>
          </w:p>
        </w:tc>
        <w:tc>
          <w:tcPr>
            <w:tcW w:type="dxa" w:w="3118"/>
          </w:tcPr>
          <w:p>
            <w:pPr>
              <w:spacing w:lineRule="exact" w:line="600"/>
              <w:jc w:val="center"/>
            </w:pPr>
            <w:r/>
            <w:r>
              <w:rPr>
                <w:rFonts w:ascii="仿宋_GB2312" w:hAnsi="仿宋_GB2312" w:eastAsia="仿宋_GB2312"/>
                <w:b w:val="0"/>
                <w:color w:val="000000"/>
                <w:sz w:val="32"/>
              </w:rPr>
              <w:t>20万吨</w:t>
            </w:r>
          </w:p>
        </w:tc>
        <w:tc>
          <w:tcPr>
            <w:tcW w:type="dxa" w:w="2835"/>
          </w:tcPr>
          <w:p>
            <w:pPr>
              <w:spacing w:lineRule="exact" w:line="600"/>
              <w:jc w:val="center"/>
            </w:pPr>
            <w:r/>
            <w:r>
              <w:rPr>
                <w:rFonts w:ascii="仿宋_GB2312" w:hAnsi="仿宋_GB2312" w:eastAsia="仿宋_GB2312"/>
                <w:b w:val="0"/>
                <w:color w:val="000000"/>
                <w:sz w:val="32"/>
              </w:rPr>
              <w:t>南山铝业</w:t>
            </w:r>
          </w:p>
        </w:tc>
      </w:tr>
      <w:tr>
        <w:tc>
          <w:tcPr>
            <w:tcW w:type="dxa" w:w="2835"/>
          </w:tcPr>
          <w:p>
            <w:pPr>
              <w:spacing w:lineRule="exact" w:line="600"/>
              <w:jc w:val="center"/>
            </w:pPr>
            <w:r/>
            <w:r>
              <w:rPr>
                <w:rFonts w:ascii="仿宋_GB2312" w:hAnsi="仿宋_GB2312" w:eastAsia="仿宋_GB2312"/>
                <w:b w:val="0"/>
                <w:color w:val="000000"/>
                <w:sz w:val="32"/>
              </w:rPr>
              <w:t>航空板</w:t>
            </w:r>
          </w:p>
        </w:tc>
        <w:tc>
          <w:tcPr>
            <w:tcW w:type="dxa" w:w="3118"/>
          </w:tcPr>
          <w:p>
            <w:pPr>
              <w:spacing w:lineRule="exact" w:line="600"/>
              <w:jc w:val="center"/>
            </w:pPr>
            <w:r/>
            <w:r>
              <w:rPr>
                <w:rFonts w:ascii="仿宋_GB2312" w:hAnsi="仿宋_GB2312" w:eastAsia="仿宋_GB2312"/>
                <w:b w:val="0"/>
                <w:color w:val="000000"/>
                <w:sz w:val="32"/>
              </w:rPr>
              <w:t>5万吨</w:t>
            </w:r>
          </w:p>
        </w:tc>
        <w:tc>
          <w:tcPr>
            <w:tcW w:type="dxa" w:w="2835"/>
          </w:tcPr>
          <w:p>
            <w:pPr>
              <w:spacing w:lineRule="exact" w:line="600"/>
              <w:jc w:val="center"/>
            </w:pPr>
            <w:r/>
            <w:r>
              <w:rPr>
                <w:rFonts w:ascii="仿宋_GB2312" w:hAnsi="仿宋_GB2312" w:eastAsia="仿宋_GB2312"/>
                <w:b w:val="0"/>
                <w:color w:val="000000"/>
                <w:sz w:val="32"/>
              </w:rPr>
              <w:t>南山铝业</w:t>
            </w:r>
          </w:p>
        </w:tc>
      </w:tr>
      <w:tr>
        <w:tc>
          <w:tcPr>
            <w:tcW w:type="dxa" w:w="2835"/>
          </w:tcPr>
          <w:p>
            <w:pPr>
              <w:spacing w:lineRule="exact" w:line="600"/>
              <w:jc w:val="center"/>
            </w:pPr>
            <w:r/>
            <w:r>
              <w:rPr>
                <w:rFonts w:ascii="仿宋_GB2312" w:hAnsi="仿宋_GB2312" w:eastAsia="仿宋_GB2312"/>
                <w:b w:val="0"/>
                <w:color w:val="000000"/>
                <w:sz w:val="32"/>
              </w:rPr>
              <w:t>工业铝型材</w:t>
            </w:r>
          </w:p>
        </w:tc>
        <w:tc>
          <w:tcPr>
            <w:tcW w:type="dxa" w:w="3118"/>
          </w:tcPr>
          <w:p>
            <w:pPr>
              <w:spacing w:lineRule="exact" w:line="600"/>
              <w:jc w:val="center"/>
            </w:pPr>
            <w:r/>
            <w:r>
              <w:rPr>
                <w:rFonts w:ascii="仿宋_GB2312" w:hAnsi="仿宋_GB2312" w:eastAsia="仿宋_GB2312"/>
                <w:b w:val="0"/>
                <w:color w:val="000000"/>
                <w:sz w:val="32"/>
              </w:rPr>
              <w:t>10万—12万吨</w:t>
            </w:r>
          </w:p>
        </w:tc>
        <w:tc>
          <w:tcPr>
            <w:tcW w:type="dxa" w:w="2835"/>
          </w:tcPr>
          <w:p>
            <w:pPr>
              <w:spacing w:lineRule="exact" w:line="600"/>
              <w:jc w:val="center"/>
            </w:pPr>
            <w:r/>
            <w:r>
              <w:rPr>
                <w:rFonts w:ascii="仿宋_GB2312" w:hAnsi="仿宋_GB2312" w:eastAsia="仿宋_GB2312"/>
                <w:b w:val="0"/>
                <w:color w:val="000000"/>
                <w:sz w:val="32"/>
              </w:rPr>
              <w:t>丛林铝业</w:t>
            </w:r>
          </w:p>
        </w:tc>
      </w:tr>
    </w:tbl>
    <w:p>
      <w:pPr>
        <w:spacing w:lineRule="exact" w:line="600" w:before="120" w:after="120"/>
        <w:ind w:firstLine="420"/>
        <w:jc w:val="left"/>
      </w:pPr>
      <w:r>
        <w:rPr>
          <w:rFonts w:ascii="楷体_GB2312" w:hAnsi="楷体_GB2312" w:eastAsia="楷体_GB2312"/>
          <w:b w:val="0"/>
          <w:color w:val="000000"/>
          <w:sz w:val="32"/>
        </w:rPr>
        <w:t>（三）精密加工与后处理</w:t>
      </w:r>
    </w:p>
    <w:p>
      <w:pPr>
        <w:spacing w:lineRule="exact" w:line="600" w:before="0" w:after="0"/>
        <w:ind w:firstLine="420"/>
        <w:jc w:val="both"/>
      </w:pPr>
      <w:r>
        <w:rPr>
          <w:rFonts w:ascii="仿宋_GB2312" w:hAnsi="仿宋_GB2312" w:eastAsia="仿宋_GB2312"/>
          <w:b w:val="0"/>
          <w:color w:val="000000"/>
          <w:sz w:val="32"/>
        </w:rPr>
        <w:t>精密加工与后处理决定终端产品附加值。丛林铝业具备车体模块焊接与精密机加工能力，为地铁、城际列车提供焊接车体部件；南山铝业配套热处理、表面处理与精整产线，航空板需经轧制—热处理—矫直—探伤全流程。博瑞特等配套企业从事易拉盖精密冲压与表面检测（视觉检测、光检机），年产值6亿多元。本地已形成「挤压/轧制—焊接—机加工—表面处理—检测」的完整后处理体系。</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后处理环节</w:t>
            </w:r>
          </w:p>
        </w:tc>
        <w:tc>
          <w:tcPr>
            <w:tcW w:type="dxa" w:w="3402"/>
          </w:tcPr>
          <w:p>
            <w:pPr>
              <w:spacing w:lineRule="exact" w:line="600"/>
              <w:jc w:val="center"/>
            </w:pPr>
            <w:r/>
            <w:r>
              <w:rPr>
                <w:rFonts w:ascii="黑体" w:hAnsi="黑体" w:eastAsia="黑体"/>
                <w:b/>
                <w:color w:val="000000"/>
                <w:sz w:val="32"/>
              </w:rPr>
              <w:t>能力</w:t>
            </w:r>
          </w:p>
        </w:tc>
        <w:tc>
          <w:tcPr>
            <w:tcW w:type="dxa" w:w="2835"/>
          </w:tcPr>
          <w:p>
            <w:pPr>
              <w:spacing w:lineRule="exact" w:line="600"/>
              <w:jc w:val="center"/>
            </w:pPr>
            <w:r/>
            <w:r>
              <w:rPr>
                <w:rFonts w:ascii="黑体" w:hAnsi="黑体" w:eastAsia="黑体"/>
                <w:b/>
                <w:color w:val="000000"/>
                <w:sz w:val="32"/>
              </w:rPr>
              <w:t>代表企业</w:t>
            </w:r>
          </w:p>
        </w:tc>
      </w:tr>
      <w:tr>
        <w:tc>
          <w:tcPr>
            <w:tcW w:type="dxa" w:w="2835"/>
          </w:tcPr>
          <w:p>
            <w:pPr>
              <w:spacing w:lineRule="exact" w:line="600"/>
              <w:jc w:val="center"/>
            </w:pPr>
            <w:r/>
            <w:r>
              <w:rPr>
                <w:rFonts w:ascii="仿宋_GB2312" w:hAnsi="仿宋_GB2312" w:eastAsia="仿宋_GB2312"/>
                <w:b w:val="0"/>
                <w:color w:val="000000"/>
                <w:sz w:val="32"/>
              </w:rPr>
              <w:t>焊接加工</w:t>
            </w:r>
          </w:p>
        </w:tc>
        <w:tc>
          <w:tcPr>
            <w:tcW w:type="dxa" w:w="3402"/>
          </w:tcPr>
          <w:p>
            <w:pPr>
              <w:spacing w:lineRule="exact" w:line="600"/>
              <w:jc w:val="center"/>
            </w:pPr>
            <w:r/>
            <w:r>
              <w:rPr>
                <w:rFonts w:ascii="仿宋_GB2312" w:hAnsi="仿宋_GB2312" w:eastAsia="仿宋_GB2312"/>
                <w:b w:val="0"/>
                <w:color w:val="000000"/>
                <w:sz w:val="32"/>
              </w:rPr>
              <w:t>8条自动焊接线</w:t>
            </w:r>
          </w:p>
        </w:tc>
        <w:tc>
          <w:tcPr>
            <w:tcW w:type="dxa" w:w="2835"/>
          </w:tcPr>
          <w:p>
            <w:pPr>
              <w:spacing w:lineRule="exact" w:line="600"/>
              <w:jc w:val="center"/>
            </w:pPr>
            <w:r/>
            <w:r>
              <w:rPr>
                <w:rFonts w:ascii="仿宋_GB2312" w:hAnsi="仿宋_GB2312" w:eastAsia="仿宋_GB2312"/>
                <w:b w:val="0"/>
                <w:color w:val="000000"/>
                <w:sz w:val="32"/>
              </w:rPr>
              <w:t>丛林铝业</w:t>
            </w:r>
          </w:p>
        </w:tc>
      </w:tr>
      <w:tr>
        <w:tc>
          <w:tcPr>
            <w:tcW w:type="dxa" w:w="2835"/>
          </w:tcPr>
          <w:p>
            <w:pPr>
              <w:spacing w:lineRule="exact" w:line="600"/>
              <w:jc w:val="center"/>
            </w:pPr>
            <w:r/>
            <w:r>
              <w:rPr>
                <w:rFonts w:ascii="仿宋_GB2312" w:hAnsi="仿宋_GB2312" w:eastAsia="仿宋_GB2312"/>
                <w:b w:val="0"/>
                <w:color w:val="000000"/>
                <w:sz w:val="32"/>
              </w:rPr>
              <w:t>精密机加</w:t>
            </w:r>
          </w:p>
        </w:tc>
        <w:tc>
          <w:tcPr>
            <w:tcW w:type="dxa" w:w="3402"/>
          </w:tcPr>
          <w:p>
            <w:pPr>
              <w:spacing w:lineRule="exact" w:line="600"/>
              <w:jc w:val="center"/>
            </w:pPr>
            <w:r/>
            <w:r>
              <w:rPr>
                <w:rFonts w:ascii="仿宋_GB2312" w:hAnsi="仿宋_GB2312" w:eastAsia="仿宋_GB2312"/>
                <w:b w:val="0"/>
                <w:color w:val="000000"/>
                <w:sz w:val="32"/>
              </w:rPr>
              <w:t>6台五轴数控</w:t>
            </w:r>
          </w:p>
        </w:tc>
        <w:tc>
          <w:tcPr>
            <w:tcW w:type="dxa" w:w="2835"/>
          </w:tcPr>
          <w:p>
            <w:pPr>
              <w:spacing w:lineRule="exact" w:line="600"/>
              <w:jc w:val="center"/>
            </w:pPr>
            <w:r/>
            <w:r>
              <w:rPr>
                <w:rFonts w:ascii="仿宋_GB2312" w:hAnsi="仿宋_GB2312" w:eastAsia="仿宋_GB2312"/>
                <w:b w:val="0"/>
                <w:color w:val="000000"/>
                <w:sz w:val="32"/>
              </w:rPr>
              <w:t>丛林铝业</w:t>
            </w:r>
          </w:p>
        </w:tc>
      </w:tr>
      <w:tr>
        <w:tc>
          <w:tcPr>
            <w:tcW w:type="dxa" w:w="2835"/>
          </w:tcPr>
          <w:p>
            <w:pPr>
              <w:spacing w:lineRule="exact" w:line="600"/>
              <w:jc w:val="center"/>
            </w:pPr>
            <w:r/>
            <w:r>
              <w:rPr>
                <w:rFonts w:ascii="仿宋_GB2312" w:hAnsi="仿宋_GB2312" w:eastAsia="仿宋_GB2312"/>
                <w:b w:val="0"/>
                <w:color w:val="000000"/>
                <w:sz w:val="32"/>
              </w:rPr>
              <w:t>精密冲压</w:t>
            </w:r>
          </w:p>
        </w:tc>
        <w:tc>
          <w:tcPr>
            <w:tcW w:type="dxa" w:w="3402"/>
          </w:tcPr>
          <w:p>
            <w:pPr>
              <w:spacing w:lineRule="exact" w:line="600"/>
              <w:jc w:val="center"/>
            </w:pPr>
            <w:r/>
            <w:r>
              <w:rPr>
                <w:rFonts w:ascii="仿宋_GB2312" w:hAnsi="仿宋_GB2312" w:eastAsia="仿宋_GB2312"/>
                <w:b w:val="0"/>
                <w:color w:val="000000"/>
                <w:sz w:val="32"/>
              </w:rPr>
              <w:t>易拉盖产线</w:t>
            </w:r>
          </w:p>
        </w:tc>
        <w:tc>
          <w:tcPr>
            <w:tcW w:type="dxa" w:w="2835"/>
          </w:tcPr>
          <w:p>
            <w:pPr>
              <w:spacing w:lineRule="exact" w:line="600"/>
              <w:jc w:val="center"/>
            </w:pPr>
            <w:r/>
            <w:r>
              <w:rPr>
                <w:rFonts w:ascii="仿宋_GB2312" w:hAnsi="仿宋_GB2312" w:eastAsia="仿宋_GB2312"/>
                <w:b w:val="0"/>
                <w:color w:val="000000"/>
                <w:sz w:val="32"/>
              </w:rPr>
              <w:t>博瑞特</w:t>
            </w:r>
          </w:p>
        </w:tc>
      </w:tr>
      <w:tr>
        <w:tc>
          <w:tcPr>
            <w:tcW w:type="dxa" w:w="2835"/>
          </w:tcPr>
          <w:p>
            <w:pPr>
              <w:spacing w:lineRule="exact" w:line="600"/>
              <w:jc w:val="center"/>
            </w:pPr>
            <w:r/>
            <w:r>
              <w:rPr>
                <w:rFonts w:ascii="仿宋_GB2312" w:hAnsi="仿宋_GB2312" w:eastAsia="仿宋_GB2312"/>
                <w:b w:val="0"/>
                <w:color w:val="000000"/>
                <w:sz w:val="32"/>
              </w:rPr>
              <w:t>检测</w:t>
            </w:r>
          </w:p>
        </w:tc>
        <w:tc>
          <w:tcPr>
            <w:tcW w:type="dxa" w:w="3402"/>
          </w:tcPr>
          <w:p>
            <w:pPr>
              <w:spacing w:lineRule="exact" w:line="600"/>
              <w:jc w:val="center"/>
            </w:pPr>
            <w:r/>
            <w:r>
              <w:rPr>
                <w:rFonts w:ascii="仿宋_GB2312" w:hAnsi="仿宋_GB2312" w:eastAsia="仿宋_GB2312"/>
                <w:b w:val="0"/>
                <w:color w:val="000000"/>
                <w:sz w:val="32"/>
              </w:rPr>
              <w:t>视觉/光检</w:t>
            </w:r>
          </w:p>
        </w:tc>
        <w:tc>
          <w:tcPr>
            <w:tcW w:type="dxa" w:w="2835"/>
          </w:tcPr>
          <w:p>
            <w:pPr>
              <w:spacing w:lineRule="exact" w:line="600"/>
              <w:jc w:val="center"/>
            </w:pPr>
            <w:r/>
            <w:r>
              <w:rPr>
                <w:rFonts w:ascii="仿宋_GB2312" w:hAnsi="仿宋_GB2312" w:eastAsia="仿宋_GB2312"/>
                <w:b w:val="0"/>
                <w:color w:val="000000"/>
                <w:sz w:val="32"/>
              </w:rPr>
              <w:t>博瑞特</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（一）深加工产品供需</w:t>
      </w:r>
    </w:p>
    <w:p>
      <w:pPr>
        <w:spacing w:lineRule="exact" w:line="600" w:before="0" w:after="0"/>
        <w:ind w:firstLine="420"/>
        <w:jc w:val="both"/>
      </w:pPr>
      <w:r>
        <w:rPr>
          <w:rFonts w:ascii="仿宋_GB2312" w:hAnsi="仿宋_GB2312" w:eastAsia="仿宋_GB2312"/>
          <w:b w:val="0"/>
          <w:color w:val="000000"/>
          <w:sz w:val="32"/>
        </w:rPr>
        <w:t>交通与新能源深加工材供需两旺。2023年新能源汽车铝型材98万吨（+30.7%）、光伏型材340万吨（+30.8%），带动工业铝型材产量950万吨（+25%）。汽车板方面，南山两期20万吨产线2022年起全面释放，三期建成后达40万吨；航空板5万吨产能随C919放量提升利用率。相比之下，传统建筑型材产量1230万吨仅微降0.8%，深加工高端材增速显著领先，供需格局向工业与交通材倾斜。</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深加工品类</w:t>
            </w:r>
          </w:p>
        </w:tc>
        <w:tc>
          <w:tcPr>
            <w:tcW w:type="dxa" w:w="3402"/>
          </w:tcPr>
          <w:p>
            <w:pPr>
              <w:spacing w:lineRule="exact" w:line="600"/>
              <w:jc w:val="center"/>
            </w:pPr>
            <w:r/>
            <w:r>
              <w:rPr>
                <w:rFonts w:ascii="黑体" w:hAnsi="黑体" w:eastAsia="黑体"/>
                <w:b/>
                <w:color w:val="000000"/>
                <w:sz w:val="32"/>
              </w:rPr>
              <w:t>2023产量/产能</w:t>
            </w:r>
          </w:p>
        </w:tc>
        <w:tc>
          <w:tcPr>
            <w:tcW w:type="dxa" w:w="2835"/>
          </w:tcPr>
          <w:p>
            <w:pPr>
              <w:spacing w:lineRule="exact" w:line="600"/>
              <w:jc w:val="center"/>
            </w:pPr>
            <w:r/>
            <w:r>
              <w:rPr>
                <w:rFonts w:ascii="黑体" w:hAnsi="黑体" w:eastAsia="黑体"/>
                <w:b/>
                <w:color w:val="000000"/>
                <w:sz w:val="32"/>
              </w:rPr>
              <w:t>同比/备注</w:t>
            </w:r>
          </w:p>
        </w:tc>
      </w:tr>
      <w:tr>
        <w:tc>
          <w:tcPr>
            <w:tcW w:type="dxa" w:w="2835"/>
          </w:tcPr>
          <w:p>
            <w:pPr>
              <w:spacing w:lineRule="exact" w:line="600"/>
              <w:jc w:val="center"/>
            </w:pPr>
            <w:r/>
            <w:r>
              <w:rPr>
                <w:rFonts w:ascii="仿宋_GB2312" w:hAnsi="仿宋_GB2312" w:eastAsia="仿宋_GB2312"/>
                <w:b w:val="0"/>
                <w:color w:val="000000"/>
                <w:sz w:val="32"/>
              </w:rPr>
              <w:t>新能源汽车铝型材</w:t>
            </w:r>
          </w:p>
        </w:tc>
        <w:tc>
          <w:tcPr>
            <w:tcW w:type="dxa" w:w="3402"/>
          </w:tcPr>
          <w:p>
            <w:pPr>
              <w:spacing w:lineRule="exact" w:line="600"/>
              <w:jc w:val="center"/>
            </w:pPr>
            <w:r/>
            <w:r>
              <w:rPr>
                <w:rFonts w:ascii="仿宋_GB2312" w:hAnsi="仿宋_GB2312" w:eastAsia="仿宋_GB2312"/>
                <w:b w:val="0"/>
                <w:color w:val="000000"/>
                <w:sz w:val="32"/>
              </w:rPr>
              <w:t>98万吨</w:t>
            </w:r>
          </w:p>
        </w:tc>
        <w:tc>
          <w:tcPr>
            <w:tcW w:type="dxa" w:w="2835"/>
          </w:tcPr>
          <w:p>
            <w:pPr>
              <w:spacing w:lineRule="exact" w:line="600"/>
              <w:jc w:val="center"/>
            </w:pPr>
            <w:r/>
            <w:r>
              <w:rPr>
                <w:rFonts w:ascii="仿宋_GB2312" w:hAnsi="仿宋_GB2312" w:eastAsia="仿宋_GB2312"/>
                <w:b w:val="0"/>
                <w:color w:val="000000"/>
                <w:sz w:val="32"/>
              </w:rPr>
              <w:t>+30.7%</w:t>
            </w:r>
          </w:p>
        </w:tc>
      </w:tr>
      <w:tr>
        <w:tc>
          <w:tcPr>
            <w:tcW w:type="dxa" w:w="2835"/>
          </w:tcPr>
          <w:p>
            <w:pPr>
              <w:spacing w:lineRule="exact" w:line="600"/>
              <w:jc w:val="center"/>
            </w:pPr>
            <w:r/>
            <w:r>
              <w:rPr>
                <w:rFonts w:ascii="仿宋_GB2312" w:hAnsi="仿宋_GB2312" w:eastAsia="仿宋_GB2312"/>
                <w:b w:val="0"/>
                <w:color w:val="000000"/>
                <w:sz w:val="32"/>
              </w:rPr>
              <w:t>光伏型材</w:t>
            </w:r>
          </w:p>
        </w:tc>
        <w:tc>
          <w:tcPr>
            <w:tcW w:type="dxa" w:w="3402"/>
          </w:tcPr>
          <w:p>
            <w:pPr>
              <w:spacing w:lineRule="exact" w:line="600"/>
              <w:jc w:val="center"/>
            </w:pPr>
            <w:r/>
            <w:r>
              <w:rPr>
                <w:rFonts w:ascii="仿宋_GB2312" w:hAnsi="仿宋_GB2312" w:eastAsia="仿宋_GB2312"/>
                <w:b w:val="0"/>
                <w:color w:val="000000"/>
                <w:sz w:val="32"/>
              </w:rPr>
              <w:t>340万吨</w:t>
            </w:r>
          </w:p>
        </w:tc>
        <w:tc>
          <w:tcPr>
            <w:tcW w:type="dxa" w:w="2835"/>
          </w:tcPr>
          <w:p>
            <w:pPr>
              <w:spacing w:lineRule="exact" w:line="600"/>
              <w:jc w:val="center"/>
            </w:pPr>
            <w:r/>
            <w:r>
              <w:rPr>
                <w:rFonts w:ascii="仿宋_GB2312" w:hAnsi="仿宋_GB2312" w:eastAsia="仿宋_GB2312"/>
                <w:b w:val="0"/>
                <w:color w:val="000000"/>
                <w:sz w:val="32"/>
              </w:rPr>
              <w:t>+30.8%</w:t>
            </w:r>
          </w:p>
        </w:tc>
      </w:tr>
      <w:tr>
        <w:tc>
          <w:tcPr>
            <w:tcW w:type="dxa" w:w="2835"/>
          </w:tcPr>
          <w:p>
            <w:pPr>
              <w:spacing w:lineRule="exact" w:line="600"/>
              <w:jc w:val="center"/>
            </w:pPr>
            <w:r/>
            <w:r>
              <w:rPr>
                <w:rFonts w:ascii="仿宋_GB2312" w:hAnsi="仿宋_GB2312" w:eastAsia="仿宋_GB2312"/>
                <w:b w:val="0"/>
                <w:color w:val="000000"/>
                <w:sz w:val="32"/>
              </w:rPr>
              <w:t>工业铝型材</w:t>
            </w:r>
          </w:p>
        </w:tc>
        <w:tc>
          <w:tcPr>
            <w:tcW w:type="dxa" w:w="3402"/>
          </w:tcPr>
          <w:p>
            <w:pPr>
              <w:spacing w:lineRule="exact" w:line="600"/>
              <w:jc w:val="center"/>
            </w:pPr>
            <w:r/>
            <w:r>
              <w:rPr>
                <w:rFonts w:ascii="仿宋_GB2312" w:hAnsi="仿宋_GB2312" w:eastAsia="仿宋_GB2312"/>
                <w:b w:val="0"/>
                <w:color w:val="000000"/>
                <w:sz w:val="32"/>
              </w:rPr>
              <w:t>950万吨</w:t>
            </w:r>
          </w:p>
        </w:tc>
        <w:tc>
          <w:tcPr>
            <w:tcW w:type="dxa" w:w="2835"/>
          </w:tcPr>
          <w:p>
            <w:pPr>
              <w:spacing w:lineRule="exact" w:line="600"/>
              <w:jc w:val="center"/>
            </w:pPr>
            <w:r/>
            <w:r>
              <w:rPr>
                <w:rFonts w:ascii="仿宋_GB2312" w:hAnsi="仿宋_GB2312" w:eastAsia="仿宋_GB2312"/>
                <w:b w:val="0"/>
                <w:color w:val="000000"/>
                <w:sz w:val="32"/>
              </w:rPr>
              <w:t>+25%</w:t>
            </w:r>
          </w:p>
        </w:tc>
      </w:tr>
      <w:tr>
        <w:tc>
          <w:tcPr>
            <w:tcW w:type="dxa" w:w="2835"/>
          </w:tcPr>
          <w:p>
            <w:pPr>
              <w:spacing w:lineRule="exact" w:line="600"/>
              <w:jc w:val="center"/>
            </w:pPr>
            <w:r/>
            <w:r>
              <w:rPr>
                <w:rFonts w:ascii="仿宋_GB2312" w:hAnsi="仿宋_GB2312" w:eastAsia="仿宋_GB2312"/>
                <w:b w:val="0"/>
                <w:color w:val="000000"/>
                <w:sz w:val="32"/>
              </w:rPr>
              <w:t>建筑铝型材</w:t>
            </w:r>
          </w:p>
        </w:tc>
        <w:tc>
          <w:tcPr>
            <w:tcW w:type="dxa" w:w="3402"/>
          </w:tcPr>
          <w:p>
            <w:pPr>
              <w:spacing w:lineRule="exact" w:line="600"/>
              <w:jc w:val="center"/>
            </w:pPr>
            <w:r/>
            <w:r>
              <w:rPr>
                <w:rFonts w:ascii="仿宋_GB2312" w:hAnsi="仿宋_GB2312" w:eastAsia="仿宋_GB2312"/>
                <w:b w:val="0"/>
                <w:color w:val="000000"/>
                <w:sz w:val="32"/>
              </w:rPr>
              <w:t>1230万吨</w:t>
            </w:r>
          </w:p>
        </w:tc>
        <w:tc>
          <w:tcPr>
            <w:tcW w:type="dxa" w:w="2835"/>
          </w:tcPr>
          <w:p>
            <w:pPr>
              <w:spacing w:lineRule="exact" w:line="600"/>
              <w:jc w:val="center"/>
            </w:pPr>
            <w:r/>
            <w:r>
              <w:rPr>
                <w:rFonts w:ascii="仿宋_GB2312" w:hAnsi="仿宋_GB2312" w:eastAsia="仿宋_GB2312"/>
                <w:b w:val="0"/>
                <w:color w:val="000000"/>
                <w:sz w:val="32"/>
              </w:rPr>
              <w:t>-0.8%</w:t>
            </w:r>
          </w:p>
        </w:tc>
      </w:tr>
      <w:tr>
        <w:tc>
          <w:tcPr>
            <w:tcW w:type="dxa" w:w="2835"/>
          </w:tcPr>
          <w:p>
            <w:pPr>
              <w:spacing w:lineRule="exact" w:line="600"/>
              <w:jc w:val="center"/>
            </w:pPr>
            <w:r/>
            <w:r>
              <w:rPr>
                <w:rFonts w:ascii="仿宋_GB2312" w:hAnsi="仿宋_GB2312" w:eastAsia="仿宋_GB2312"/>
                <w:b w:val="0"/>
                <w:color w:val="000000"/>
                <w:sz w:val="32"/>
              </w:rPr>
              <w:t>南山汽车板</w:t>
            </w:r>
          </w:p>
        </w:tc>
        <w:tc>
          <w:tcPr>
            <w:tcW w:type="dxa" w:w="3402"/>
          </w:tcPr>
          <w:p>
            <w:pPr>
              <w:spacing w:lineRule="exact" w:line="600"/>
              <w:jc w:val="center"/>
            </w:pPr>
            <w:r/>
            <w:r>
              <w:rPr>
                <w:rFonts w:ascii="仿宋_GB2312" w:hAnsi="仿宋_GB2312" w:eastAsia="仿宋_GB2312"/>
                <w:b w:val="0"/>
                <w:color w:val="000000"/>
                <w:sz w:val="32"/>
              </w:rPr>
              <w:t>20万吨（三期40万）</w:t>
            </w:r>
          </w:p>
        </w:tc>
        <w:tc>
          <w:tcPr>
            <w:tcW w:type="dxa" w:w="2835"/>
          </w:tcPr>
          <w:p>
            <w:pPr>
              <w:spacing w:lineRule="exact" w:line="600"/>
              <w:jc w:val="center"/>
            </w:pPr>
            <w:r/>
            <w:r>
              <w:rPr>
                <w:rFonts w:ascii="仿宋_GB2312" w:hAnsi="仿宋_GB2312" w:eastAsia="仿宋_GB2312"/>
                <w:b w:val="0"/>
                <w:color w:val="000000"/>
                <w:sz w:val="32"/>
              </w:rPr>
              <w:t>释放中</w:t>
            </w:r>
          </w:p>
        </w:tc>
      </w:tr>
    </w:tbl>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在高端深加工领域，龙口企业具备稀缺资质壁垒。南山铝业是国内首家稳定批量供货汽车内外板的企业，通过全球十数家主机厂认证；是国内唯一同时供货波音、空客、商飞的航空铝企。丛林铝业在轨交车体材料领域凭借万吨挤压机与国家科技进步一等奖长期领先，并通过IRIS国际铁路行业标准、EN15085轨道车辆焊接认证。高端深加工因技术壁垒高、市场竞争少、附加值高，成为主要盈利来源，与中低端建筑材「内卷」形成鲜明对比。</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竞争维度</w:t>
            </w:r>
          </w:p>
        </w:tc>
        <w:tc>
          <w:tcPr>
            <w:tcW w:type="dxa" w:w="3402"/>
          </w:tcPr>
          <w:p>
            <w:pPr>
              <w:spacing w:lineRule="exact" w:line="600"/>
              <w:jc w:val="center"/>
            </w:pPr>
            <w:r/>
            <w:r>
              <w:rPr>
                <w:rFonts w:ascii="黑体" w:hAnsi="黑体" w:eastAsia="黑体"/>
                <w:b/>
                <w:color w:val="000000"/>
                <w:sz w:val="32"/>
              </w:rPr>
              <w:t>龙口优势</w:t>
            </w:r>
          </w:p>
        </w:tc>
        <w:tc>
          <w:tcPr>
            <w:tcW w:type="dxa" w:w="2835"/>
          </w:tcPr>
          <w:p>
            <w:pPr>
              <w:spacing w:lineRule="exact" w:line="600"/>
              <w:jc w:val="center"/>
            </w:pPr>
            <w:r/>
            <w:r>
              <w:rPr>
                <w:rFonts w:ascii="黑体" w:hAnsi="黑体" w:eastAsia="黑体"/>
                <w:b/>
                <w:color w:val="000000"/>
                <w:sz w:val="32"/>
              </w:rPr>
              <w:t>壁垒</w:t>
            </w:r>
          </w:p>
        </w:tc>
      </w:tr>
      <w:tr>
        <w:tc>
          <w:tcPr>
            <w:tcW w:type="dxa" w:w="2835"/>
          </w:tcPr>
          <w:p>
            <w:pPr>
              <w:spacing w:lineRule="exact" w:line="600"/>
              <w:jc w:val="center"/>
            </w:pPr>
            <w:r/>
            <w:r>
              <w:rPr>
                <w:rFonts w:ascii="仿宋_GB2312" w:hAnsi="仿宋_GB2312" w:eastAsia="仿宋_GB2312"/>
                <w:b w:val="0"/>
                <w:color w:val="000000"/>
                <w:sz w:val="32"/>
              </w:rPr>
              <w:t>汽车板</w:t>
            </w:r>
          </w:p>
        </w:tc>
        <w:tc>
          <w:tcPr>
            <w:tcW w:type="dxa" w:w="3402"/>
          </w:tcPr>
          <w:p>
            <w:pPr>
              <w:spacing w:lineRule="exact" w:line="600"/>
              <w:jc w:val="center"/>
            </w:pPr>
            <w:r/>
            <w:r>
              <w:rPr>
                <w:rFonts w:ascii="仿宋_GB2312" w:hAnsi="仿宋_GB2312" w:eastAsia="仿宋_GB2312"/>
                <w:b w:val="0"/>
                <w:color w:val="000000"/>
                <w:sz w:val="32"/>
              </w:rPr>
              <w:t>国内首家批量供货</w:t>
            </w:r>
          </w:p>
        </w:tc>
        <w:tc>
          <w:tcPr>
            <w:tcW w:type="dxa" w:w="2835"/>
          </w:tcPr>
          <w:p>
            <w:pPr>
              <w:spacing w:lineRule="exact" w:line="600"/>
              <w:jc w:val="center"/>
            </w:pPr>
            <w:r/>
            <w:r>
              <w:rPr>
                <w:rFonts w:ascii="仿宋_GB2312" w:hAnsi="仿宋_GB2312" w:eastAsia="仿宋_GB2312"/>
                <w:b w:val="0"/>
                <w:color w:val="000000"/>
                <w:sz w:val="32"/>
              </w:rPr>
              <w:t>主机厂认证</w:t>
            </w:r>
          </w:p>
        </w:tc>
      </w:tr>
      <w:tr>
        <w:tc>
          <w:tcPr>
            <w:tcW w:type="dxa" w:w="2835"/>
          </w:tcPr>
          <w:p>
            <w:pPr>
              <w:spacing w:lineRule="exact" w:line="600"/>
              <w:jc w:val="center"/>
            </w:pPr>
            <w:r/>
            <w:r>
              <w:rPr>
                <w:rFonts w:ascii="仿宋_GB2312" w:hAnsi="仿宋_GB2312" w:eastAsia="仿宋_GB2312"/>
                <w:b w:val="0"/>
                <w:color w:val="000000"/>
                <w:sz w:val="32"/>
              </w:rPr>
              <w:t>航空板</w:t>
            </w:r>
          </w:p>
        </w:tc>
        <w:tc>
          <w:tcPr>
            <w:tcW w:type="dxa" w:w="3402"/>
          </w:tcPr>
          <w:p>
            <w:pPr>
              <w:spacing w:lineRule="exact" w:line="600"/>
              <w:jc w:val="center"/>
            </w:pPr>
            <w:r/>
            <w:r>
              <w:rPr>
                <w:rFonts w:ascii="仿宋_GB2312" w:hAnsi="仿宋_GB2312" w:eastAsia="仿宋_GB2312"/>
                <w:b w:val="0"/>
                <w:color w:val="000000"/>
                <w:sz w:val="32"/>
              </w:rPr>
              <w:t>唯一供波音空客商飞</w:t>
            </w:r>
          </w:p>
        </w:tc>
        <w:tc>
          <w:tcPr>
            <w:tcW w:type="dxa" w:w="2835"/>
          </w:tcPr>
          <w:p>
            <w:pPr>
              <w:spacing w:lineRule="exact" w:line="600"/>
              <w:jc w:val="center"/>
            </w:pPr>
            <w:r/>
            <w:r>
              <w:rPr>
                <w:rFonts w:ascii="仿宋_GB2312" w:hAnsi="仿宋_GB2312" w:eastAsia="仿宋_GB2312"/>
                <w:b w:val="0"/>
                <w:color w:val="000000"/>
                <w:sz w:val="32"/>
              </w:rPr>
              <w:t>适航认证</w:t>
            </w:r>
          </w:p>
        </w:tc>
      </w:tr>
      <w:tr>
        <w:tc>
          <w:tcPr>
            <w:tcW w:type="dxa" w:w="2835"/>
          </w:tcPr>
          <w:p>
            <w:pPr>
              <w:spacing w:lineRule="exact" w:line="600"/>
              <w:jc w:val="center"/>
            </w:pPr>
            <w:r/>
            <w:r>
              <w:rPr>
                <w:rFonts w:ascii="仿宋_GB2312" w:hAnsi="仿宋_GB2312" w:eastAsia="仿宋_GB2312"/>
                <w:b w:val="0"/>
                <w:color w:val="000000"/>
                <w:sz w:val="32"/>
              </w:rPr>
              <w:t>轨交材</w:t>
            </w:r>
          </w:p>
        </w:tc>
        <w:tc>
          <w:tcPr>
            <w:tcW w:type="dxa" w:w="3402"/>
          </w:tcPr>
          <w:p>
            <w:pPr>
              <w:spacing w:lineRule="exact" w:line="600"/>
              <w:jc w:val="center"/>
            </w:pPr>
            <w:r/>
            <w:r>
              <w:rPr>
                <w:rFonts w:ascii="仿宋_GB2312" w:hAnsi="仿宋_GB2312" w:eastAsia="仿宋_GB2312"/>
                <w:b w:val="0"/>
                <w:color w:val="000000"/>
                <w:sz w:val="32"/>
              </w:rPr>
              <w:t>万吨机+科技一等奖</w:t>
            </w:r>
          </w:p>
        </w:tc>
        <w:tc>
          <w:tcPr>
            <w:tcW w:type="dxa" w:w="2835"/>
          </w:tcPr>
          <w:p>
            <w:pPr>
              <w:spacing w:lineRule="exact" w:line="600"/>
              <w:jc w:val="center"/>
            </w:pPr>
            <w:r/>
            <w:r>
              <w:rPr>
                <w:rFonts w:ascii="仿宋_GB2312" w:hAnsi="仿宋_GB2312" w:eastAsia="仿宋_GB2312"/>
                <w:b w:val="0"/>
                <w:color w:val="000000"/>
                <w:sz w:val="32"/>
              </w:rPr>
              <w:t>IRIS/EN15085</w:t>
            </w:r>
          </w:p>
        </w:tc>
      </w:tr>
      <w:tr>
        <w:tc>
          <w:tcPr>
            <w:tcW w:type="dxa" w:w="2835"/>
          </w:tcPr>
          <w:p>
            <w:pPr>
              <w:spacing w:lineRule="exact" w:line="600"/>
              <w:jc w:val="center"/>
            </w:pPr>
            <w:r/>
            <w:r>
              <w:rPr>
                <w:rFonts w:ascii="仿宋_GB2312" w:hAnsi="仿宋_GB2312" w:eastAsia="仿宋_GB2312"/>
                <w:b w:val="0"/>
                <w:color w:val="000000"/>
                <w:sz w:val="32"/>
              </w:rPr>
              <w:t>中低端材</w:t>
            </w:r>
          </w:p>
        </w:tc>
        <w:tc>
          <w:tcPr>
            <w:tcW w:type="dxa" w:w="3402"/>
          </w:tcPr>
          <w:p>
            <w:pPr>
              <w:spacing w:lineRule="exact" w:line="600"/>
              <w:jc w:val="center"/>
            </w:pPr>
            <w:r/>
            <w:r>
              <w:rPr>
                <w:rFonts w:ascii="仿宋_GB2312" w:hAnsi="仿宋_GB2312" w:eastAsia="仿宋_GB2312"/>
                <w:b w:val="0"/>
                <w:color w:val="000000"/>
                <w:sz w:val="32"/>
              </w:rPr>
              <w:t>竞争激烈</w:t>
            </w:r>
          </w:p>
        </w:tc>
        <w:tc>
          <w:tcPr>
            <w:tcW w:type="dxa" w:w="2835"/>
          </w:tcPr>
          <w:p>
            <w:pPr>
              <w:spacing w:lineRule="exact" w:line="600"/>
              <w:jc w:val="center"/>
            </w:pPr>
            <w:r/>
            <w:r>
              <w:rPr>
                <w:rFonts w:ascii="仿宋_GB2312" w:hAnsi="仿宋_GB2312" w:eastAsia="仿宋_GB2312"/>
                <w:b w:val="0"/>
                <w:color w:val="000000"/>
                <w:sz w:val="32"/>
              </w:rPr>
              <w:t>加工费下行</w:t>
            </w:r>
          </w:p>
        </w:tc>
      </w:tr>
    </w:tbl>
    <w:p>
      <w:pPr>
        <w:spacing w:lineRule="exact" w:line="600" w:before="120" w:after="120"/>
        <w:ind w:firstLine="420"/>
        <w:jc w:val="left"/>
      </w:pPr>
      <w:r>
        <w:rPr>
          <w:rFonts w:ascii="楷体_GB2312" w:hAnsi="楷体_GB2312" w:eastAsia="楷体_GB2312"/>
          <w:b w:val="0"/>
          <w:color w:val="000000"/>
          <w:sz w:val="32"/>
        </w:rPr>
        <w:t>（三）加工费与盈利</w:t>
      </w:r>
    </w:p>
    <w:p>
      <w:pPr>
        <w:spacing w:lineRule="exact" w:line="600" w:before="0" w:after="0"/>
        <w:ind w:firstLine="420"/>
        <w:jc w:val="both"/>
      </w:pPr>
      <w:r>
        <w:rPr>
          <w:rFonts w:ascii="仿宋_GB2312" w:hAnsi="仿宋_GB2312" w:eastAsia="仿宋_GB2312"/>
          <w:b w:val="0"/>
          <w:color w:val="000000"/>
          <w:sz w:val="32"/>
        </w:rPr>
        <w:t>深加工盈利受加工费波动影响。2023年铝加工行业整体面临建筑材需求疲软、加工费承压，但高端交通材加工费相对稳定且毛利更高：南山热轧板毛利率33.76%、冷轧板20.15%、氧化铝25.24%；高端产品毛利占铝产品总毛利约30%（同比+9pct）。行业共性研判显示，中低端挤压材加工费因产能过剩持续走低，而具备认证与客户壁垒的高端深加工维持较好盈利，加工环节盈利分化加剧。</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盈利指标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热轧板毛利率</w:t>
            </w:r>
          </w:p>
        </w:tc>
        <w:tc>
          <w:tcPr>
            <w:tcW w:type="dxa" w:w="3118"/>
          </w:tcPr>
          <w:p>
            <w:pPr>
              <w:spacing w:lineRule="exact" w:line="600"/>
              <w:jc w:val="center"/>
            </w:pPr>
            <w:r/>
            <w:r>
              <w:rPr>
                <w:rFonts w:ascii="仿宋_GB2312" w:hAnsi="仿宋_GB2312" w:eastAsia="仿宋_GB2312"/>
                <w:b w:val="0"/>
                <w:color w:val="000000"/>
                <w:sz w:val="32"/>
              </w:rPr>
              <w:t>33.76%</w:t>
            </w:r>
          </w:p>
        </w:tc>
        <w:tc>
          <w:tcPr>
            <w:tcW w:type="dxa" w:w="3118"/>
          </w:tcPr>
          <w:p>
            <w:pPr>
              <w:spacing w:lineRule="exact" w:line="600"/>
              <w:jc w:val="center"/>
            </w:pPr>
            <w:r/>
            <w:r>
              <w:rPr>
                <w:rFonts w:ascii="仿宋_GB2312" w:hAnsi="仿宋_GB2312" w:eastAsia="仿宋_GB2312"/>
                <w:b w:val="0"/>
                <w:color w:val="000000"/>
                <w:sz w:val="32"/>
              </w:rPr>
              <w:t>航空板拉动</w:t>
            </w:r>
          </w:p>
        </w:tc>
      </w:tr>
      <w:tr>
        <w:tc>
          <w:tcPr>
            <w:tcW w:type="dxa" w:w="2835"/>
          </w:tcPr>
          <w:p>
            <w:pPr>
              <w:spacing w:lineRule="exact" w:line="600"/>
              <w:jc w:val="center"/>
            </w:pPr>
            <w:r/>
            <w:r>
              <w:rPr>
                <w:rFonts w:ascii="仿宋_GB2312" w:hAnsi="仿宋_GB2312" w:eastAsia="仿宋_GB2312"/>
                <w:b w:val="0"/>
                <w:color w:val="000000"/>
                <w:sz w:val="32"/>
              </w:rPr>
              <w:t>冷轧板毛利率</w:t>
            </w:r>
          </w:p>
        </w:tc>
        <w:tc>
          <w:tcPr>
            <w:tcW w:type="dxa" w:w="3118"/>
          </w:tcPr>
          <w:p>
            <w:pPr>
              <w:spacing w:lineRule="exact" w:line="600"/>
              <w:jc w:val="center"/>
            </w:pPr>
            <w:r/>
            <w:r>
              <w:rPr>
                <w:rFonts w:ascii="仿宋_GB2312" w:hAnsi="仿宋_GB2312" w:eastAsia="仿宋_GB2312"/>
                <w:b w:val="0"/>
                <w:color w:val="000000"/>
                <w:sz w:val="32"/>
              </w:rPr>
              <w:t>20.15%</w:t>
            </w:r>
          </w:p>
        </w:tc>
        <w:tc>
          <w:tcPr>
            <w:tcW w:type="dxa" w:w="3118"/>
          </w:tcPr>
          <w:p>
            <w:pPr>
              <w:spacing w:lineRule="exact" w:line="600"/>
              <w:jc w:val="center"/>
            </w:pPr>
            <w:r/>
            <w:r>
              <w:rPr>
                <w:rFonts w:ascii="仿宋_GB2312" w:hAnsi="仿宋_GB2312" w:eastAsia="仿宋_GB2312"/>
                <w:b w:val="0"/>
                <w:color w:val="000000"/>
                <w:sz w:val="32"/>
              </w:rPr>
              <w:t>环比-2.24pct</w:t>
            </w:r>
          </w:p>
        </w:tc>
      </w:tr>
      <w:tr>
        <w:tc>
          <w:tcPr>
            <w:tcW w:type="dxa" w:w="2835"/>
          </w:tcPr>
          <w:p>
            <w:pPr>
              <w:spacing w:lineRule="exact" w:line="600"/>
              <w:jc w:val="center"/>
            </w:pPr>
            <w:r/>
            <w:r>
              <w:rPr>
                <w:rFonts w:ascii="仿宋_GB2312" w:hAnsi="仿宋_GB2312" w:eastAsia="仿宋_GB2312"/>
                <w:b w:val="0"/>
                <w:color w:val="000000"/>
                <w:sz w:val="32"/>
              </w:rPr>
              <w:t>高端产品毛利占比</w:t>
            </w:r>
          </w:p>
        </w:tc>
        <w:tc>
          <w:tcPr>
            <w:tcW w:type="dxa" w:w="3118"/>
          </w:tcPr>
          <w:p>
            <w:pPr>
              <w:spacing w:lineRule="exact" w:line="600"/>
              <w:jc w:val="center"/>
            </w:pPr>
            <w:r/>
            <w:r>
              <w:rPr>
                <w:rFonts w:ascii="仿宋_GB2312" w:hAnsi="仿宋_GB2312" w:eastAsia="仿宋_GB2312"/>
                <w:b w:val="0"/>
                <w:color w:val="000000"/>
                <w:sz w:val="32"/>
              </w:rPr>
              <w:t>约30%</w:t>
            </w:r>
          </w:p>
        </w:tc>
        <w:tc>
          <w:tcPr>
            <w:tcW w:type="dxa" w:w="3118"/>
          </w:tcPr>
          <w:p>
            <w:pPr>
              <w:spacing w:lineRule="exact" w:line="600"/>
              <w:jc w:val="center"/>
            </w:pPr>
            <w:r/>
            <w:r>
              <w:rPr>
                <w:rFonts w:ascii="仿宋_GB2312" w:hAnsi="仿宋_GB2312" w:eastAsia="仿宋_GB2312"/>
                <w:b w:val="0"/>
                <w:color w:val="000000"/>
                <w:sz w:val="32"/>
              </w:rPr>
              <w:t>同比+9pct</w:t>
            </w:r>
          </w:p>
        </w:tc>
      </w:tr>
      <w:tr>
        <w:tc>
          <w:tcPr>
            <w:tcW w:type="dxa" w:w="2835"/>
          </w:tcPr>
          <w:p>
            <w:pPr>
              <w:spacing w:lineRule="exact" w:line="600"/>
              <w:jc w:val="center"/>
            </w:pPr>
            <w:r/>
            <w:r>
              <w:rPr>
                <w:rFonts w:ascii="仿宋_GB2312" w:hAnsi="仿宋_GB2312" w:eastAsia="仿宋_GB2312"/>
                <w:b w:val="0"/>
                <w:color w:val="000000"/>
                <w:sz w:val="32"/>
              </w:rPr>
              <w:t>中低端加工费</w:t>
            </w:r>
          </w:p>
        </w:tc>
        <w:tc>
          <w:tcPr>
            <w:tcW w:type="dxa" w:w="3118"/>
          </w:tcPr>
          <w:p>
            <w:pPr>
              <w:spacing w:lineRule="exact" w:line="600"/>
              <w:jc w:val="center"/>
            </w:pPr>
            <w:r/>
            <w:r>
              <w:rPr>
                <w:rFonts w:ascii="仿宋_GB2312" w:hAnsi="仿宋_GB2312" w:eastAsia="仿宋_GB2312"/>
                <w:b w:val="0"/>
                <w:color w:val="000000"/>
                <w:sz w:val="32"/>
              </w:rPr>
              <w:t>下行</w:t>
            </w:r>
          </w:p>
        </w:tc>
        <w:tc>
          <w:tcPr>
            <w:tcW w:type="dxa" w:w="3118"/>
          </w:tcPr>
          <w:p>
            <w:pPr>
              <w:spacing w:lineRule="exact" w:line="600"/>
              <w:jc w:val="center"/>
            </w:pPr>
            <w:r/>
            <w:r>
              <w:rPr>
                <w:rFonts w:ascii="仿宋_GB2312" w:hAnsi="仿宋_GB2312" w:eastAsia="仿宋_GB2312"/>
                <w:b w:val="0"/>
                <w:color w:val="000000"/>
                <w:sz w:val="32"/>
              </w:rPr>
              <w:t>产能过剩</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（一）集群加工企业生态</w:t>
      </w:r>
    </w:p>
    <w:p>
      <w:pPr>
        <w:spacing w:lineRule="exact" w:line="600" w:before="0" w:after="0"/>
        <w:ind w:firstLine="420"/>
        <w:jc w:val="both"/>
      </w:pPr>
      <w:r>
        <w:rPr>
          <w:rFonts w:ascii="仿宋_GB2312" w:hAnsi="仿宋_GB2312" w:eastAsia="仿宋_GB2312"/>
          <w:b w:val="0"/>
          <w:color w:val="000000"/>
          <w:sz w:val="32"/>
        </w:rPr>
        <w:t>龙口集群以243家交通铝材及相关企业构成完整深加工生态，其中南山铝业、丛林铝业为龙头，58家专精特新企业、156家大中小企业为主体跟进。铝加工产业产值超千亿元，南山带动博瑞特、三元铝材、奥瑞金等20多家骨干企业集聚成长。集群内「龙头—配套」协同使易拉罐拉环等微小产品也能实现南山铝板带—三元拉环材—博瑞特拉环的多级本地配套，体现深加工生态的紧凑与高效。</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生态指标</w:t>
            </w:r>
          </w:p>
        </w:tc>
        <w:tc>
          <w:tcPr>
            <w:tcW w:type="dxa" w:w="2835"/>
          </w:tcPr>
          <w:p>
            <w:pPr>
              <w:spacing w:lineRule="exact" w:line="600"/>
              <w:jc w:val="center"/>
            </w:pPr>
            <w:r/>
            <w:r>
              <w:rPr>
                <w:rFonts w:ascii="黑体" w:hAnsi="黑体" w:eastAsia="黑体"/>
                <w:b/>
                <w:color w:val="000000"/>
                <w:sz w:val="32"/>
              </w:rPr>
              <w:t>数值</w:t>
            </w:r>
          </w:p>
        </w:tc>
        <w:tc>
          <w:tcPr>
            <w:tcW w:type="dxa" w:w="3402"/>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相关企业</w:t>
            </w:r>
          </w:p>
        </w:tc>
        <w:tc>
          <w:tcPr>
            <w:tcW w:type="dxa" w:w="2835"/>
          </w:tcPr>
          <w:p>
            <w:pPr>
              <w:spacing w:lineRule="exact" w:line="600"/>
              <w:jc w:val="center"/>
            </w:pPr>
            <w:r/>
            <w:r>
              <w:rPr>
                <w:rFonts w:ascii="仿宋_GB2312" w:hAnsi="仿宋_GB2312" w:eastAsia="仿宋_GB2312"/>
                <w:b w:val="0"/>
                <w:color w:val="000000"/>
                <w:sz w:val="32"/>
              </w:rPr>
              <w:t>243家</w:t>
            </w:r>
          </w:p>
        </w:tc>
        <w:tc>
          <w:tcPr>
            <w:tcW w:type="dxa" w:w="3402"/>
          </w:tcPr>
          <w:p>
            <w:pPr>
              <w:spacing w:lineRule="exact" w:line="600"/>
              <w:jc w:val="center"/>
            </w:pPr>
            <w:r/>
            <w:r>
              <w:rPr>
                <w:rFonts w:ascii="仿宋_GB2312" w:hAnsi="仿宋_GB2312" w:eastAsia="仿宋_GB2312"/>
                <w:b w:val="0"/>
                <w:color w:val="000000"/>
                <w:sz w:val="32"/>
              </w:rPr>
              <w:t>交通铝材</w:t>
            </w:r>
          </w:p>
        </w:tc>
      </w:tr>
      <w:tr>
        <w:tc>
          <w:tcPr>
            <w:tcW w:type="dxa" w:w="2835"/>
          </w:tcPr>
          <w:p>
            <w:pPr>
              <w:spacing w:lineRule="exact" w:line="600"/>
              <w:jc w:val="center"/>
            </w:pPr>
            <w:r/>
            <w:r>
              <w:rPr>
                <w:rFonts w:ascii="仿宋_GB2312" w:hAnsi="仿宋_GB2312" w:eastAsia="仿宋_GB2312"/>
                <w:b w:val="0"/>
                <w:color w:val="000000"/>
                <w:sz w:val="32"/>
              </w:rPr>
              <w:t>专精特新</w:t>
            </w:r>
          </w:p>
        </w:tc>
        <w:tc>
          <w:tcPr>
            <w:tcW w:type="dxa" w:w="2835"/>
          </w:tcPr>
          <w:p>
            <w:pPr>
              <w:spacing w:lineRule="exact" w:line="600"/>
              <w:jc w:val="center"/>
            </w:pPr>
            <w:r/>
            <w:r>
              <w:rPr>
                <w:rFonts w:ascii="仿宋_GB2312" w:hAnsi="仿宋_GB2312" w:eastAsia="仿宋_GB2312"/>
                <w:b w:val="0"/>
                <w:color w:val="000000"/>
                <w:sz w:val="32"/>
              </w:rPr>
              <w:t>58家</w:t>
            </w:r>
          </w:p>
        </w:tc>
        <w:tc>
          <w:tcPr>
            <w:tcW w:type="dxa" w:w="3402"/>
          </w:tcPr>
          <w:p>
            <w:pPr>
              <w:spacing w:lineRule="exact" w:line="600"/>
              <w:jc w:val="center"/>
            </w:pPr>
            <w:r/>
            <w:r>
              <w:rPr>
                <w:rFonts w:ascii="仿宋_GB2312" w:hAnsi="仿宋_GB2312" w:eastAsia="仿宋_GB2312"/>
                <w:b w:val="0"/>
                <w:color w:val="000000"/>
                <w:sz w:val="32"/>
              </w:rPr>
              <w:t>配套</w:t>
            </w:r>
          </w:p>
        </w:tc>
      </w:tr>
      <w:tr>
        <w:tc>
          <w:tcPr>
            <w:tcW w:type="dxa" w:w="2835"/>
          </w:tcPr>
          <w:p>
            <w:pPr>
              <w:spacing w:lineRule="exact" w:line="600"/>
              <w:jc w:val="center"/>
            </w:pPr>
            <w:r/>
            <w:r>
              <w:rPr>
                <w:rFonts w:ascii="仿宋_GB2312" w:hAnsi="仿宋_GB2312" w:eastAsia="仿宋_GB2312"/>
                <w:b w:val="0"/>
                <w:color w:val="000000"/>
                <w:sz w:val="32"/>
              </w:rPr>
              <w:t>大中小企业</w:t>
            </w:r>
          </w:p>
        </w:tc>
        <w:tc>
          <w:tcPr>
            <w:tcW w:type="dxa" w:w="2835"/>
          </w:tcPr>
          <w:p>
            <w:pPr>
              <w:spacing w:lineRule="exact" w:line="600"/>
              <w:jc w:val="center"/>
            </w:pPr>
            <w:r/>
            <w:r>
              <w:rPr>
                <w:rFonts w:ascii="仿宋_GB2312" w:hAnsi="仿宋_GB2312" w:eastAsia="仿宋_GB2312"/>
                <w:b w:val="0"/>
                <w:color w:val="000000"/>
                <w:sz w:val="32"/>
              </w:rPr>
              <w:t>156家</w:t>
            </w:r>
          </w:p>
        </w:tc>
        <w:tc>
          <w:tcPr>
            <w:tcW w:type="dxa" w:w="3402"/>
          </w:tcPr>
          <w:p>
            <w:pPr>
              <w:spacing w:lineRule="exact" w:line="600"/>
              <w:jc w:val="center"/>
            </w:pPr>
            <w:r/>
            <w:r>
              <w:rPr>
                <w:rFonts w:ascii="仿宋_GB2312" w:hAnsi="仿宋_GB2312" w:eastAsia="仿宋_GB2312"/>
                <w:b w:val="0"/>
                <w:color w:val="000000"/>
                <w:sz w:val="32"/>
              </w:rPr>
              <w:t>主体跟进</w:t>
            </w:r>
          </w:p>
        </w:tc>
      </w:tr>
      <w:tr>
        <w:tc>
          <w:tcPr>
            <w:tcW w:type="dxa" w:w="2835"/>
          </w:tcPr>
          <w:p>
            <w:pPr>
              <w:spacing w:lineRule="exact" w:line="600"/>
              <w:jc w:val="center"/>
            </w:pPr>
            <w:r/>
            <w:r>
              <w:rPr>
                <w:rFonts w:ascii="仿宋_GB2312" w:hAnsi="仿宋_GB2312" w:eastAsia="仿宋_GB2312"/>
                <w:b w:val="0"/>
                <w:color w:val="000000"/>
                <w:sz w:val="32"/>
              </w:rPr>
              <w:t>龙头带动</w:t>
            </w:r>
          </w:p>
        </w:tc>
        <w:tc>
          <w:tcPr>
            <w:tcW w:type="dxa" w:w="2835"/>
          </w:tcPr>
          <w:p>
            <w:pPr>
              <w:spacing w:lineRule="exact" w:line="600"/>
              <w:jc w:val="center"/>
            </w:pPr>
            <w:r/>
            <w:r>
              <w:rPr>
                <w:rFonts w:ascii="仿宋_GB2312" w:hAnsi="仿宋_GB2312" w:eastAsia="仿宋_GB2312"/>
                <w:b w:val="0"/>
                <w:color w:val="000000"/>
                <w:sz w:val="32"/>
              </w:rPr>
              <w:t>20多家骨干</w:t>
            </w:r>
          </w:p>
        </w:tc>
        <w:tc>
          <w:tcPr>
            <w:tcW w:type="dxa" w:w="3402"/>
          </w:tcPr>
          <w:p>
            <w:pPr>
              <w:spacing w:lineRule="exact" w:line="600"/>
              <w:jc w:val="center"/>
            </w:pPr>
            <w:r/>
            <w:r>
              <w:rPr>
                <w:rFonts w:ascii="仿宋_GB2312" w:hAnsi="仿宋_GB2312" w:eastAsia="仿宋_GB2312"/>
                <w:b w:val="0"/>
                <w:color w:val="000000"/>
                <w:sz w:val="32"/>
              </w:rPr>
              <w:t>集聚成长</w:t>
            </w:r>
          </w:p>
        </w:tc>
      </w:tr>
    </w:tbl>
    <w:p>
      <w:pPr>
        <w:spacing w:lineRule="exact" w:line="600" w:before="120" w:after="120"/>
        <w:ind w:firstLine="420"/>
        <w:jc w:val="left"/>
      </w:pPr>
      <w:r>
        <w:rPr>
          <w:rFonts w:ascii="楷体_GB2312" w:hAnsi="楷体_GB2312" w:eastAsia="楷体_GB2312"/>
          <w:b w:val="0"/>
          <w:color w:val="000000"/>
          <w:sz w:val="32"/>
        </w:rPr>
        <w:t>（二）链主深加工能力</w:t>
      </w:r>
    </w:p>
    <w:p>
      <w:pPr>
        <w:spacing w:lineRule="exact" w:line="600" w:before="0" w:after="0"/>
        <w:ind w:firstLine="420"/>
        <w:jc w:val="both"/>
      </w:pPr>
      <w:r>
        <w:rPr>
          <w:rFonts w:ascii="仿宋_GB2312" w:hAnsi="仿宋_GB2312" w:eastAsia="仿宋_GB2312"/>
          <w:b w:val="0"/>
          <w:color w:val="000000"/>
          <w:sz w:val="32"/>
        </w:rPr>
        <w:t>南山铝业深加工板块2023年铝型材营收42.20亿元（同比-11.75%），但高端产品占比提升改善盈利质量；冷轧卷/板营收149.64亿元（占51.88%），氧化铝粉57.32亿元（占19.87%），铝型材占14.63%。丛林铝业深加工以车体模块、轻量化商用车、汽车零部件为主，下属诺维科、福禄好富汽车等专注焊接车体与铝制半挂车。两家链主在挤压、轧制、焊接、机加全链条的深加工能力构成集群核心竞争力。</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链主深加工</w:t>
            </w:r>
          </w:p>
        </w:tc>
        <w:tc>
          <w:tcPr>
            <w:tcW w:type="dxa" w:w="3118"/>
          </w:tcPr>
          <w:p>
            <w:pPr>
              <w:spacing w:lineRule="exact" w:line="600"/>
              <w:jc w:val="center"/>
            </w:pPr>
            <w:r/>
            <w:r>
              <w:rPr>
                <w:rFonts w:ascii="黑体" w:hAnsi="黑体" w:eastAsia="黑体"/>
                <w:b/>
                <w:color w:val="000000"/>
                <w:sz w:val="32"/>
              </w:rPr>
              <w:t>营收/产能</w:t>
            </w:r>
          </w:p>
        </w:tc>
        <w:tc>
          <w:tcPr>
            <w:tcW w:type="dxa" w:w="3118"/>
          </w:tcPr>
          <w:p>
            <w:pPr>
              <w:spacing w:lineRule="exact" w:line="600"/>
              <w:jc w:val="center"/>
            </w:pPr>
            <w:r/>
            <w:r>
              <w:rPr>
                <w:rFonts w:ascii="黑体" w:hAnsi="黑体" w:eastAsia="黑体"/>
                <w:b/>
                <w:color w:val="000000"/>
                <w:sz w:val="32"/>
              </w:rPr>
              <w:t>备注</w:t>
            </w:r>
          </w:p>
        </w:tc>
      </w:tr>
      <w:tr>
        <w:tc>
          <w:tcPr>
            <w:tcW w:type="dxa" w:w="2835"/>
          </w:tcPr>
          <w:p>
            <w:pPr>
              <w:spacing w:lineRule="exact" w:line="600"/>
              <w:jc w:val="center"/>
            </w:pPr>
            <w:r/>
            <w:r>
              <w:rPr>
                <w:rFonts w:ascii="仿宋_GB2312" w:hAnsi="仿宋_GB2312" w:eastAsia="仿宋_GB2312"/>
                <w:b w:val="0"/>
                <w:color w:val="000000"/>
                <w:sz w:val="32"/>
              </w:rPr>
              <w:t>南山铝型材营收</w:t>
            </w:r>
          </w:p>
        </w:tc>
        <w:tc>
          <w:tcPr>
            <w:tcW w:type="dxa" w:w="3118"/>
          </w:tcPr>
          <w:p>
            <w:pPr>
              <w:spacing w:lineRule="exact" w:line="600"/>
              <w:jc w:val="center"/>
            </w:pPr>
            <w:r/>
            <w:r>
              <w:rPr>
                <w:rFonts w:ascii="仿宋_GB2312" w:hAnsi="仿宋_GB2312" w:eastAsia="仿宋_GB2312"/>
                <w:b w:val="0"/>
                <w:color w:val="000000"/>
                <w:sz w:val="32"/>
              </w:rPr>
              <w:t>42.20亿元</w:t>
            </w:r>
          </w:p>
        </w:tc>
        <w:tc>
          <w:tcPr>
            <w:tcW w:type="dxa" w:w="3118"/>
          </w:tcPr>
          <w:p>
            <w:pPr>
              <w:spacing w:lineRule="exact" w:line="600"/>
              <w:jc w:val="center"/>
            </w:pPr>
            <w:r/>
            <w:r>
              <w:rPr>
                <w:rFonts w:ascii="仿宋_GB2312" w:hAnsi="仿宋_GB2312" w:eastAsia="仿宋_GB2312"/>
                <w:b w:val="0"/>
                <w:color w:val="000000"/>
                <w:sz w:val="32"/>
              </w:rPr>
              <w:t>同比-11.75%</w:t>
            </w:r>
          </w:p>
        </w:tc>
      </w:tr>
      <w:tr>
        <w:tc>
          <w:tcPr>
            <w:tcW w:type="dxa" w:w="2835"/>
          </w:tcPr>
          <w:p>
            <w:pPr>
              <w:spacing w:lineRule="exact" w:line="600"/>
              <w:jc w:val="center"/>
            </w:pPr>
            <w:r/>
            <w:r>
              <w:rPr>
                <w:rFonts w:ascii="仿宋_GB2312" w:hAnsi="仿宋_GB2312" w:eastAsia="仿宋_GB2312"/>
                <w:b w:val="0"/>
                <w:color w:val="000000"/>
                <w:sz w:val="32"/>
              </w:rPr>
              <w:t>南山冷轧卷板</w:t>
            </w:r>
          </w:p>
        </w:tc>
        <w:tc>
          <w:tcPr>
            <w:tcW w:type="dxa" w:w="3118"/>
          </w:tcPr>
          <w:p>
            <w:pPr>
              <w:spacing w:lineRule="exact" w:line="600"/>
              <w:jc w:val="center"/>
            </w:pPr>
            <w:r/>
            <w:r>
              <w:rPr>
                <w:rFonts w:ascii="仿宋_GB2312" w:hAnsi="仿宋_GB2312" w:eastAsia="仿宋_GB2312"/>
                <w:b w:val="0"/>
                <w:color w:val="000000"/>
                <w:sz w:val="32"/>
              </w:rPr>
              <w:t>149.64亿元</w:t>
            </w:r>
          </w:p>
        </w:tc>
        <w:tc>
          <w:tcPr>
            <w:tcW w:type="dxa" w:w="3118"/>
          </w:tcPr>
          <w:p>
            <w:pPr>
              <w:spacing w:lineRule="exact" w:line="600"/>
              <w:jc w:val="center"/>
            </w:pPr>
            <w:r/>
            <w:r>
              <w:rPr>
                <w:rFonts w:ascii="仿宋_GB2312" w:hAnsi="仿宋_GB2312" w:eastAsia="仿宋_GB2312"/>
                <w:b w:val="0"/>
                <w:color w:val="000000"/>
                <w:sz w:val="32"/>
              </w:rPr>
              <w:t>占51.88%</w:t>
            </w:r>
          </w:p>
        </w:tc>
      </w:tr>
      <w:tr>
        <w:tc>
          <w:tcPr>
            <w:tcW w:type="dxa" w:w="2835"/>
          </w:tcPr>
          <w:p>
            <w:pPr>
              <w:spacing w:lineRule="exact" w:line="600"/>
              <w:jc w:val="center"/>
            </w:pPr>
            <w:r/>
            <w:r>
              <w:rPr>
                <w:rFonts w:ascii="仿宋_GB2312" w:hAnsi="仿宋_GB2312" w:eastAsia="仿宋_GB2312"/>
                <w:b w:val="0"/>
                <w:color w:val="000000"/>
                <w:sz w:val="32"/>
              </w:rPr>
              <w:t>南山氧化铝粉</w:t>
            </w:r>
          </w:p>
        </w:tc>
        <w:tc>
          <w:tcPr>
            <w:tcW w:type="dxa" w:w="3118"/>
          </w:tcPr>
          <w:p>
            <w:pPr>
              <w:spacing w:lineRule="exact" w:line="600"/>
              <w:jc w:val="center"/>
            </w:pPr>
            <w:r/>
            <w:r>
              <w:rPr>
                <w:rFonts w:ascii="仿宋_GB2312" w:hAnsi="仿宋_GB2312" w:eastAsia="仿宋_GB2312"/>
                <w:b w:val="0"/>
                <w:color w:val="000000"/>
                <w:sz w:val="32"/>
              </w:rPr>
              <w:t>57.32亿元</w:t>
            </w:r>
          </w:p>
        </w:tc>
        <w:tc>
          <w:tcPr>
            <w:tcW w:type="dxa" w:w="3118"/>
          </w:tcPr>
          <w:p>
            <w:pPr>
              <w:spacing w:lineRule="exact" w:line="600"/>
              <w:jc w:val="center"/>
            </w:pPr>
            <w:r/>
            <w:r>
              <w:rPr>
                <w:rFonts w:ascii="仿宋_GB2312" w:hAnsi="仿宋_GB2312" w:eastAsia="仿宋_GB2312"/>
                <w:b w:val="0"/>
                <w:color w:val="000000"/>
                <w:sz w:val="32"/>
              </w:rPr>
              <w:t>占19.87%</w:t>
            </w:r>
          </w:p>
        </w:tc>
      </w:tr>
      <w:tr>
        <w:tc>
          <w:tcPr>
            <w:tcW w:type="dxa" w:w="2835"/>
          </w:tcPr>
          <w:p>
            <w:pPr>
              <w:spacing w:lineRule="exact" w:line="600"/>
              <w:jc w:val="center"/>
            </w:pPr>
            <w:r/>
            <w:r>
              <w:rPr>
                <w:rFonts w:ascii="仿宋_GB2312" w:hAnsi="仿宋_GB2312" w:eastAsia="仿宋_GB2312"/>
                <w:b w:val="0"/>
                <w:color w:val="000000"/>
                <w:sz w:val="32"/>
              </w:rPr>
              <w:t>丛林车体模块</w:t>
            </w:r>
          </w:p>
        </w:tc>
        <w:tc>
          <w:tcPr>
            <w:tcW w:type="dxa" w:w="3118"/>
          </w:tcPr>
          <w:p>
            <w:pPr>
              <w:spacing w:lineRule="exact" w:line="600"/>
              <w:jc w:val="center"/>
            </w:pPr>
            <w:r/>
            <w:r>
              <w:rPr>
                <w:rFonts w:ascii="仿宋_GB2312" w:hAnsi="仿宋_GB2312" w:eastAsia="仿宋_GB2312"/>
                <w:b w:val="0"/>
                <w:color w:val="000000"/>
                <w:sz w:val="32"/>
              </w:rPr>
              <w:t>下属多家公司</w:t>
            </w:r>
          </w:p>
        </w:tc>
        <w:tc>
          <w:tcPr>
            <w:tcW w:type="dxa" w:w="3118"/>
          </w:tcPr>
          <w:p>
            <w:pPr>
              <w:spacing w:lineRule="exact" w:line="600"/>
              <w:jc w:val="center"/>
            </w:pPr>
            <w:r/>
            <w:r>
              <w:rPr>
                <w:rFonts w:ascii="仿宋_GB2312" w:hAnsi="仿宋_GB2312" w:eastAsia="仿宋_GB2312"/>
                <w:b w:val="0"/>
                <w:color w:val="000000"/>
                <w:sz w:val="32"/>
              </w:rPr>
              <w:t>轨交/汽车</w:t>
            </w:r>
          </w:p>
        </w:tc>
      </w:tr>
    </w:tbl>
    <w:p>
      <w:pPr>
        <w:spacing w:lineRule="exact" w:line="600" w:before="120" w:after="120"/>
        <w:ind w:firstLine="420"/>
        <w:jc w:val="left"/>
      </w:pPr>
      <w:r>
        <w:rPr>
          <w:rFonts w:ascii="楷体_GB2312" w:hAnsi="楷体_GB2312" w:eastAsia="楷体_GB2312"/>
          <w:b w:val="0"/>
          <w:color w:val="000000"/>
          <w:sz w:val="32"/>
        </w:rPr>
        <w:t>（三）配套与专精特新</w:t>
      </w:r>
    </w:p>
    <w:p>
      <w:pPr>
        <w:spacing w:lineRule="exact" w:line="600" w:before="0" w:after="0"/>
        <w:ind w:firstLine="420"/>
        <w:jc w:val="both"/>
      </w:pPr>
      <w:r>
        <w:rPr>
          <w:rFonts w:ascii="仿宋_GB2312" w:hAnsi="仿宋_GB2312" w:eastAsia="仿宋_GB2312"/>
          <w:b w:val="0"/>
          <w:color w:val="000000"/>
          <w:sz w:val="32"/>
        </w:rPr>
        <w:t>深加工配套企业梯队完善。博瑞特为红牛、旺旺、养元供应易拉盖，年产值6亿多元，2024年达产可达7.6亿元；三元铝材从事拉环材加工；奥瑞金为包装铝材下游。龙口全市国家级制造业单项冠军6家、专精特新小巨人13家、省级专精特新134家，其中铝深加工相关企业构成「专精特新—单项冠军」成长梯队，为集群提供持续创新活力。</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配套企业</w:t>
            </w:r>
          </w:p>
        </w:tc>
        <w:tc>
          <w:tcPr>
            <w:tcW w:type="dxa" w:w="3402"/>
          </w:tcPr>
          <w:p>
            <w:pPr>
              <w:spacing w:lineRule="exact" w:line="600"/>
              <w:jc w:val="center"/>
            </w:pPr>
            <w:r/>
            <w:r>
              <w:rPr>
                <w:rFonts w:ascii="黑体" w:hAnsi="黑体" w:eastAsia="黑体"/>
                <w:b/>
                <w:color w:val="000000"/>
                <w:sz w:val="32"/>
              </w:rPr>
              <w:t>产品</w:t>
            </w:r>
          </w:p>
        </w:tc>
        <w:tc>
          <w:tcPr>
            <w:tcW w:type="dxa" w:w="2835"/>
          </w:tcPr>
          <w:p>
            <w:pPr>
              <w:spacing w:lineRule="exact" w:line="600"/>
              <w:jc w:val="center"/>
            </w:pPr>
            <w:r/>
            <w:r>
              <w:rPr>
                <w:rFonts w:ascii="黑体" w:hAnsi="黑体" w:eastAsia="黑体"/>
                <w:b/>
                <w:color w:val="000000"/>
                <w:sz w:val="32"/>
              </w:rPr>
              <w:t>规模</w:t>
            </w:r>
          </w:p>
        </w:tc>
      </w:tr>
      <w:tr>
        <w:tc>
          <w:tcPr>
            <w:tcW w:type="dxa" w:w="2835"/>
          </w:tcPr>
          <w:p>
            <w:pPr>
              <w:spacing w:lineRule="exact" w:line="600"/>
              <w:jc w:val="center"/>
            </w:pPr>
            <w:r/>
            <w:r>
              <w:rPr>
                <w:rFonts w:ascii="仿宋_GB2312" w:hAnsi="仿宋_GB2312" w:eastAsia="仿宋_GB2312"/>
                <w:b w:val="0"/>
                <w:color w:val="000000"/>
                <w:sz w:val="32"/>
              </w:rPr>
              <w:t>博瑞特</w:t>
            </w:r>
          </w:p>
        </w:tc>
        <w:tc>
          <w:tcPr>
            <w:tcW w:type="dxa" w:w="3402"/>
          </w:tcPr>
          <w:p>
            <w:pPr>
              <w:spacing w:lineRule="exact" w:line="600"/>
              <w:jc w:val="center"/>
            </w:pPr>
            <w:r/>
            <w:r>
              <w:rPr>
                <w:rFonts w:ascii="仿宋_GB2312" w:hAnsi="仿宋_GB2312" w:eastAsia="仿宋_GB2312"/>
                <w:b w:val="0"/>
                <w:color w:val="000000"/>
                <w:sz w:val="32"/>
              </w:rPr>
              <w:t>易拉盖面底盖</w:t>
            </w:r>
          </w:p>
        </w:tc>
        <w:tc>
          <w:tcPr>
            <w:tcW w:type="dxa" w:w="2835"/>
          </w:tcPr>
          <w:p>
            <w:pPr>
              <w:spacing w:lineRule="exact" w:line="600"/>
              <w:jc w:val="center"/>
            </w:pPr>
            <w:r/>
            <w:r>
              <w:rPr>
                <w:rFonts w:ascii="仿宋_GB2312" w:hAnsi="仿宋_GB2312" w:eastAsia="仿宋_GB2312"/>
                <w:b w:val="0"/>
                <w:color w:val="000000"/>
                <w:sz w:val="32"/>
              </w:rPr>
              <w:t>6亿多元/年</w:t>
            </w:r>
          </w:p>
        </w:tc>
      </w:tr>
      <w:tr>
        <w:tc>
          <w:tcPr>
            <w:tcW w:type="dxa" w:w="2835"/>
          </w:tcPr>
          <w:p>
            <w:pPr>
              <w:spacing w:lineRule="exact" w:line="600"/>
              <w:jc w:val="center"/>
            </w:pPr>
            <w:r/>
            <w:r>
              <w:rPr>
                <w:rFonts w:ascii="仿宋_GB2312" w:hAnsi="仿宋_GB2312" w:eastAsia="仿宋_GB2312"/>
                <w:b w:val="0"/>
                <w:color w:val="000000"/>
                <w:sz w:val="32"/>
              </w:rPr>
              <w:t>三元铝材</w:t>
            </w:r>
          </w:p>
        </w:tc>
        <w:tc>
          <w:tcPr>
            <w:tcW w:type="dxa" w:w="3402"/>
          </w:tcPr>
          <w:p>
            <w:pPr>
              <w:spacing w:lineRule="exact" w:line="600"/>
              <w:jc w:val="center"/>
            </w:pPr>
            <w:r/>
            <w:r>
              <w:rPr>
                <w:rFonts w:ascii="仿宋_GB2312" w:hAnsi="仿宋_GB2312" w:eastAsia="仿宋_GB2312"/>
                <w:b w:val="0"/>
                <w:color w:val="000000"/>
                <w:sz w:val="32"/>
              </w:rPr>
              <w:t>拉环材</w:t>
            </w:r>
          </w:p>
        </w:tc>
        <w:tc>
          <w:tcPr>
            <w:tcW w:type="dxa" w:w="2835"/>
          </w:tcPr>
          <w:p>
            <w:pPr>
              <w:spacing w:lineRule="exact" w:line="600"/>
              <w:jc w:val="center"/>
            </w:pPr>
            <w:r/>
            <w:r>
              <w:rPr>
                <w:rFonts w:ascii="仿宋_GB2312" w:hAnsi="仿宋_GB2312" w:eastAsia="仿宋_GB2312"/>
                <w:b w:val="0"/>
                <w:color w:val="000000"/>
                <w:sz w:val="32"/>
              </w:rPr>
              <w:t>下游配套</w:t>
            </w:r>
          </w:p>
        </w:tc>
      </w:tr>
      <w:tr>
        <w:tc>
          <w:tcPr>
            <w:tcW w:type="dxa" w:w="2835"/>
          </w:tcPr>
          <w:p>
            <w:pPr>
              <w:spacing w:lineRule="exact" w:line="600"/>
              <w:jc w:val="center"/>
            </w:pPr>
            <w:r/>
            <w:r>
              <w:rPr>
                <w:rFonts w:ascii="仿宋_GB2312" w:hAnsi="仿宋_GB2312" w:eastAsia="仿宋_GB2312"/>
                <w:b w:val="0"/>
                <w:color w:val="000000"/>
                <w:sz w:val="32"/>
              </w:rPr>
              <w:t>奥瑞金</w:t>
            </w:r>
          </w:p>
        </w:tc>
        <w:tc>
          <w:tcPr>
            <w:tcW w:type="dxa" w:w="3402"/>
          </w:tcPr>
          <w:p>
            <w:pPr>
              <w:spacing w:lineRule="exact" w:line="600"/>
              <w:jc w:val="center"/>
            </w:pPr>
            <w:r/>
            <w:r>
              <w:rPr>
                <w:rFonts w:ascii="仿宋_GB2312" w:hAnsi="仿宋_GB2312" w:eastAsia="仿宋_GB2312"/>
                <w:b w:val="0"/>
                <w:color w:val="000000"/>
                <w:sz w:val="32"/>
              </w:rPr>
              <w:t>包装铝材</w:t>
            </w:r>
          </w:p>
        </w:tc>
        <w:tc>
          <w:tcPr>
            <w:tcW w:type="dxa" w:w="2835"/>
          </w:tcPr>
          <w:p>
            <w:pPr>
              <w:spacing w:lineRule="exact" w:line="600"/>
              <w:jc w:val="center"/>
            </w:pPr>
            <w:r/>
            <w:r>
              <w:rPr>
                <w:rFonts w:ascii="仿宋_GB2312" w:hAnsi="仿宋_GB2312" w:eastAsia="仿宋_GB2312"/>
                <w:b w:val="0"/>
                <w:color w:val="000000"/>
                <w:sz w:val="32"/>
              </w:rPr>
              <w:t>下游</w:t>
            </w:r>
          </w:p>
        </w:tc>
      </w:tr>
      <w:tr>
        <w:tc>
          <w:tcPr>
            <w:tcW w:type="dxa" w:w="2835"/>
          </w:tcPr>
          <w:p>
            <w:pPr>
              <w:spacing w:lineRule="exact" w:line="600"/>
              <w:jc w:val="center"/>
            </w:pPr>
            <w:r/>
            <w:r>
              <w:rPr>
                <w:rFonts w:ascii="仿宋_GB2312" w:hAnsi="仿宋_GB2312" w:eastAsia="仿宋_GB2312"/>
                <w:b w:val="0"/>
                <w:color w:val="000000"/>
                <w:sz w:val="32"/>
              </w:rPr>
              <w:t>专精特新小巨人</w:t>
            </w:r>
          </w:p>
        </w:tc>
        <w:tc>
          <w:tcPr>
            <w:tcW w:type="dxa" w:w="3402"/>
          </w:tcPr>
          <w:p>
            <w:pPr>
              <w:spacing w:lineRule="exact" w:line="600"/>
              <w:jc w:val="center"/>
            </w:pPr>
            <w:r/>
            <w:r>
              <w:rPr>
                <w:rFonts w:ascii="仿宋_GB2312" w:hAnsi="仿宋_GB2312" w:eastAsia="仿宋_GB2312"/>
                <w:b w:val="0"/>
                <w:color w:val="000000"/>
                <w:sz w:val="32"/>
              </w:rPr>
              <w:t>13家</w:t>
            </w:r>
          </w:p>
        </w:tc>
        <w:tc>
          <w:tcPr>
            <w:tcW w:type="dxa" w:w="2835"/>
          </w:tcPr>
          <w:p>
            <w:pPr>
              <w:spacing w:lineRule="exact" w:line="600"/>
              <w:jc w:val="center"/>
            </w:pPr>
            <w:r/>
            <w:r>
              <w:rPr>
                <w:rFonts w:ascii="仿宋_GB2312" w:hAnsi="仿宋_GB2312" w:eastAsia="仿宋_GB2312"/>
                <w:b w:val="0"/>
                <w:color w:val="000000"/>
                <w:sz w:val="32"/>
              </w:rPr>
              <w:t>铝相关</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（一）重大装备与工艺</w:t>
      </w:r>
    </w:p>
    <w:p>
      <w:pPr>
        <w:spacing w:lineRule="exact" w:line="600" w:before="0" w:after="0"/>
        <w:ind w:firstLine="420"/>
        <w:jc w:val="both"/>
      </w:pPr>
      <w:r>
        <w:rPr>
          <w:rFonts w:ascii="仿宋_GB2312" w:hAnsi="仿宋_GB2312" w:eastAsia="仿宋_GB2312"/>
          <w:b w:val="0"/>
          <w:color w:val="000000"/>
          <w:sz w:val="32"/>
        </w:rPr>
        <w:t>龙口深加工装备达到国际先进。丛林铝业世界首台万吨油压双动铝挤压机（2005年国家科技进步一等奖）可生产大断面特大型工业铝型材；南山铝业拥有100MN、125MN、500MN等锻压与多型号轧机，航空厚板轧制精度达「零误差」级。南山突破C919机翼长桁用铝型材核心关键技术，7系厚板应用于C919、ARJ21；「铝液短流程合金化及塑性成型加工关键技术」列入国家科技支撑计划，确立本地深加工工艺标杆。</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装备/工艺</w:t>
            </w:r>
          </w:p>
        </w:tc>
        <w:tc>
          <w:tcPr>
            <w:tcW w:type="dxa" w:w="3118"/>
          </w:tcPr>
          <w:p>
            <w:pPr>
              <w:spacing w:lineRule="exact" w:line="600"/>
              <w:jc w:val="center"/>
            </w:pPr>
            <w:r/>
            <w:r>
              <w:rPr>
                <w:rFonts w:ascii="黑体" w:hAnsi="黑体" w:eastAsia="黑体"/>
                <w:b/>
                <w:color w:val="000000"/>
                <w:sz w:val="32"/>
              </w:rPr>
              <w:t>水平</w:t>
            </w:r>
          </w:p>
        </w:tc>
        <w:tc>
          <w:tcPr>
            <w:tcW w:type="dxa" w:w="3118"/>
          </w:tcPr>
          <w:p>
            <w:pPr>
              <w:spacing w:lineRule="exact" w:line="600"/>
              <w:jc w:val="center"/>
            </w:pPr>
            <w:r/>
            <w:r>
              <w:rPr>
                <w:rFonts w:ascii="黑体" w:hAnsi="黑体" w:eastAsia="黑体"/>
                <w:b/>
                <w:color w:val="000000"/>
                <w:sz w:val="32"/>
              </w:rPr>
              <w:t>荣誉</w:t>
            </w:r>
          </w:p>
        </w:tc>
      </w:tr>
      <w:tr>
        <w:tc>
          <w:tcPr>
            <w:tcW w:type="dxa" w:w="2835"/>
          </w:tcPr>
          <w:p>
            <w:pPr>
              <w:spacing w:lineRule="exact" w:line="600"/>
              <w:jc w:val="center"/>
            </w:pPr>
            <w:r/>
            <w:r>
              <w:rPr>
                <w:rFonts w:ascii="仿宋_GB2312" w:hAnsi="仿宋_GB2312" w:eastAsia="仿宋_GB2312"/>
                <w:b w:val="0"/>
                <w:color w:val="000000"/>
                <w:sz w:val="32"/>
              </w:rPr>
              <w:t>万吨双动挤压机</w:t>
            </w:r>
          </w:p>
        </w:tc>
        <w:tc>
          <w:tcPr>
            <w:tcW w:type="dxa" w:w="3118"/>
          </w:tcPr>
          <w:p>
            <w:pPr>
              <w:spacing w:lineRule="exact" w:line="600"/>
              <w:jc w:val="center"/>
            </w:pPr>
            <w:r/>
            <w:r>
              <w:rPr>
                <w:rFonts w:ascii="仿宋_GB2312" w:hAnsi="仿宋_GB2312" w:eastAsia="仿宋_GB2312"/>
                <w:b w:val="0"/>
                <w:color w:val="000000"/>
                <w:sz w:val="32"/>
              </w:rPr>
              <w:t>国际先进</w:t>
            </w:r>
          </w:p>
        </w:tc>
        <w:tc>
          <w:tcPr>
            <w:tcW w:type="dxa" w:w="3118"/>
          </w:tcPr>
          <w:p>
            <w:pPr>
              <w:spacing w:lineRule="exact" w:line="600"/>
              <w:jc w:val="center"/>
            </w:pPr>
            <w:r/>
            <w:r>
              <w:rPr>
                <w:rFonts w:ascii="仿宋_GB2312" w:hAnsi="仿宋_GB2312" w:eastAsia="仿宋_GB2312"/>
                <w:b w:val="0"/>
                <w:color w:val="000000"/>
                <w:sz w:val="32"/>
              </w:rPr>
              <w:t>国家科技进步一等奖</w:t>
            </w:r>
          </w:p>
        </w:tc>
      </w:tr>
      <w:tr>
        <w:tc>
          <w:tcPr>
            <w:tcW w:type="dxa" w:w="2835"/>
          </w:tcPr>
          <w:p>
            <w:pPr>
              <w:spacing w:lineRule="exact" w:line="600"/>
              <w:jc w:val="center"/>
            </w:pPr>
            <w:r/>
            <w:r>
              <w:rPr>
                <w:rFonts w:ascii="仿宋_GB2312" w:hAnsi="仿宋_GB2312" w:eastAsia="仿宋_GB2312"/>
                <w:b w:val="0"/>
                <w:color w:val="000000"/>
                <w:sz w:val="32"/>
              </w:rPr>
              <w:t>C919翼长桁技术</w:t>
            </w:r>
          </w:p>
        </w:tc>
        <w:tc>
          <w:tcPr>
            <w:tcW w:type="dxa" w:w="3118"/>
          </w:tcPr>
          <w:p>
            <w:pPr>
              <w:spacing w:lineRule="exact" w:line="600"/>
              <w:jc w:val="center"/>
            </w:pPr>
            <w:r/>
            <w:r>
              <w:rPr>
                <w:rFonts w:ascii="仿宋_GB2312" w:hAnsi="仿宋_GB2312" w:eastAsia="仿宋_GB2312"/>
                <w:b w:val="0"/>
                <w:color w:val="000000"/>
                <w:sz w:val="32"/>
              </w:rPr>
              <w:t>核心突破</w:t>
            </w:r>
          </w:p>
        </w:tc>
        <w:tc>
          <w:tcPr>
            <w:tcW w:type="dxa" w:w="3118"/>
          </w:tcPr>
          <w:p>
            <w:pPr>
              <w:spacing w:lineRule="exact" w:line="600"/>
              <w:jc w:val="center"/>
            </w:pPr>
            <w:r/>
            <w:r>
              <w:rPr>
                <w:rFonts w:ascii="仿宋_GB2312" w:hAnsi="仿宋_GB2312" w:eastAsia="仿宋_GB2312"/>
                <w:b w:val="0"/>
                <w:color w:val="000000"/>
                <w:sz w:val="32"/>
              </w:rPr>
              <w:t>商飞认证</w:t>
            </w:r>
          </w:p>
        </w:tc>
      </w:tr>
      <w:tr>
        <w:tc>
          <w:tcPr>
            <w:tcW w:type="dxa" w:w="2835"/>
          </w:tcPr>
          <w:p>
            <w:pPr>
              <w:spacing w:lineRule="exact" w:line="600"/>
              <w:jc w:val="center"/>
            </w:pPr>
            <w:r/>
            <w:r>
              <w:rPr>
                <w:rFonts w:ascii="仿宋_GB2312" w:hAnsi="仿宋_GB2312" w:eastAsia="仿宋_GB2312"/>
                <w:b w:val="0"/>
                <w:color w:val="000000"/>
                <w:sz w:val="32"/>
              </w:rPr>
              <w:t>铝液短流程技术</w:t>
            </w:r>
          </w:p>
        </w:tc>
        <w:tc>
          <w:tcPr>
            <w:tcW w:type="dxa" w:w="3118"/>
          </w:tcPr>
          <w:p>
            <w:pPr>
              <w:spacing w:lineRule="exact" w:line="600"/>
              <w:jc w:val="center"/>
            </w:pPr>
            <w:r/>
            <w:r>
              <w:rPr>
                <w:rFonts w:ascii="仿宋_GB2312" w:hAnsi="仿宋_GB2312" w:eastAsia="仿宋_GB2312"/>
                <w:b w:val="0"/>
                <w:color w:val="000000"/>
                <w:sz w:val="32"/>
              </w:rPr>
              <w:t>行业标杆</w:t>
            </w:r>
          </w:p>
        </w:tc>
        <w:tc>
          <w:tcPr>
            <w:tcW w:type="dxa" w:w="3118"/>
          </w:tcPr>
          <w:p>
            <w:pPr>
              <w:spacing w:lineRule="exact" w:line="600"/>
              <w:jc w:val="center"/>
            </w:pPr>
            <w:r/>
            <w:r>
              <w:rPr>
                <w:rFonts w:ascii="仿宋_GB2312" w:hAnsi="仿宋_GB2312" w:eastAsia="仿宋_GB2312"/>
                <w:b w:val="0"/>
                <w:color w:val="000000"/>
                <w:sz w:val="32"/>
              </w:rPr>
              <w:t>国家支撑计划</w:t>
            </w:r>
          </w:p>
        </w:tc>
      </w:tr>
      <w:tr>
        <w:tc>
          <w:tcPr>
            <w:tcW w:type="dxa" w:w="2835"/>
          </w:tcPr>
          <w:p>
            <w:pPr>
              <w:spacing w:lineRule="exact" w:line="600"/>
              <w:jc w:val="center"/>
            </w:pPr>
            <w:r/>
            <w:r>
              <w:rPr>
                <w:rFonts w:ascii="仿宋_GB2312" w:hAnsi="仿宋_GB2312" w:eastAsia="仿宋_GB2312"/>
                <w:b w:val="0"/>
                <w:color w:val="000000"/>
                <w:sz w:val="32"/>
              </w:rPr>
              <w:t>航空厚板轧制</w:t>
            </w:r>
          </w:p>
        </w:tc>
        <w:tc>
          <w:tcPr>
            <w:tcW w:type="dxa" w:w="3118"/>
          </w:tcPr>
          <w:p>
            <w:pPr>
              <w:spacing w:lineRule="exact" w:line="600"/>
              <w:jc w:val="center"/>
            </w:pPr>
            <w:r/>
            <w:r>
              <w:rPr>
                <w:rFonts w:ascii="仿宋_GB2312" w:hAnsi="仿宋_GB2312" w:eastAsia="仿宋_GB2312"/>
                <w:b w:val="0"/>
                <w:color w:val="000000"/>
                <w:sz w:val="32"/>
              </w:rPr>
              <w:t>零误差级</w:t>
            </w:r>
          </w:p>
        </w:tc>
        <w:tc>
          <w:tcPr>
            <w:tcW w:type="dxa" w:w="3118"/>
          </w:tcPr>
          <w:p>
            <w:pPr>
              <w:spacing w:lineRule="exact" w:line="600"/>
              <w:jc w:val="center"/>
            </w:pPr>
            <w:r/>
            <w:r>
              <w:rPr>
                <w:rFonts w:ascii="仿宋_GB2312" w:hAnsi="仿宋_GB2312" w:eastAsia="仿宋_GB2312"/>
                <w:b w:val="0"/>
                <w:color w:val="000000"/>
                <w:sz w:val="32"/>
              </w:rPr>
              <w:t>南山铝业</w:t>
            </w:r>
          </w:p>
        </w:tc>
      </w:tr>
    </w:tbl>
    <w:p>
      <w:pPr>
        <w:spacing w:lineRule="exact" w:line="600" w:before="120" w:after="120"/>
        <w:ind w:firstLine="420"/>
        <w:jc w:val="left"/>
      </w:pPr>
      <w:r>
        <w:rPr>
          <w:rFonts w:ascii="楷体_GB2312" w:hAnsi="楷体_GB2312" w:eastAsia="楷体_GB2312"/>
          <w:b w:val="0"/>
          <w:color w:val="000000"/>
          <w:sz w:val="32"/>
        </w:rPr>
        <w:t>（二）创新平台</w:t>
      </w:r>
    </w:p>
    <w:p>
      <w:pPr>
        <w:spacing w:lineRule="exact" w:line="600" w:before="0" w:after="0"/>
        <w:ind w:firstLine="420"/>
        <w:jc w:val="both"/>
      </w:pPr>
      <w:r>
        <w:rPr>
          <w:rFonts w:ascii="仿宋_GB2312" w:hAnsi="仿宋_GB2312" w:eastAsia="仿宋_GB2312"/>
          <w:b w:val="0"/>
          <w:color w:val="000000"/>
          <w:sz w:val="32"/>
        </w:rPr>
        <w:t>集群依托多层次平台攻关深加工技术。南山铝业设国家级企业技术中心、省级高端铝合金材料制造业创新中心；2019年与中国商飞上飞院共建「民机铝合金材料联合研究中心」，目标民机铝材完全国产化。丛林铝业拥有博士后科研工作站、山东省唯一的工业铝型材工程技术研究中心，与国内外十余家科研院所产学研合作，授权专利30余项（集团层面100余项）。平台支撑深加工从「跟跑」向「并跑、领跑」跃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平台</w:t>
            </w:r>
          </w:p>
        </w:tc>
        <w:tc>
          <w:tcPr>
            <w:tcW w:type="dxa" w:w="3118"/>
          </w:tcPr>
          <w:p>
            <w:pPr>
              <w:spacing w:lineRule="exact" w:line="600"/>
              <w:jc w:val="center"/>
            </w:pPr>
            <w:r/>
            <w:r>
              <w:rPr>
                <w:rFonts w:ascii="黑体" w:hAnsi="黑体" w:eastAsia="黑体"/>
                <w:b/>
                <w:color w:val="000000"/>
                <w:sz w:val="32"/>
              </w:rPr>
              <w:t>依托</w:t>
            </w:r>
          </w:p>
        </w:tc>
        <w:tc>
          <w:tcPr>
            <w:tcW w:type="dxa" w:w="3118"/>
          </w:tcPr>
          <w:p>
            <w:pPr>
              <w:spacing w:lineRule="exact" w:line="600"/>
              <w:jc w:val="center"/>
            </w:pPr>
            <w:r/>
            <w:r>
              <w:rPr>
                <w:rFonts w:ascii="黑体" w:hAnsi="黑体" w:eastAsia="黑体"/>
                <w:b/>
                <w:color w:val="000000"/>
                <w:sz w:val="32"/>
              </w:rPr>
              <w:t>功能</w:t>
            </w:r>
          </w:p>
        </w:tc>
      </w:tr>
      <w:tr>
        <w:tc>
          <w:tcPr>
            <w:tcW w:type="dxa" w:w="2835"/>
          </w:tcPr>
          <w:p>
            <w:pPr>
              <w:spacing w:lineRule="exact" w:line="600"/>
              <w:jc w:val="center"/>
            </w:pPr>
            <w:r/>
            <w:r>
              <w:rPr>
                <w:rFonts w:ascii="仿宋_GB2312" w:hAnsi="仿宋_GB2312" w:eastAsia="仿宋_GB2312"/>
                <w:b w:val="0"/>
                <w:color w:val="000000"/>
                <w:sz w:val="32"/>
              </w:rPr>
              <w:t>国家级企业技术中心</w:t>
            </w:r>
          </w:p>
        </w:tc>
        <w:tc>
          <w:tcPr>
            <w:tcW w:type="dxa" w:w="3118"/>
          </w:tcPr>
          <w:p>
            <w:pPr>
              <w:spacing w:lineRule="exact" w:line="600"/>
              <w:jc w:val="center"/>
            </w:pPr>
            <w:r/>
            <w:r>
              <w:rPr>
                <w:rFonts w:ascii="仿宋_GB2312" w:hAnsi="仿宋_GB2312" w:eastAsia="仿宋_GB2312"/>
                <w:b w:val="0"/>
                <w:color w:val="000000"/>
                <w:sz w:val="32"/>
              </w:rPr>
              <w:t>南山铝业</w:t>
            </w:r>
          </w:p>
        </w:tc>
        <w:tc>
          <w:tcPr>
            <w:tcW w:type="dxa" w:w="3118"/>
          </w:tcPr>
          <w:p>
            <w:pPr>
              <w:spacing w:lineRule="exact" w:line="600"/>
              <w:jc w:val="center"/>
            </w:pPr>
            <w:r/>
            <w:r>
              <w:rPr>
                <w:rFonts w:ascii="仿宋_GB2312" w:hAnsi="仿宋_GB2312" w:eastAsia="仿宋_GB2312"/>
                <w:b w:val="0"/>
                <w:color w:val="000000"/>
                <w:sz w:val="32"/>
              </w:rPr>
              <w:t>研发</w:t>
            </w:r>
          </w:p>
        </w:tc>
      </w:tr>
      <w:tr>
        <w:tc>
          <w:tcPr>
            <w:tcW w:type="dxa" w:w="2835"/>
          </w:tcPr>
          <w:p>
            <w:pPr>
              <w:spacing w:lineRule="exact" w:line="600"/>
              <w:jc w:val="center"/>
            </w:pPr>
            <w:r/>
            <w:r>
              <w:rPr>
                <w:rFonts w:ascii="仿宋_GB2312" w:hAnsi="仿宋_GB2312" w:eastAsia="仿宋_GB2312"/>
                <w:b w:val="0"/>
                <w:color w:val="000000"/>
                <w:sz w:val="32"/>
              </w:rPr>
              <w:t>民机材料联合研究中心</w:t>
            </w:r>
          </w:p>
        </w:tc>
        <w:tc>
          <w:tcPr>
            <w:tcW w:type="dxa" w:w="3118"/>
          </w:tcPr>
          <w:p>
            <w:pPr>
              <w:spacing w:lineRule="exact" w:line="600"/>
              <w:jc w:val="center"/>
            </w:pPr>
            <w:r/>
            <w:r>
              <w:rPr>
                <w:rFonts w:ascii="仿宋_GB2312" w:hAnsi="仿宋_GB2312" w:eastAsia="仿宋_GB2312"/>
                <w:b w:val="0"/>
                <w:color w:val="000000"/>
                <w:sz w:val="32"/>
              </w:rPr>
              <w:t>南山+商飞</w:t>
            </w:r>
          </w:p>
        </w:tc>
        <w:tc>
          <w:tcPr>
            <w:tcW w:type="dxa" w:w="3118"/>
          </w:tcPr>
          <w:p>
            <w:pPr>
              <w:spacing w:lineRule="exact" w:line="600"/>
              <w:jc w:val="center"/>
            </w:pPr>
            <w:r/>
            <w:r>
              <w:rPr>
                <w:rFonts w:ascii="仿宋_GB2312" w:hAnsi="仿宋_GB2312" w:eastAsia="仿宋_GB2312"/>
                <w:b w:val="0"/>
                <w:color w:val="000000"/>
                <w:sz w:val="32"/>
              </w:rPr>
              <w:t>航空材</w:t>
            </w:r>
          </w:p>
        </w:tc>
      </w:tr>
      <w:tr>
        <w:tc>
          <w:tcPr>
            <w:tcW w:type="dxa" w:w="2835"/>
          </w:tcPr>
          <w:p>
            <w:pPr>
              <w:spacing w:lineRule="exact" w:line="600"/>
              <w:jc w:val="center"/>
            </w:pPr>
            <w:r/>
            <w:r>
              <w:rPr>
                <w:rFonts w:ascii="仿宋_GB2312" w:hAnsi="仿宋_GB2312" w:eastAsia="仿宋_GB2312"/>
                <w:b w:val="0"/>
                <w:color w:val="000000"/>
                <w:sz w:val="32"/>
              </w:rPr>
              <w:t>工业铝型材工程中心</w:t>
            </w:r>
          </w:p>
        </w:tc>
        <w:tc>
          <w:tcPr>
            <w:tcW w:type="dxa" w:w="3118"/>
          </w:tcPr>
          <w:p>
            <w:pPr>
              <w:spacing w:lineRule="exact" w:line="600"/>
              <w:jc w:val="center"/>
            </w:pPr>
            <w:r/>
            <w:r>
              <w:rPr>
                <w:rFonts w:ascii="仿宋_GB2312" w:hAnsi="仿宋_GB2312" w:eastAsia="仿宋_GB2312"/>
                <w:b w:val="0"/>
                <w:color w:val="000000"/>
                <w:sz w:val="32"/>
              </w:rPr>
              <w:t>丛林铝业</w:t>
            </w:r>
          </w:p>
        </w:tc>
        <w:tc>
          <w:tcPr>
            <w:tcW w:type="dxa" w:w="3118"/>
          </w:tcPr>
          <w:p>
            <w:pPr>
              <w:spacing w:lineRule="exact" w:line="600"/>
              <w:jc w:val="center"/>
            </w:pPr>
            <w:r/>
            <w:r>
              <w:rPr>
                <w:rFonts w:ascii="仿宋_GB2312" w:hAnsi="仿宋_GB2312" w:eastAsia="仿宋_GB2312"/>
                <w:b w:val="0"/>
                <w:color w:val="000000"/>
                <w:sz w:val="32"/>
              </w:rPr>
              <w:t>省级唯一</w:t>
            </w:r>
          </w:p>
        </w:tc>
      </w:tr>
      <w:tr>
        <w:tc>
          <w:tcPr>
            <w:tcW w:type="dxa" w:w="2835"/>
          </w:tcPr>
          <w:p>
            <w:pPr>
              <w:spacing w:lineRule="exact" w:line="600"/>
              <w:jc w:val="center"/>
            </w:pPr>
            <w:r/>
            <w:r>
              <w:rPr>
                <w:rFonts w:ascii="仿宋_GB2312" w:hAnsi="仿宋_GB2312" w:eastAsia="仿宋_GB2312"/>
                <w:b w:val="0"/>
                <w:color w:val="000000"/>
                <w:sz w:val="32"/>
              </w:rPr>
              <w:t>博士后工作站</w:t>
            </w:r>
          </w:p>
        </w:tc>
        <w:tc>
          <w:tcPr>
            <w:tcW w:type="dxa" w:w="3118"/>
          </w:tcPr>
          <w:p>
            <w:pPr>
              <w:spacing w:lineRule="exact" w:line="600"/>
              <w:jc w:val="center"/>
            </w:pPr>
            <w:r/>
            <w:r>
              <w:rPr>
                <w:rFonts w:ascii="仿宋_GB2312" w:hAnsi="仿宋_GB2312" w:eastAsia="仿宋_GB2312"/>
                <w:b w:val="0"/>
                <w:color w:val="000000"/>
                <w:sz w:val="32"/>
              </w:rPr>
              <w:t>丛林铝业</w:t>
            </w:r>
          </w:p>
        </w:tc>
        <w:tc>
          <w:tcPr>
            <w:tcW w:type="dxa" w:w="3118"/>
          </w:tcPr>
          <w:p>
            <w:pPr>
              <w:spacing w:lineRule="exact" w:line="600"/>
              <w:jc w:val="center"/>
            </w:pPr>
            <w:r/>
            <w:r>
              <w:rPr>
                <w:rFonts w:ascii="仿宋_GB2312" w:hAnsi="仿宋_GB2312" w:eastAsia="仿宋_GB2312"/>
                <w:b w:val="0"/>
                <w:color w:val="000000"/>
                <w:sz w:val="32"/>
              </w:rPr>
              <w:t>产学研</w:t>
            </w:r>
          </w:p>
        </w:tc>
      </w:tr>
    </w:tbl>
    <w:p>
      <w:pPr>
        <w:spacing w:lineRule="exact" w:line="600" w:before="120" w:after="120"/>
        <w:ind w:firstLine="420"/>
        <w:jc w:val="left"/>
      </w:pPr>
      <w:r>
        <w:rPr>
          <w:rFonts w:ascii="楷体_GB2312" w:hAnsi="楷体_GB2312" w:eastAsia="楷体_GB2312"/>
          <w:b w:val="0"/>
          <w:color w:val="000000"/>
          <w:sz w:val="32"/>
        </w:rPr>
        <w:t>（三）数智化加工</w:t>
      </w:r>
    </w:p>
    <w:p>
      <w:pPr>
        <w:spacing w:lineRule="exact" w:line="600" w:before="0" w:after="0"/>
        <w:ind w:firstLine="420"/>
        <w:jc w:val="both"/>
      </w:pPr>
      <w:r>
        <w:rPr>
          <w:rFonts w:ascii="仿宋_GB2312" w:hAnsi="仿宋_GB2312" w:eastAsia="仿宋_GB2312"/>
          <w:b w:val="0"/>
          <w:color w:val="000000"/>
          <w:sz w:val="32"/>
        </w:rPr>
        <w:t>深加工环节加速数智化。集群187家重点中小企业中35家已启动数字化转型，和义机械智能车间质检综合检出率97%、精度0.1毫米；依托华为一体一园与烟台数字化转型试点专项资金，推广5G、人工智能、物联网于加工与检测。南山、丛林均推进MES/智能产线，提升挤压—轧制—焊接全过程良率与一致性，降低对熟练工人的依赖。</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数智指标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重点中小企业</w:t>
            </w:r>
          </w:p>
        </w:tc>
        <w:tc>
          <w:tcPr>
            <w:tcW w:type="dxa" w:w="3118"/>
          </w:tcPr>
          <w:p>
            <w:pPr>
              <w:spacing w:lineRule="exact" w:line="600"/>
              <w:jc w:val="center"/>
            </w:pPr>
            <w:r/>
            <w:r>
              <w:rPr>
                <w:rFonts w:ascii="仿宋_GB2312" w:hAnsi="仿宋_GB2312" w:eastAsia="仿宋_GB2312"/>
                <w:b w:val="0"/>
                <w:color w:val="000000"/>
                <w:sz w:val="32"/>
              </w:rPr>
              <w:t>187家</w:t>
            </w:r>
          </w:p>
        </w:tc>
        <w:tc>
          <w:tcPr>
            <w:tcW w:type="dxa" w:w="3118"/>
          </w:tcPr>
          <w:p>
            <w:pPr>
              <w:spacing w:lineRule="exact" w:line="600"/>
              <w:jc w:val="center"/>
            </w:pPr>
            <w:r/>
            <w:r>
              <w:rPr>
                <w:rFonts w:ascii="仿宋_GB2312" w:hAnsi="仿宋_GB2312" w:eastAsia="仿宋_GB2312"/>
                <w:b w:val="0"/>
                <w:color w:val="000000"/>
                <w:sz w:val="32"/>
              </w:rPr>
              <w:t>新华网</w:t>
            </w:r>
          </w:p>
        </w:tc>
      </w:tr>
      <w:tr>
        <w:tc>
          <w:tcPr>
            <w:tcW w:type="dxa" w:w="2835"/>
          </w:tcPr>
          <w:p>
            <w:pPr>
              <w:spacing w:lineRule="exact" w:line="600"/>
              <w:jc w:val="center"/>
            </w:pPr>
            <w:r/>
            <w:r>
              <w:rPr>
                <w:rFonts w:ascii="仿宋_GB2312" w:hAnsi="仿宋_GB2312" w:eastAsia="仿宋_GB2312"/>
                <w:b w:val="0"/>
                <w:color w:val="000000"/>
                <w:sz w:val="32"/>
              </w:rPr>
              <w:t>已数字化</w:t>
            </w:r>
          </w:p>
        </w:tc>
        <w:tc>
          <w:tcPr>
            <w:tcW w:type="dxa" w:w="3118"/>
          </w:tcPr>
          <w:p>
            <w:pPr>
              <w:spacing w:lineRule="exact" w:line="600"/>
              <w:jc w:val="center"/>
            </w:pPr>
            <w:r/>
            <w:r>
              <w:rPr>
                <w:rFonts w:ascii="仿宋_GB2312" w:hAnsi="仿宋_GB2312" w:eastAsia="仿宋_GB2312"/>
                <w:b w:val="0"/>
                <w:color w:val="000000"/>
                <w:sz w:val="32"/>
              </w:rPr>
              <w:t>35家</w:t>
            </w:r>
          </w:p>
        </w:tc>
        <w:tc>
          <w:tcPr>
            <w:tcW w:type="dxa" w:w="3118"/>
          </w:tcPr>
          <w:p>
            <w:pPr>
              <w:spacing w:lineRule="exact" w:line="600"/>
              <w:jc w:val="center"/>
            </w:pPr>
            <w:r/>
            <w:r>
              <w:rPr>
                <w:rFonts w:ascii="仿宋_GB2312" w:hAnsi="仿宋_GB2312" w:eastAsia="仿宋_GB2312"/>
                <w:b w:val="0"/>
                <w:color w:val="000000"/>
                <w:sz w:val="32"/>
              </w:rPr>
              <w:t>龙口工信</w:t>
            </w:r>
          </w:p>
        </w:tc>
      </w:tr>
      <w:tr>
        <w:tc>
          <w:tcPr>
            <w:tcW w:type="dxa" w:w="2835"/>
          </w:tcPr>
          <w:p>
            <w:pPr>
              <w:spacing w:lineRule="exact" w:line="600"/>
              <w:jc w:val="center"/>
            </w:pPr>
            <w:r/>
            <w:r>
              <w:rPr>
                <w:rFonts w:ascii="仿宋_GB2312" w:hAnsi="仿宋_GB2312" w:eastAsia="仿宋_GB2312"/>
                <w:b w:val="0"/>
                <w:color w:val="000000"/>
                <w:sz w:val="32"/>
              </w:rPr>
              <w:t>质检检出率</w:t>
            </w:r>
          </w:p>
        </w:tc>
        <w:tc>
          <w:tcPr>
            <w:tcW w:type="dxa" w:w="3118"/>
          </w:tcPr>
          <w:p>
            <w:pPr>
              <w:spacing w:lineRule="exact" w:line="600"/>
              <w:jc w:val="center"/>
            </w:pPr>
            <w:r/>
            <w:r>
              <w:rPr>
                <w:rFonts w:ascii="仿宋_GB2312" w:hAnsi="仿宋_GB2312" w:eastAsia="仿宋_GB2312"/>
                <w:b w:val="0"/>
                <w:color w:val="000000"/>
                <w:sz w:val="32"/>
              </w:rPr>
              <w:t>97%</w:t>
            </w:r>
          </w:p>
        </w:tc>
        <w:tc>
          <w:tcPr>
            <w:tcW w:type="dxa" w:w="3118"/>
          </w:tcPr>
          <w:p>
            <w:pPr>
              <w:spacing w:lineRule="exact" w:line="600"/>
              <w:jc w:val="center"/>
            </w:pPr>
            <w:r/>
            <w:r>
              <w:rPr>
                <w:rFonts w:ascii="仿宋_GB2312" w:hAnsi="仿宋_GB2312" w:eastAsia="仿宋_GB2312"/>
                <w:b w:val="0"/>
                <w:color w:val="000000"/>
                <w:sz w:val="32"/>
              </w:rPr>
              <w:t>和义机械</w:t>
            </w:r>
          </w:p>
        </w:tc>
      </w:tr>
      <w:tr>
        <w:tc>
          <w:tcPr>
            <w:tcW w:type="dxa" w:w="2835"/>
          </w:tcPr>
          <w:p>
            <w:pPr>
              <w:spacing w:lineRule="exact" w:line="600"/>
              <w:jc w:val="center"/>
            </w:pPr>
            <w:r/>
            <w:r>
              <w:rPr>
                <w:rFonts w:ascii="仿宋_GB2312" w:hAnsi="仿宋_GB2312" w:eastAsia="仿宋_GB2312"/>
                <w:b w:val="0"/>
                <w:color w:val="000000"/>
                <w:sz w:val="32"/>
              </w:rPr>
              <w:t>检测精度</w:t>
            </w:r>
          </w:p>
        </w:tc>
        <w:tc>
          <w:tcPr>
            <w:tcW w:type="dxa" w:w="3118"/>
          </w:tcPr>
          <w:p>
            <w:pPr>
              <w:spacing w:lineRule="exact" w:line="600"/>
              <w:jc w:val="center"/>
            </w:pPr>
            <w:r/>
            <w:r>
              <w:rPr>
                <w:rFonts w:ascii="仿宋_GB2312" w:hAnsi="仿宋_GB2312" w:eastAsia="仿宋_GB2312"/>
                <w:b w:val="0"/>
                <w:color w:val="000000"/>
                <w:sz w:val="32"/>
              </w:rPr>
              <w:t>0.1毫米</w:t>
            </w:r>
          </w:p>
        </w:tc>
        <w:tc>
          <w:tcPr>
            <w:tcW w:type="dxa" w:w="3118"/>
          </w:tcPr>
          <w:p>
            <w:pPr>
              <w:spacing w:lineRule="exact" w:line="600"/>
              <w:jc w:val="center"/>
            </w:pPr>
            <w:r/>
            <w:r>
              <w:rPr>
                <w:rFonts w:ascii="仿宋_GB2312" w:hAnsi="仿宋_GB2312" w:eastAsia="仿宋_GB2312"/>
                <w:b w:val="0"/>
                <w:color w:val="000000"/>
                <w:sz w:val="32"/>
              </w:rPr>
              <w:t>和义机械</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（一）加工成本结构</w:t>
      </w:r>
    </w:p>
    <w:p>
      <w:pPr>
        <w:spacing w:lineRule="exact" w:line="600" w:before="0" w:after="0"/>
        <w:ind w:firstLine="420"/>
        <w:jc w:val="both"/>
      </w:pPr>
      <w:r>
        <w:rPr>
          <w:rFonts w:ascii="仿宋_GB2312" w:hAnsi="仿宋_GB2312" w:eastAsia="仿宋_GB2312"/>
          <w:b w:val="0"/>
          <w:color w:val="000000"/>
          <w:sz w:val="32"/>
        </w:rPr>
        <w:t>深加工成本以铝锭（铝液）为主，辅以能源、合金、人工与折旧。2023年原铝均价18690元/吨（-6%）、氧化铝国内均价2897元/吨（-2%），原料端成本下行；但火电成本高企与减碳约束使电解铝环节承压。南山通过转让33.6万吨电解铝指标获处置收益7.55亿元，体现上游成本优化对整体盈利的贡献。本地铝液直供减少重熔能耗，是深加工环节重要的隐性成本优势。</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成本项</w:t>
            </w:r>
          </w:p>
        </w:tc>
        <w:tc>
          <w:tcPr>
            <w:tcW w:type="dxa" w:w="3118"/>
          </w:tcPr>
          <w:p>
            <w:pPr>
              <w:spacing w:lineRule="exact" w:line="600"/>
              <w:jc w:val="center"/>
            </w:pPr>
            <w:r/>
            <w:r>
              <w:rPr>
                <w:rFonts w:ascii="黑体" w:hAnsi="黑体" w:eastAsia="黑体"/>
                <w:b/>
                <w:color w:val="000000"/>
                <w:sz w:val="32"/>
              </w:rPr>
              <w:t>2023数值</w:t>
            </w:r>
          </w:p>
        </w:tc>
        <w:tc>
          <w:tcPr>
            <w:tcW w:type="dxa" w:w="3118"/>
          </w:tcPr>
          <w:p>
            <w:pPr>
              <w:spacing w:lineRule="exact" w:line="600"/>
              <w:jc w:val="center"/>
            </w:pPr>
            <w:r/>
            <w:r>
              <w:rPr>
                <w:rFonts w:ascii="黑体" w:hAnsi="黑体" w:eastAsia="黑体"/>
                <w:b/>
                <w:color w:val="000000"/>
                <w:sz w:val="32"/>
              </w:rPr>
              <w:t>影响</w:t>
            </w:r>
          </w:p>
        </w:tc>
      </w:tr>
      <w:tr>
        <w:tc>
          <w:tcPr>
            <w:tcW w:type="dxa" w:w="2835"/>
          </w:tcPr>
          <w:p>
            <w:pPr>
              <w:spacing w:lineRule="exact" w:line="600"/>
              <w:jc w:val="center"/>
            </w:pPr>
            <w:r/>
            <w:r>
              <w:rPr>
                <w:rFonts w:ascii="仿宋_GB2312" w:hAnsi="仿宋_GB2312" w:eastAsia="仿宋_GB2312"/>
                <w:b w:val="0"/>
                <w:color w:val="000000"/>
                <w:sz w:val="32"/>
              </w:rPr>
              <w:t>原铝均价</w:t>
            </w:r>
          </w:p>
        </w:tc>
        <w:tc>
          <w:tcPr>
            <w:tcW w:type="dxa" w:w="3118"/>
          </w:tcPr>
          <w:p>
            <w:pPr>
              <w:spacing w:lineRule="exact" w:line="600"/>
              <w:jc w:val="center"/>
            </w:pPr>
            <w:r/>
            <w:r>
              <w:rPr>
                <w:rFonts w:ascii="仿宋_GB2312" w:hAnsi="仿宋_GB2312" w:eastAsia="仿宋_GB2312"/>
                <w:b w:val="0"/>
                <w:color w:val="000000"/>
                <w:sz w:val="32"/>
              </w:rPr>
              <w:t>18690元/吨</w:t>
            </w:r>
          </w:p>
        </w:tc>
        <w:tc>
          <w:tcPr>
            <w:tcW w:type="dxa" w:w="3118"/>
          </w:tcPr>
          <w:p>
            <w:pPr>
              <w:spacing w:lineRule="exact" w:line="600"/>
              <w:jc w:val="center"/>
            </w:pPr>
            <w:r/>
            <w:r>
              <w:rPr>
                <w:rFonts w:ascii="仿宋_GB2312" w:hAnsi="仿宋_GB2312" w:eastAsia="仿宋_GB2312"/>
                <w:b w:val="0"/>
                <w:color w:val="000000"/>
                <w:sz w:val="32"/>
              </w:rPr>
              <w:t>-6%</w:t>
            </w:r>
          </w:p>
        </w:tc>
      </w:tr>
      <w:tr>
        <w:tc>
          <w:tcPr>
            <w:tcW w:type="dxa" w:w="2835"/>
          </w:tcPr>
          <w:p>
            <w:pPr>
              <w:spacing w:lineRule="exact" w:line="600"/>
              <w:jc w:val="center"/>
            </w:pPr>
            <w:r/>
            <w:r>
              <w:rPr>
                <w:rFonts w:ascii="仿宋_GB2312" w:hAnsi="仿宋_GB2312" w:eastAsia="仿宋_GB2312"/>
                <w:b w:val="0"/>
                <w:color w:val="000000"/>
                <w:sz w:val="32"/>
              </w:rPr>
              <w:t>氧化铝均价</w:t>
            </w:r>
          </w:p>
        </w:tc>
        <w:tc>
          <w:tcPr>
            <w:tcW w:type="dxa" w:w="3118"/>
          </w:tcPr>
          <w:p>
            <w:pPr>
              <w:spacing w:lineRule="exact" w:line="600"/>
              <w:jc w:val="center"/>
            </w:pPr>
            <w:r/>
            <w:r>
              <w:rPr>
                <w:rFonts w:ascii="仿宋_GB2312" w:hAnsi="仿宋_GB2312" w:eastAsia="仿宋_GB2312"/>
                <w:b w:val="0"/>
                <w:color w:val="000000"/>
                <w:sz w:val="32"/>
              </w:rPr>
              <w:t>2897元/吨</w:t>
            </w:r>
          </w:p>
        </w:tc>
        <w:tc>
          <w:tcPr>
            <w:tcW w:type="dxa" w:w="3118"/>
          </w:tcPr>
          <w:p>
            <w:pPr>
              <w:spacing w:lineRule="exact" w:line="600"/>
              <w:jc w:val="center"/>
            </w:pPr>
            <w:r/>
            <w:r>
              <w:rPr>
                <w:rFonts w:ascii="仿宋_GB2312" w:hAnsi="仿宋_GB2312" w:eastAsia="仿宋_GB2312"/>
                <w:b w:val="0"/>
                <w:color w:val="000000"/>
                <w:sz w:val="32"/>
              </w:rPr>
              <w:t>-2%</w:t>
            </w:r>
          </w:p>
        </w:tc>
      </w:tr>
      <w:tr>
        <w:tc>
          <w:tcPr>
            <w:tcW w:type="dxa" w:w="2835"/>
          </w:tcPr>
          <w:p>
            <w:pPr>
              <w:spacing w:lineRule="exact" w:line="600"/>
              <w:jc w:val="center"/>
            </w:pPr>
            <w:r/>
            <w:r>
              <w:rPr>
                <w:rFonts w:ascii="仿宋_GB2312" w:hAnsi="仿宋_GB2312" w:eastAsia="仿宋_GB2312"/>
                <w:b w:val="0"/>
                <w:color w:val="000000"/>
                <w:sz w:val="32"/>
              </w:rPr>
              <w:t>电解铝指标收益</w:t>
            </w:r>
          </w:p>
        </w:tc>
        <w:tc>
          <w:tcPr>
            <w:tcW w:type="dxa" w:w="3118"/>
          </w:tcPr>
          <w:p>
            <w:pPr>
              <w:spacing w:lineRule="exact" w:line="600"/>
              <w:jc w:val="center"/>
            </w:pPr>
            <w:r/>
            <w:r>
              <w:rPr>
                <w:rFonts w:ascii="仿宋_GB2312" w:hAnsi="仿宋_GB2312" w:eastAsia="仿宋_GB2312"/>
                <w:b w:val="0"/>
                <w:color w:val="000000"/>
                <w:sz w:val="32"/>
              </w:rPr>
              <w:t>7.55亿元</w:t>
            </w:r>
          </w:p>
        </w:tc>
        <w:tc>
          <w:tcPr>
            <w:tcW w:type="dxa" w:w="3118"/>
          </w:tcPr>
          <w:p>
            <w:pPr>
              <w:spacing w:lineRule="exact" w:line="600"/>
              <w:jc w:val="center"/>
            </w:pPr>
            <w:r/>
            <w:r>
              <w:rPr>
                <w:rFonts w:ascii="仿宋_GB2312" w:hAnsi="仿宋_GB2312" w:eastAsia="仿宋_GB2312"/>
                <w:b w:val="0"/>
                <w:color w:val="000000"/>
                <w:sz w:val="32"/>
              </w:rPr>
              <w:t>优化</w:t>
            </w:r>
          </w:p>
        </w:tc>
      </w:tr>
      <w:tr>
        <w:tc>
          <w:tcPr>
            <w:tcW w:type="dxa" w:w="2835"/>
          </w:tcPr>
          <w:p>
            <w:pPr>
              <w:spacing w:lineRule="exact" w:line="600"/>
              <w:jc w:val="center"/>
            </w:pPr>
            <w:r/>
            <w:r>
              <w:rPr>
                <w:rFonts w:ascii="仿宋_GB2312" w:hAnsi="仿宋_GB2312" w:eastAsia="仿宋_GB2312"/>
                <w:b w:val="0"/>
                <w:color w:val="000000"/>
                <w:sz w:val="32"/>
              </w:rPr>
              <w:t>铝液直供</w:t>
            </w:r>
          </w:p>
        </w:tc>
        <w:tc>
          <w:tcPr>
            <w:tcW w:type="dxa" w:w="3118"/>
          </w:tcPr>
          <w:p>
            <w:pPr>
              <w:spacing w:lineRule="exact" w:line="600"/>
              <w:jc w:val="center"/>
            </w:pPr>
            <w:r/>
            <w:r>
              <w:rPr>
                <w:rFonts w:ascii="仿宋_GB2312" w:hAnsi="仿宋_GB2312" w:eastAsia="仿宋_GB2312"/>
                <w:b w:val="0"/>
                <w:color w:val="000000"/>
                <w:sz w:val="32"/>
              </w:rPr>
              <w:t>省重熔能耗</w:t>
            </w:r>
          </w:p>
        </w:tc>
        <w:tc>
          <w:tcPr>
            <w:tcW w:type="dxa" w:w="3118"/>
          </w:tcPr>
          <w:p>
            <w:pPr>
              <w:spacing w:lineRule="exact" w:line="600"/>
              <w:jc w:val="center"/>
            </w:pPr>
            <w:r/>
            <w:r>
              <w:rPr>
                <w:rFonts w:ascii="仿宋_GB2312" w:hAnsi="仿宋_GB2312" w:eastAsia="仿宋_GB2312"/>
                <w:b w:val="0"/>
                <w:color w:val="000000"/>
                <w:sz w:val="32"/>
              </w:rPr>
              <w:t>隐性优势</w:t>
            </w:r>
          </w:p>
        </w:tc>
      </w:tr>
    </w:tbl>
    <w:p>
      <w:pPr>
        <w:spacing w:lineRule="exact" w:line="600" w:before="120" w:after="120"/>
        <w:ind w:firstLine="420"/>
        <w:jc w:val="left"/>
      </w:pPr>
      <w:r>
        <w:rPr>
          <w:rFonts w:ascii="楷体_GB2312" w:hAnsi="楷体_GB2312" w:eastAsia="楷体_GB2312"/>
          <w:b w:val="0"/>
          <w:color w:val="000000"/>
          <w:sz w:val="32"/>
        </w:rPr>
        <w:t>（二）盈利质量</w:t>
      </w:r>
    </w:p>
    <w:p>
      <w:pPr>
        <w:spacing w:lineRule="exact" w:line="600" w:before="0" w:after="0"/>
        <w:ind w:firstLine="420"/>
        <w:jc w:val="both"/>
      </w:pPr>
      <w:r>
        <w:rPr>
          <w:rFonts w:ascii="仿宋_GB2312" w:hAnsi="仿宋_GB2312" w:eastAsia="仿宋_GB2312"/>
          <w:b w:val="0"/>
          <w:color w:val="000000"/>
          <w:sz w:val="32"/>
        </w:rPr>
        <w:t>南山铝业2023年整体毛利率结构：热轧板33.76%（历史新高）、冷轧板20.15%、印尼氧化铝25.24%；高端产品（汽车板、航空板、动力电池箔）销量占14%、毛利占约30%（同比+9pct）。深加工高端材毛利率显著高于传统材，验证「向深加工要利润」战略有效。公司资产负债率21.5%，研发投入12.73亿元，费用率可控，盈利质量稳健。</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盈利指标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热轧板毛利率</w:t>
            </w:r>
          </w:p>
        </w:tc>
        <w:tc>
          <w:tcPr>
            <w:tcW w:type="dxa" w:w="3118"/>
          </w:tcPr>
          <w:p>
            <w:pPr>
              <w:spacing w:lineRule="exact" w:line="600"/>
              <w:jc w:val="center"/>
            </w:pPr>
            <w:r/>
            <w:r>
              <w:rPr>
                <w:rFonts w:ascii="仿宋_GB2312" w:hAnsi="仿宋_GB2312" w:eastAsia="仿宋_GB2312"/>
                <w:b w:val="0"/>
                <w:color w:val="000000"/>
                <w:sz w:val="32"/>
              </w:rPr>
              <w:t>33.76%</w:t>
            </w:r>
          </w:p>
        </w:tc>
        <w:tc>
          <w:tcPr>
            <w:tcW w:type="dxa" w:w="3118"/>
          </w:tcPr>
          <w:p>
            <w:pPr>
              <w:spacing w:lineRule="exact" w:line="600"/>
              <w:jc w:val="center"/>
            </w:pPr>
            <w:r/>
            <w:r>
              <w:rPr>
                <w:rFonts w:ascii="仿宋_GB2312" w:hAnsi="仿宋_GB2312" w:eastAsia="仿宋_GB2312"/>
                <w:b w:val="0"/>
                <w:color w:val="000000"/>
                <w:sz w:val="32"/>
              </w:rPr>
              <w:t>新高</w:t>
            </w:r>
          </w:p>
        </w:tc>
      </w:tr>
      <w:tr>
        <w:tc>
          <w:tcPr>
            <w:tcW w:type="dxa" w:w="2835"/>
          </w:tcPr>
          <w:p>
            <w:pPr>
              <w:spacing w:lineRule="exact" w:line="600"/>
              <w:jc w:val="center"/>
            </w:pPr>
            <w:r/>
            <w:r>
              <w:rPr>
                <w:rFonts w:ascii="仿宋_GB2312" w:hAnsi="仿宋_GB2312" w:eastAsia="仿宋_GB2312"/>
                <w:b w:val="0"/>
                <w:color w:val="000000"/>
                <w:sz w:val="32"/>
              </w:rPr>
              <w:t>冷轧板毛利率</w:t>
            </w:r>
          </w:p>
        </w:tc>
        <w:tc>
          <w:tcPr>
            <w:tcW w:type="dxa" w:w="3118"/>
          </w:tcPr>
          <w:p>
            <w:pPr>
              <w:spacing w:lineRule="exact" w:line="600"/>
              <w:jc w:val="center"/>
            </w:pPr>
            <w:r/>
            <w:r>
              <w:rPr>
                <w:rFonts w:ascii="仿宋_GB2312" w:hAnsi="仿宋_GB2312" w:eastAsia="仿宋_GB2312"/>
                <w:b w:val="0"/>
                <w:color w:val="000000"/>
                <w:sz w:val="32"/>
              </w:rPr>
              <w:t>20.15%</w:t>
            </w:r>
          </w:p>
        </w:tc>
        <w:tc>
          <w:tcPr>
            <w:tcW w:type="dxa" w:w="3118"/>
          </w:tcPr>
          <w:p>
            <w:pPr>
              <w:spacing w:lineRule="exact" w:line="600"/>
              <w:jc w:val="center"/>
            </w:pPr>
            <w:r/>
            <w:r>
              <w:rPr>
                <w:rFonts w:ascii="仿宋_GB2312" w:hAnsi="仿宋_GB2312" w:eastAsia="仿宋_GB2312"/>
                <w:b w:val="0"/>
                <w:color w:val="000000"/>
                <w:sz w:val="32"/>
              </w:rPr>
              <w:t>环比-2.24pct</w:t>
            </w:r>
          </w:p>
        </w:tc>
      </w:tr>
      <w:tr>
        <w:tc>
          <w:tcPr>
            <w:tcW w:type="dxa" w:w="2835"/>
          </w:tcPr>
          <w:p>
            <w:pPr>
              <w:spacing w:lineRule="exact" w:line="600"/>
              <w:jc w:val="center"/>
            </w:pPr>
            <w:r/>
            <w:r>
              <w:rPr>
                <w:rFonts w:ascii="仿宋_GB2312" w:hAnsi="仿宋_GB2312" w:eastAsia="仿宋_GB2312"/>
                <w:b w:val="0"/>
                <w:color w:val="000000"/>
                <w:sz w:val="32"/>
              </w:rPr>
              <w:t>高端毛利占比</w:t>
            </w:r>
          </w:p>
        </w:tc>
        <w:tc>
          <w:tcPr>
            <w:tcW w:type="dxa" w:w="3118"/>
          </w:tcPr>
          <w:p>
            <w:pPr>
              <w:spacing w:lineRule="exact" w:line="600"/>
              <w:jc w:val="center"/>
            </w:pPr>
            <w:r/>
            <w:r>
              <w:rPr>
                <w:rFonts w:ascii="仿宋_GB2312" w:hAnsi="仿宋_GB2312" w:eastAsia="仿宋_GB2312"/>
                <w:b w:val="0"/>
                <w:color w:val="000000"/>
                <w:sz w:val="32"/>
              </w:rPr>
              <w:t>约30%</w:t>
            </w:r>
          </w:p>
        </w:tc>
        <w:tc>
          <w:tcPr>
            <w:tcW w:type="dxa" w:w="3118"/>
          </w:tcPr>
          <w:p>
            <w:pPr>
              <w:spacing w:lineRule="exact" w:line="600"/>
              <w:jc w:val="center"/>
            </w:pPr>
            <w:r/>
            <w:r>
              <w:rPr>
                <w:rFonts w:ascii="仿宋_GB2312" w:hAnsi="仿宋_GB2312" w:eastAsia="仿宋_GB2312"/>
                <w:b w:val="0"/>
                <w:color w:val="000000"/>
                <w:sz w:val="32"/>
              </w:rPr>
              <w:t>+9pct</w:t>
            </w:r>
          </w:p>
        </w:tc>
      </w:tr>
      <w:tr>
        <w:tc>
          <w:tcPr>
            <w:tcW w:type="dxa" w:w="2835"/>
          </w:tcPr>
          <w:p>
            <w:pPr>
              <w:spacing w:lineRule="exact" w:line="600"/>
              <w:jc w:val="center"/>
            </w:pPr>
            <w:r/>
            <w:r>
              <w:rPr>
                <w:rFonts w:ascii="仿宋_GB2312" w:hAnsi="仿宋_GB2312" w:eastAsia="仿宋_GB2312"/>
                <w:b w:val="0"/>
                <w:color w:val="000000"/>
                <w:sz w:val="32"/>
              </w:rPr>
              <w:t>资产负债率</w:t>
            </w:r>
          </w:p>
        </w:tc>
        <w:tc>
          <w:tcPr>
            <w:tcW w:type="dxa" w:w="3118"/>
          </w:tcPr>
          <w:p>
            <w:pPr>
              <w:spacing w:lineRule="exact" w:line="600"/>
              <w:jc w:val="center"/>
            </w:pPr>
            <w:r/>
            <w:r>
              <w:rPr>
                <w:rFonts w:ascii="仿宋_GB2312" w:hAnsi="仿宋_GB2312" w:eastAsia="仿宋_GB2312"/>
                <w:b w:val="0"/>
                <w:color w:val="000000"/>
                <w:sz w:val="32"/>
              </w:rPr>
              <w:t>21.5%</w:t>
            </w:r>
          </w:p>
        </w:tc>
        <w:tc>
          <w:tcPr>
            <w:tcW w:type="dxa" w:w="3118"/>
          </w:tcPr>
          <w:p>
            <w:pPr>
              <w:spacing w:lineRule="exact" w:line="600"/>
              <w:jc w:val="center"/>
            </w:pPr>
            <w:r/>
            <w:r>
              <w:rPr>
                <w:rFonts w:ascii="仿宋_GB2312" w:hAnsi="仿宋_GB2312" w:eastAsia="仿宋_GB2312"/>
                <w:b w:val="0"/>
                <w:color w:val="000000"/>
                <w:sz w:val="32"/>
              </w:rPr>
              <w:t>稳健</w:t>
            </w:r>
          </w:p>
        </w:tc>
      </w:tr>
      <w:tr>
        <w:tc>
          <w:tcPr>
            <w:tcW w:type="dxa" w:w="2835"/>
          </w:tcPr>
          <w:p>
            <w:pPr>
              <w:spacing w:lineRule="exact" w:line="600"/>
              <w:jc w:val="center"/>
            </w:pPr>
            <w:r/>
            <w:r>
              <w:rPr>
                <w:rFonts w:ascii="仿宋_GB2312" w:hAnsi="仿宋_GB2312" w:eastAsia="仿宋_GB2312"/>
                <w:b w:val="0"/>
                <w:color w:val="000000"/>
                <w:sz w:val="32"/>
              </w:rPr>
              <w:t>研发费用</w:t>
            </w:r>
          </w:p>
        </w:tc>
        <w:tc>
          <w:tcPr>
            <w:tcW w:type="dxa" w:w="3118"/>
          </w:tcPr>
          <w:p>
            <w:pPr>
              <w:spacing w:lineRule="exact" w:line="600"/>
              <w:jc w:val="center"/>
            </w:pPr>
            <w:r/>
            <w:r>
              <w:rPr>
                <w:rFonts w:ascii="仿宋_GB2312" w:hAnsi="仿宋_GB2312" w:eastAsia="仿宋_GB2312"/>
                <w:b w:val="0"/>
                <w:color w:val="000000"/>
                <w:sz w:val="32"/>
              </w:rPr>
              <w:t>12.73亿元</w:t>
            </w:r>
          </w:p>
        </w:tc>
        <w:tc>
          <w:tcPr>
            <w:tcW w:type="dxa" w:w="3118"/>
          </w:tcPr>
          <w:p>
            <w:pPr>
              <w:spacing w:lineRule="exact" w:line="600"/>
              <w:jc w:val="center"/>
            </w:pPr>
            <w:r/>
            <w:r>
              <w:rPr>
                <w:rFonts w:ascii="仿宋_GB2312" w:hAnsi="仿宋_GB2312" w:eastAsia="仿宋_GB2312"/>
                <w:b w:val="0"/>
                <w:color w:val="000000"/>
                <w:sz w:val="32"/>
              </w:rPr>
              <w:t>投入</w:t>
            </w:r>
          </w:p>
        </w:tc>
      </w:tr>
    </w:tbl>
    <w:p>
      <w:pPr>
        <w:spacing w:lineRule="exact" w:line="600" w:before="120" w:after="120"/>
        <w:ind w:firstLine="420"/>
        <w:jc w:val="left"/>
      </w:pPr>
      <w:r>
        <w:rPr>
          <w:rFonts w:ascii="楷体_GB2312" w:hAnsi="楷体_GB2312" w:eastAsia="楷体_GB2312"/>
          <w:b w:val="0"/>
          <w:color w:val="000000"/>
          <w:sz w:val="32"/>
        </w:rPr>
        <w:t>（三）要素与人才</w:t>
      </w:r>
    </w:p>
    <w:p>
      <w:pPr>
        <w:spacing w:lineRule="exact" w:line="600" w:before="0" w:after="0"/>
        <w:ind w:firstLine="420"/>
        <w:jc w:val="both"/>
      </w:pPr>
      <w:r>
        <w:rPr>
          <w:rFonts w:ascii="仿宋_GB2312" w:hAnsi="仿宋_GB2312" w:eastAsia="仿宋_GB2312"/>
          <w:b w:val="0"/>
          <w:color w:val="000000"/>
          <w:sz w:val="32"/>
        </w:rPr>
        <w:t>龙口建立政府引导、企业主体、金融支撑、社会补充的科技投入格局，对中华技能大奖等人才最高奖励30万元，设高端铝产业链专班与普惠中小企业服务中心。深加工企业技术工人（焊工、数控、检测）需求大，集群通过专班制服务与产学研合作保障人才供给，并依托烟台市专项支持智能制造与数字化转型。</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要素保障</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人才奖励</w:t>
            </w:r>
          </w:p>
        </w:tc>
        <w:tc>
          <w:tcPr>
            <w:tcW w:type="dxa" w:w="3402"/>
          </w:tcPr>
          <w:p>
            <w:pPr>
              <w:spacing w:lineRule="exact" w:line="600"/>
              <w:jc w:val="center"/>
            </w:pPr>
            <w:r/>
            <w:r>
              <w:rPr>
                <w:rFonts w:ascii="仿宋_GB2312" w:hAnsi="仿宋_GB2312" w:eastAsia="仿宋_GB2312"/>
                <w:b w:val="0"/>
                <w:color w:val="000000"/>
                <w:sz w:val="32"/>
              </w:rPr>
              <w:t>最高30万元</w:t>
            </w:r>
          </w:p>
        </w:tc>
        <w:tc>
          <w:tcPr>
            <w:tcW w:type="dxa" w:w="2835"/>
          </w:tcPr>
          <w:p>
            <w:pPr>
              <w:spacing w:lineRule="exact" w:line="600"/>
              <w:jc w:val="center"/>
            </w:pPr>
            <w:r/>
            <w:r>
              <w:rPr>
                <w:rFonts w:ascii="仿宋_GB2312" w:hAnsi="仿宋_GB2312" w:eastAsia="仿宋_GB2312"/>
                <w:b w:val="0"/>
                <w:color w:val="000000"/>
                <w:sz w:val="32"/>
              </w:rPr>
              <w:t>龙口政策</w:t>
            </w:r>
          </w:p>
        </w:tc>
      </w:tr>
      <w:tr>
        <w:tc>
          <w:tcPr>
            <w:tcW w:type="dxa" w:w="2835"/>
          </w:tcPr>
          <w:p>
            <w:pPr>
              <w:spacing w:lineRule="exact" w:line="600"/>
              <w:jc w:val="center"/>
            </w:pPr>
            <w:r/>
            <w:r>
              <w:rPr>
                <w:rFonts w:ascii="仿宋_GB2312" w:hAnsi="仿宋_GB2312" w:eastAsia="仿宋_GB2312"/>
                <w:b w:val="0"/>
                <w:color w:val="000000"/>
                <w:sz w:val="32"/>
              </w:rPr>
              <w:t>产业专班</w:t>
            </w:r>
          </w:p>
        </w:tc>
        <w:tc>
          <w:tcPr>
            <w:tcW w:type="dxa" w:w="3402"/>
          </w:tcPr>
          <w:p>
            <w:pPr>
              <w:spacing w:lineRule="exact" w:line="600"/>
              <w:jc w:val="center"/>
            </w:pPr>
            <w:r/>
            <w:r>
              <w:rPr>
                <w:rFonts w:ascii="仿宋_GB2312" w:hAnsi="仿宋_GB2312" w:eastAsia="仿宋_GB2312"/>
                <w:b w:val="0"/>
                <w:color w:val="000000"/>
                <w:sz w:val="32"/>
              </w:rPr>
              <w:t>高端铝专班</w:t>
            </w:r>
          </w:p>
        </w:tc>
        <w:tc>
          <w:tcPr>
            <w:tcW w:type="dxa" w:w="2835"/>
          </w:tcPr>
          <w:p>
            <w:pPr>
              <w:spacing w:lineRule="exact" w:line="600"/>
              <w:jc w:val="center"/>
            </w:pPr>
            <w:r/>
            <w:r>
              <w:rPr>
                <w:rFonts w:ascii="仿宋_GB2312" w:hAnsi="仿宋_GB2312" w:eastAsia="仿宋_GB2312"/>
                <w:b w:val="0"/>
                <w:color w:val="000000"/>
                <w:sz w:val="32"/>
              </w:rPr>
              <w:t>龙口工信</w:t>
            </w:r>
          </w:p>
        </w:tc>
      </w:tr>
      <w:tr>
        <w:tc>
          <w:tcPr>
            <w:tcW w:type="dxa" w:w="2835"/>
          </w:tcPr>
          <w:p>
            <w:pPr>
              <w:spacing w:lineRule="exact" w:line="600"/>
              <w:jc w:val="center"/>
            </w:pPr>
            <w:r/>
            <w:r>
              <w:rPr>
                <w:rFonts w:ascii="仿宋_GB2312" w:hAnsi="仿宋_GB2312" w:eastAsia="仿宋_GB2312"/>
                <w:b w:val="0"/>
                <w:color w:val="000000"/>
                <w:sz w:val="32"/>
              </w:rPr>
              <w:t>中小企业服务</w:t>
            </w:r>
          </w:p>
        </w:tc>
        <w:tc>
          <w:tcPr>
            <w:tcW w:type="dxa" w:w="3402"/>
          </w:tcPr>
          <w:p>
            <w:pPr>
              <w:spacing w:lineRule="exact" w:line="600"/>
              <w:jc w:val="center"/>
            </w:pPr>
            <w:r/>
            <w:r>
              <w:rPr>
                <w:rFonts w:ascii="仿宋_GB2312" w:hAnsi="仿宋_GB2312" w:eastAsia="仿宋_GB2312"/>
                <w:b w:val="0"/>
                <w:color w:val="000000"/>
                <w:sz w:val="32"/>
              </w:rPr>
              <w:t>普惠中心</w:t>
            </w:r>
          </w:p>
        </w:tc>
        <w:tc>
          <w:tcPr>
            <w:tcW w:type="dxa" w:w="2835"/>
          </w:tcPr>
          <w:p>
            <w:pPr>
              <w:spacing w:lineRule="exact" w:line="600"/>
              <w:jc w:val="center"/>
            </w:pPr>
            <w:r/>
            <w:r>
              <w:rPr>
                <w:rFonts w:ascii="仿宋_GB2312" w:hAnsi="仿宋_GB2312" w:eastAsia="仿宋_GB2312"/>
                <w:b w:val="0"/>
                <w:color w:val="000000"/>
                <w:sz w:val="32"/>
              </w:rPr>
              <w:t>龙口政府</w:t>
            </w:r>
          </w:p>
        </w:tc>
      </w:tr>
      <w:tr>
        <w:tc>
          <w:tcPr>
            <w:tcW w:type="dxa" w:w="2835"/>
          </w:tcPr>
          <w:p>
            <w:pPr>
              <w:spacing w:lineRule="exact" w:line="600"/>
              <w:jc w:val="center"/>
            </w:pPr>
            <w:r/>
            <w:r>
              <w:rPr>
                <w:rFonts w:ascii="仿宋_GB2312" w:hAnsi="仿宋_GB2312" w:eastAsia="仿宋_GB2312"/>
                <w:b w:val="0"/>
                <w:color w:val="000000"/>
                <w:sz w:val="32"/>
              </w:rPr>
              <w:t>数字补助</w:t>
            </w:r>
          </w:p>
        </w:tc>
        <w:tc>
          <w:tcPr>
            <w:tcW w:type="dxa" w:w="3402"/>
          </w:tcPr>
          <w:p>
            <w:pPr>
              <w:spacing w:lineRule="exact" w:line="600"/>
              <w:jc w:val="center"/>
            </w:pPr>
            <w:r/>
            <w:r>
              <w:rPr>
                <w:rFonts w:ascii="仿宋_GB2312" w:hAnsi="仿宋_GB2312" w:eastAsia="仿宋_GB2312"/>
                <w:b w:val="0"/>
                <w:color w:val="000000"/>
                <w:sz w:val="32"/>
              </w:rPr>
              <w:t>转型试点资金</w:t>
            </w:r>
          </w:p>
        </w:tc>
        <w:tc>
          <w:tcPr>
            <w:tcW w:type="dxa" w:w="2835"/>
          </w:tcPr>
          <w:p>
            <w:pPr>
              <w:spacing w:lineRule="exact" w:line="600"/>
              <w:jc w:val="center"/>
            </w:pPr>
            <w:r/>
            <w:r>
              <w:rPr>
                <w:rFonts w:ascii="仿宋_GB2312" w:hAnsi="仿宋_GB2312" w:eastAsia="仿宋_GB2312"/>
                <w:b w:val="0"/>
                <w:color w:val="000000"/>
                <w:sz w:val="32"/>
              </w:rPr>
              <w:t>烟台市</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新能源车与光伏爆发拉动工业深加工材高增（2023年新能源汽车铝型材+30.7%、光伏+30.8%）；C919交付与轨交建设打开航空、轨交深加工空间；再生铝与短流程工艺契合减碳趋势。山东省将高端交通铝材列为四大集群之一，深加工项目可获政策与资金倾斜。印尼上游基地投产保障原料，国内外双轮驱动利好深加工扩能。</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机遇</w:t>
            </w:r>
          </w:p>
        </w:tc>
        <w:tc>
          <w:tcPr>
            <w:tcW w:type="dxa" w:w="3402"/>
          </w:tcPr>
          <w:p>
            <w:pPr>
              <w:spacing w:lineRule="exact" w:line="600"/>
              <w:jc w:val="center"/>
            </w:pPr>
            <w:r/>
            <w:r>
              <w:rPr>
                <w:rFonts w:ascii="黑体" w:hAnsi="黑体" w:eastAsia="黑体"/>
                <w:b/>
                <w:color w:val="000000"/>
                <w:sz w:val="32"/>
              </w:rPr>
              <w:t>驱动</w:t>
            </w:r>
          </w:p>
        </w:tc>
        <w:tc>
          <w:tcPr>
            <w:tcW w:type="dxa" w:w="3118"/>
          </w:tcPr>
          <w:p>
            <w:pPr>
              <w:spacing w:lineRule="exact" w:line="600"/>
              <w:jc w:val="center"/>
            </w:pPr>
            <w:r/>
            <w:r>
              <w:rPr>
                <w:rFonts w:ascii="黑体" w:hAnsi="黑体" w:eastAsia="黑体"/>
                <w:b/>
                <w:color w:val="000000"/>
                <w:sz w:val="32"/>
              </w:rPr>
              <w:t>量化</w:t>
            </w:r>
          </w:p>
        </w:tc>
      </w:tr>
      <w:tr>
        <w:tc>
          <w:tcPr>
            <w:tcW w:type="dxa" w:w="2551"/>
          </w:tcPr>
          <w:p>
            <w:pPr>
              <w:spacing w:lineRule="exact" w:line="600"/>
              <w:jc w:val="center"/>
            </w:pPr>
            <w:r/>
            <w:r>
              <w:rPr>
                <w:rFonts w:ascii="仿宋_GB2312" w:hAnsi="仿宋_GB2312" w:eastAsia="仿宋_GB2312"/>
                <w:b w:val="0"/>
                <w:color w:val="000000"/>
                <w:sz w:val="32"/>
              </w:rPr>
              <w:t>新能源车</w:t>
            </w:r>
          </w:p>
        </w:tc>
        <w:tc>
          <w:tcPr>
            <w:tcW w:type="dxa" w:w="3402"/>
          </w:tcPr>
          <w:p>
            <w:pPr>
              <w:spacing w:lineRule="exact" w:line="600"/>
              <w:jc w:val="center"/>
            </w:pPr>
            <w:r/>
            <w:r>
              <w:rPr>
                <w:rFonts w:ascii="仿宋_GB2312" w:hAnsi="仿宋_GB2312" w:eastAsia="仿宋_GB2312"/>
                <w:b w:val="0"/>
                <w:color w:val="000000"/>
                <w:sz w:val="32"/>
              </w:rPr>
              <w:t>轻量化</w:t>
            </w:r>
          </w:p>
        </w:tc>
        <w:tc>
          <w:tcPr>
            <w:tcW w:type="dxa" w:w="3118"/>
          </w:tcPr>
          <w:p>
            <w:pPr>
              <w:spacing w:lineRule="exact" w:line="600"/>
              <w:jc w:val="center"/>
            </w:pPr>
            <w:r/>
            <w:r>
              <w:rPr>
                <w:rFonts w:ascii="仿宋_GB2312" w:hAnsi="仿宋_GB2312" w:eastAsia="仿宋_GB2312"/>
                <w:b w:val="0"/>
                <w:color w:val="000000"/>
                <w:sz w:val="32"/>
              </w:rPr>
              <w:t>铝型材+30.7%</w:t>
            </w:r>
          </w:p>
        </w:tc>
      </w:tr>
      <w:tr>
        <w:tc>
          <w:tcPr>
            <w:tcW w:type="dxa" w:w="2551"/>
          </w:tcPr>
          <w:p>
            <w:pPr>
              <w:spacing w:lineRule="exact" w:line="600"/>
              <w:jc w:val="center"/>
            </w:pPr>
            <w:r/>
            <w:r>
              <w:rPr>
                <w:rFonts w:ascii="仿宋_GB2312" w:hAnsi="仿宋_GB2312" w:eastAsia="仿宋_GB2312"/>
                <w:b w:val="0"/>
                <w:color w:val="000000"/>
                <w:sz w:val="32"/>
              </w:rPr>
              <w:t>光伏</w:t>
            </w:r>
          </w:p>
        </w:tc>
        <w:tc>
          <w:tcPr>
            <w:tcW w:type="dxa" w:w="3402"/>
          </w:tcPr>
          <w:p>
            <w:pPr>
              <w:spacing w:lineRule="exact" w:line="600"/>
              <w:jc w:val="center"/>
            </w:pPr>
            <w:r/>
            <w:r>
              <w:rPr>
                <w:rFonts w:ascii="仿宋_GB2312" w:hAnsi="仿宋_GB2312" w:eastAsia="仿宋_GB2312"/>
                <w:b w:val="0"/>
                <w:color w:val="000000"/>
                <w:sz w:val="32"/>
              </w:rPr>
              <w:t>边框/支架</w:t>
            </w:r>
          </w:p>
        </w:tc>
        <w:tc>
          <w:tcPr>
            <w:tcW w:type="dxa" w:w="3118"/>
          </w:tcPr>
          <w:p>
            <w:pPr>
              <w:spacing w:lineRule="exact" w:line="600"/>
              <w:jc w:val="center"/>
            </w:pPr>
            <w:r/>
            <w:r>
              <w:rPr>
                <w:rFonts w:ascii="仿宋_GB2312" w:hAnsi="仿宋_GB2312" w:eastAsia="仿宋_GB2312"/>
                <w:b w:val="0"/>
                <w:color w:val="000000"/>
                <w:sz w:val="32"/>
              </w:rPr>
              <w:t>型材+30.8%</w:t>
            </w:r>
          </w:p>
        </w:tc>
      </w:tr>
      <w:tr>
        <w:tc>
          <w:tcPr>
            <w:tcW w:type="dxa" w:w="2551"/>
          </w:tcPr>
          <w:p>
            <w:pPr>
              <w:spacing w:lineRule="exact" w:line="600"/>
              <w:jc w:val="center"/>
            </w:pPr>
            <w:r/>
            <w:r>
              <w:rPr>
                <w:rFonts w:ascii="仿宋_GB2312" w:hAnsi="仿宋_GB2312" w:eastAsia="仿宋_GB2312"/>
                <w:b w:val="0"/>
                <w:color w:val="000000"/>
                <w:sz w:val="32"/>
              </w:rPr>
              <w:t>航空/轨交</w:t>
            </w:r>
          </w:p>
        </w:tc>
        <w:tc>
          <w:tcPr>
            <w:tcW w:type="dxa" w:w="3402"/>
          </w:tcPr>
          <w:p>
            <w:pPr>
              <w:spacing w:lineRule="exact" w:line="600"/>
              <w:jc w:val="center"/>
            </w:pPr>
            <w:r/>
            <w:r>
              <w:rPr>
                <w:rFonts w:ascii="仿宋_GB2312" w:hAnsi="仿宋_GB2312" w:eastAsia="仿宋_GB2312"/>
                <w:b w:val="0"/>
                <w:color w:val="000000"/>
                <w:sz w:val="32"/>
              </w:rPr>
              <w:t>国产化</w:t>
            </w:r>
          </w:p>
        </w:tc>
        <w:tc>
          <w:tcPr>
            <w:tcW w:type="dxa" w:w="3118"/>
          </w:tcPr>
          <w:p>
            <w:pPr>
              <w:spacing w:lineRule="exact" w:line="600"/>
              <w:jc w:val="center"/>
            </w:pPr>
            <w:r/>
            <w:r>
              <w:rPr>
                <w:rFonts w:ascii="仿宋_GB2312" w:hAnsi="仿宋_GB2312" w:eastAsia="仿宋_GB2312"/>
                <w:b w:val="0"/>
                <w:color w:val="000000"/>
                <w:sz w:val="32"/>
              </w:rPr>
              <w:t>增量</w:t>
            </w:r>
          </w:p>
        </w:tc>
      </w:tr>
      <w:tr>
        <w:tc>
          <w:tcPr>
            <w:tcW w:type="dxa" w:w="2551"/>
          </w:tcPr>
          <w:p>
            <w:pPr>
              <w:spacing w:lineRule="exact" w:line="600"/>
              <w:jc w:val="center"/>
            </w:pPr>
            <w:r/>
            <w:r>
              <w:rPr>
                <w:rFonts w:ascii="仿宋_GB2312" w:hAnsi="仿宋_GB2312" w:eastAsia="仿宋_GB2312"/>
                <w:b w:val="0"/>
                <w:color w:val="000000"/>
                <w:sz w:val="32"/>
              </w:rPr>
              <w:t>政策</w:t>
            </w:r>
          </w:p>
        </w:tc>
        <w:tc>
          <w:tcPr>
            <w:tcW w:type="dxa" w:w="3402"/>
          </w:tcPr>
          <w:p>
            <w:pPr>
              <w:spacing w:lineRule="exact" w:line="600"/>
              <w:jc w:val="center"/>
            </w:pPr>
            <w:r/>
            <w:r>
              <w:rPr>
                <w:rFonts w:ascii="仿宋_GB2312" w:hAnsi="仿宋_GB2312" w:eastAsia="仿宋_GB2312"/>
                <w:b w:val="0"/>
                <w:color w:val="000000"/>
                <w:sz w:val="32"/>
              </w:rPr>
              <w:t>省四大集群</w:t>
            </w:r>
          </w:p>
        </w:tc>
        <w:tc>
          <w:tcPr>
            <w:tcW w:type="dxa" w:w="3118"/>
          </w:tcPr>
          <w:p>
            <w:pPr>
              <w:spacing w:lineRule="exact" w:line="600"/>
              <w:jc w:val="center"/>
            </w:pPr>
            <w:r/>
            <w:r>
              <w:rPr>
                <w:rFonts w:ascii="仿宋_GB2312" w:hAnsi="仿宋_GB2312" w:eastAsia="仿宋_GB2312"/>
                <w:b w:val="0"/>
                <w:color w:val="000000"/>
                <w:sz w:val="32"/>
              </w:rPr>
              <w:t>支持</w:t>
            </w:r>
          </w:p>
        </w:tc>
      </w:tr>
    </w:tbl>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一是中低端建筑深加工产能过剩、加工费下行，企业盈利分化；二是高端深加工认证周期长（航空适航、汽车主机厂材料认证），产能释放不确定；三是设备更新与绿色改造一次性投入大，中小企业资金压力明显；四是铝价波动向加工费传导不畅，侵蚀毛利。需通过产品升级与客户多元化解挑战。</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挑战</w:t>
            </w:r>
          </w:p>
        </w:tc>
        <w:tc>
          <w:tcPr>
            <w:tcW w:type="dxa" w:w="3402"/>
          </w:tcPr>
          <w:p>
            <w:pPr>
              <w:spacing w:lineRule="exact" w:line="600"/>
              <w:jc w:val="center"/>
            </w:pPr>
            <w:r/>
            <w:r>
              <w:rPr>
                <w:rFonts w:ascii="黑体" w:hAnsi="黑体" w:eastAsia="黑体"/>
                <w:b/>
                <w:color w:val="000000"/>
                <w:sz w:val="32"/>
              </w:rPr>
              <w:t>表现</w:t>
            </w:r>
          </w:p>
        </w:tc>
        <w:tc>
          <w:tcPr>
            <w:tcW w:type="dxa" w:w="3118"/>
          </w:tcPr>
          <w:p>
            <w:pPr>
              <w:spacing w:lineRule="exact" w:line="600"/>
              <w:jc w:val="center"/>
            </w:pPr>
            <w:r/>
            <w:r>
              <w:rPr>
                <w:rFonts w:ascii="黑体" w:hAnsi="黑体" w:eastAsia="黑体"/>
                <w:b/>
                <w:color w:val="000000"/>
                <w:sz w:val="32"/>
              </w:rPr>
              <w:t>影响</w:t>
            </w:r>
          </w:p>
        </w:tc>
      </w:tr>
      <w:tr>
        <w:tc>
          <w:tcPr>
            <w:tcW w:type="dxa" w:w="2551"/>
          </w:tcPr>
          <w:p>
            <w:pPr>
              <w:spacing w:lineRule="exact" w:line="600"/>
              <w:jc w:val="center"/>
            </w:pPr>
            <w:r/>
            <w:r>
              <w:rPr>
                <w:rFonts w:ascii="仿宋_GB2312" w:hAnsi="仿宋_GB2312" w:eastAsia="仿宋_GB2312"/>
                <w:b w:val="0"/>
                <w:color w:val="000000"/>
                <w:sz w:val="32"/>
              </w:rPr>
              <w:t>加工费下行</w:t>
            </w:r>
          </w:p>
        </w:tc>
        <w:tc>
          <w:tcPr>
            <w:tcW w:type="dxa" w:w="3402"/>
          </w:tcPr>
          <w:p>
            <w:pPr>
              <w:spacing w:lineRule="exact" w:line="600"/>
              <w:jc w:val="center"/>
            </w:pPr>
            <w:r/>
            <w:r>
              <w:rPr>
                <w:rFonts w:ascii="仿宋_GB2312" w:hAnsi="仿宋_GB2312" w:eastAsia="仿宋_GB2312"/>
                <w:b w:val="0"/>
                <w:color w:val="000000"/>
                <w:sz w:val="32"/>
              </w:rPr>
              <w:t>中低端内卷</w:t>
            </w:r>
          </w:p>
        </w:tc>
        <w:tc>
          <w:tcPr>
            <w:tcW w:type="dxa" w:w="3118"/>
          </w:tcPr>
          <w:p>
            <w:pPr>
              <w:spacing w:lineRule="exact" w:line="600"/>
              <w:jc w:val="center"/>
            </w:pPr>
            <w:r/>
            <w:r>
              <w:rPr>
                <w:rFonts w:ascii="仿宋_GB2312" w:hAnsi="仿宋_GB2312" w:eastAsia="仿宋_GB2312"/>
                <w:b w:val="0"/>
                <w:color w:val="000000"/>
                <w:sz w:val="32"/>
              </w:rPr>
              <w:t>盈利承压</w:t>
            </w:r>
          </w:p>
        </w:tc>
      </w:tr>
      <w:tr>
        <w:tc>
          <w:tcPr>
            <w:tcW w:type="dxa" w:w="2551"/>
          </w:tcPr>
          <w:p>
            <w:pPr>
              <w:spacing w:lineRule="exact" w:line="600"/>
              <w:jc w:val="center"/>
            </w:pPr>
            <w:r/>
            <w:r>
              <w:rPr>
                <w:rFonts w:ascii="仿宋_GB2312" w:hAnsi="仿宋_GB2312" w:eastAsia="仿宋_GB2312"/>
                <w:b w:val="0"/>
                <w:color w:val="000000"/>
                <w:sz w:val="32"/>
              </w:rPr>
              <w:t>认证周期长</w:t>
            </w:r>
          </w:p>
        </w:tc>
        <w:tc>
          <w:tcPr>
            <w:tcW w:type="dxa" w:w="3402"/>
          </w:tcPr>
          <w:p>
            <w:pPr>
              <w:spacing w:lineRule="exact" w:line="600"/>
              <w:jc w:val="center"/>
            </w:pPr>
            <w:r/>
            <w:r>
              <w:rPr>
                <w:rFonts w:ascii="仿宋_GB2312" w:hAnsi="仿宋_GB2312" w:eastAsia="仿宋_GB2312"/>
                <w:b w:val="0"/>
                <w:color w:val="000000"/>
                <w:sz w:val="32"/>
              </w:rPr>
              <w:t>适航/主机厂</w:t>
            </w:r>
          </w:p>
        </w:tc>
        <w:tc>
          <w:tcPr>
            <w:tcW w:type="dxa" w:w="3118"/>
          </w:tcPr>
          <w:p>
            <w:pPr>
              <w:spacing w:lineRule="exact" w:line="600"/>
              <w:jc w:val="center"/>
            </w:pPr>
            <w:r/>
            <w:r>
              <w:rPr>
                <w:rFonts w:ascii="仿宋_GB2312" w:hAnsi="仿宋_GB2312" w:eastAsia="仿宋_GB2312"/>
                <w:b w:val="0"/>
                <w:color w:val="000000"/>
                <w:sz w:val="32"/>
              </w:rPr>
              <w:t>释放不确定</w:t>
            </w:r>
          </w:p>
        </w:tc>
      </w:tr>
      <w:tr>
        <w:tc>
          <w:tcPr>
            <w:tcW w:type="dxa" w:w="2551"/>
          </w:tcPr>
          <w:p>
            <w:pPr>
              <w:spacing w:lineRule="exact" w:line="600"/>
              <w:jc w:val="center"/>
            </w:pPr>
            <w:r/>
            <w:r>
              <w:rPr>
                <w:rFonts w:ascii="仿宋_GB2312" w:hAnsi="仿宋_GB2312" w:eastAsia="仿宋_GB2312"/>
                <w:b w:val="0"/>
                <w:color w:val="000000"/>
                <w:sz w:val="32"/>
              </w:rPr>
              <w:t>设备投入大</w:t>
            </w:r>
          </w:p>
        </w:tc>
        <w:tc>
          <w:tcPr>
            <w:tcW w:type="dxa" w:w="3402"/>
          </w:tcPr>
          <w:p>
            <w:pPr>
              <w:spacing w:lineRule="exact" w:line="600"/>
              <w:jc w:val="center"/>
            </w:pPr>
            <w:r/>
            <w:r>
              <w:rPr>
                <w:rFonts w:ascii="仿宋_GB2312" w:hAnsi="仿宋_GB2312" w:eastAsia="仿宋_GB2312"/>
                <w:b w:val="0"/>
                <w:color w:val="000000"/>
                <w:sz w:val="32"/>
              </w:rPr>
              <w:t>中小企业</w:t>
            </w:r>
          </w:p>
        </w:tc>
        <w:tc>
          <w:tcPr>
            <w:tcW w:type="dxa" w:w="3118"/>
          </w:tcPr>
          <w:p>
            <w:pPr>
              <w:spacing w:lineRule="exact" w:line="600"/>
              <w:jc w:val="center"/>
            </w:pPr>
            <w:r/>
            <w:r>
              <w:rPr>
                <w:rFonts w:ascii="仿宋_GB2312" w:hAnsi="仿宋_GB2312" w:eastAsia="仿宋_GB2312"/>
                <w:b w:val="0"/>
                <w:color w:val="000000"/>
                <w:sz w:val="32"/>
              </w:rPr>
              <w:t>资金压力</w:t>
            </w:r>
          </w:p>
        </w:tc>
      </w:tr>
      <w:tr>
        <w:tc>
          <w:tcPr>
            <w:tcW w:type="dxa" w:w="2551"/>
          </w:tcPr>
          <w:p>
            <w:pPr>
              <w:spacing w:lineRule="exact" w:line="600"/>
              <w:jc w:val="center"/>
            </w:pPr>
            <w:r/>
            <w:r>
              <w:rPr>
                <w:rFonts w:ascii="仿宋_GB2312" w:hAnsi="仿宋_GB2312" w:eastAsia="仿宋_GB2312"/>
                <w:b w:val="0"/>
                <w:color w:val="000000"/>
                <w:sz w:val="32"/>
              </w:rPr>
              <w:t>价格传导</w:t>
            </w:r>
          </w:p>
        </w:tc>
        <w:tc>
          <w:tcPr>
            <w:tcW w:type="dxa" w:w="3402"/>
          </w:tcPr>
          <w:p>
            <w:pPr>
              <w:spacing w:lineRule="exact" w:line="600"/>
              <w:jc w:val="center"/>
            </w:pPr>
            <w:r/>
            <w:r>
              <w:rPr>
                <w:rFonts w:ascii="仿宋_GB2312" w:hAnsi="仿宋_GB2312" w:eastAsia="仿宋_GB2312"/>
                <w:b w:val="0"/>
                <w:color w:val="000000"/>
                <w:sz w:val="32"/>
              </w:rPr>
              <w:t>不畅</w:t>
            </w:r>
          </w:p>
        </w:tc>
        <w:tc>
          <w:tcPr>
            <w:tcW w:type="dxa" w:w="3118"/>
          </w:tcPr>
          <w:p>
            <w:pPr>
              <w:spacing w:lineRule="exact" w:line="600"/>
              <w:jc w:val="center"/>
            </w:pPr>
            <w:r/>
            <w:r>
              <w:rPr>
                <w:rFonts w:ascii="仿宋_GB2312" w:hAnsi="仿宋_GB2312" w:eastAsia="仿宋_GB2312"/>
                <w:b w:val="0"/>
                <w:color w:val="000000"/>
                <w:sz w:val="32"/>
              </w:rPr>
              <w:t>毛利侵蚀</w:t>
            </w:r>
          </w:p>
        </w:tc>
      </w:tr>
    </w:tbl>
    <w:p>
      <w:pPr>
        <w:spacing w:lineRule="exact" w:line="600" w:before="120" w:after="120"/>
        <w:ind w:firstLine="420"/>
        <w:jc w:val="left"/>
      </w:pPr>
      <w:r>
        <w:rPr>
          <w:rFonts w:ascii="楷体_GB2312" w:hAnsi="楷体_GB2312" w:eastAsia="楷体_GB2312"/>
          <w:b w:val="0"/>
          <w:color w:val="000000"/>
          <w:sz w:val="32"/>
        </w:rPr>
        <w:t>（三）风险因素</w:t>
      </w:r>
    </w:p>
    <w:p>
      <w:pPr>
        <w:spacing w:lineRule="exact" w:line="600" w:before="0" w:after="0"/>
        <w:ind w:firstLine="420"/>
        <w:jc w:val="both"/>
      </w:pPr>
      <w:r>
        <w:rPr>
          <w:rFonts w:ascii="仿宋_GB2312" w:hAnsi="仿宋_GB2312" w:eastAsia="仿宋_GB2312"/>
          <w:b w:val="0"/>
          <w:color w:val="000000"/>
          <w:sz w:val="32"/>
        </w:rPr>
        <w:t>风险包括铝价及氧化铝大幅波动、海外需求不及预期（2023全国铝材出口-14.6%）、贸易摩擦与地缘政治、下游需求不及预期及产能释放不及预期（券商提示）。减碳政策趋严可能推高合规成本。建议以套期保值、产品高端化、客户与区域多元化缓释。</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风险</w:t>
            </w:r>
          </w:p>
        </w:tc>
        <w:tc>
          <w:tcPr>
            <w:tcW w:type="dxa" w:w="3402"/>
          </w:tcPr>
          <w:p>
            <w:pPr>
              <w:spacing w:lineRule="exact" w:line="600"/>
              <w:jc w:val="center"/>
            </w:pPr>
            <w:r/>
            <w:r>
              <w:rPr>
                <w:rFonts w:ascii="黑体" w:hAnsi="黑体" w:eastAsia="黑体"/>
                <w:b/>
                <w:color w:val="000000"/>
                <w:sz w:val="32"/>
              </w:rPr>
              <w:t>表现</w:t>
            </w:r>
          </w:p>
        </w:tc>
        <w:tc>
          <w:tcPr>
            <w:tcW w:type="dxa" w:w="3118"/>
          </w:tcPr>
          <w:p>
            <w:pPr>
              <w:spacing w:lineRule="exact" w:line="600"/>
              <w:jc w:val="center"/>
            </w:pPr>
            <w:r/>
            <w:r>
              <w:rPr>
                <w:rFonts w:ascii="黑体" w:hAnsi="黑体" w:eastAsia="黑体"/>
                <w:b/>
                <w:color w:val="000000"/>
                <w:sz w:val="32"/>
              </w:rPr>
              <w:t>缓释</w:t>
            </w:r>
          </w:p>
        </w:tc>
      </w:tr>
      <w:tr>
        <w:tc>
          <w:tcPr>
            <w:tcW w:type="dxa" w:w="2551"/>
          </w:tcPr>
          <w:p>
            <w:pPr>
              <w:spacing w:lineRule="exact" w:line="600"/>
              <w:jc w:val="center"/>
            </w:pPr>
            <w:r/>
            <w:r>
              <w:rPr>
                <w:rFonts w:ascii="仿宋_GB2312" w:hAnsi="仿宋_GB2312" w:eastAsia="仿宋_GB2312"/>
                <w:b w:val="0"/>
                <w:color w:val="000000"/>
                <w:sz w:val="32"/>
              </w:rPr>
              <w:t>价格</w:t>
            </w:r>
          </w:p>
        </w:tc>
        <w:tc>
          <w:tcPr>
            <w:tcW w:type="dxa" w:w="3402"/>
          </w:tcPr>
          <w:p>
            <w:pPr>
              <w:spacing w:lineRule="exact" w:line="600"/>
              <w:jc w:val="center"/>
            </w:pPr>
            <w:r/>
            <w:r>
              <w:rPr>
                <w:rFonts w:ascii="仿宋_GB2312" w:hAnsi="仿宋_GB2312" w:eastAsia="仿宋_GB2312"/>
                <w:b w:val="0"/>
                <w:color w:val="000000"/>
                <w:sz w:val="32"/>
              </w:rPr>
              <w:t>铝价波动</w:t>
            </w:r>
          </w:p>
        </w:tc>
        <w:tc>
          <w:tcPr>
            <w:tcW w:type="dxa" w:w="3118"/>
          </w:tcPr>
          <w:p>
            <w:pPr>
              <w:spacing w:lineRule="exact" w:line="600"/>
              <w:jc w:val="center"/>
            </w:pPr>
            <w:r/>
            <w:r>
              <w:rPr>
                <w:rFonts w:ascii="仿宋_GB2312" w:hAnsi="仿宋_GB2312" w:eastAsia="仿宋_GB2312"/>
                <w:b w:val="0"/>
                <w:color w:val="000000"/>
                <w:sz w:val="32"/>
              </w:rPr>
              <w:t>套保</w:t>
            </w:r>
          </w:p>
        </w:tc>
      </w:tr>
      <w:tr>
        <w:tc>
          <w:tcPr>
            <w:tcW w:type="dxa" w:w="2551"/>
          </w:tcPr>
          <w:p>
            <w:pPr>
              <w:spacing w:lineRule="exact" w:line="600"/>
              <w:jc w:val="center"/>
            </w:pPr>
            <w:r/>
            <w:r>
              <w:rPr>
                <w:rFonts w:ascii="仿宋_GB2312" w:hAnsi="仿宋_GB2312" w:eastAsia="仿宋_GB2312"/>
                <w:b w:val="0"/>
                <w:color w:val="000000"/>
                <w:sz w:val="32"/>
              </w:rPr>
              <w:t>贸易</w:t>
            </w:r>
          </w:p>
        </w:tc>
        <w:tc>
          <w:tcPr>
            <w:tcW w:type="dxa" w:w="3402"/>
          </w:tcPr>
          <w:p>
            <w:pPr>
              <w:spacing w:lineRule="exact" w:line="600"/>
              <w:jc w:val="center"/>
            </w:pPr>
            <w:r/>
            <w:r>
              <w:rPr>
                <w:rFonts w:ascii="仿宋_GB2312" w:hAnsi="仿宋_GB2312" w:eastAsia="仿宋_GB2312"/>
                <w:b w:val="0"/>
                <w:color w:val="000000"/>
                <w:sz w:val="32"/>
              </w:rPr>
              <w:t>出口-14.6%</w:t>
            </w:r>
          </w:p>
        </w:tc>
        <w:tc>
          <w:tcPr>
            <w:tcW w:type="dxa" w:w="3118"/>
          </w:tcPr>
          <w:p>
            <w:pPr>
              <w:spacing w:lineRule="exact" w:line="600"/>
              <w:jc w:val="center"/>
            </w:pPr>
            <w:r/>
            <w:r>
              <w:rPr>
                <w:rFonts w:ascii="仿宋_GB2312" w:hAnsi="仿宋_GB2312" w:eastAsia="仿宋_GB2312"/>
                <w:b w:val="0"/>
                <w:color w:val="000000"/>
                <w:sz w:val="32"/>
              </w:rPr>
              <w:t>多元</w:t>
            </w:r>
          </w:p>
        </w:tc>
      </w:tr>
      <w:tr>
        <w:tc>
          <w:tcPr>
            <w:tcW w:type="dxa" w:w="2551"/>
          </w:tcPr>
          <w:p>
            <w:pPr>
              <w:spacing w:lineRule="exact" w:line="600"/>
              <w:jc w:val="center"/>
            </w:pPr>
            <w:r/>
            <w:r>
              <w:rPr>
                <w:rFonts w:ascii="仿宋_GB2312" w:hAnsi="仿宋_GB2312" w:eastAsia="仿宋_GB2312"/>
                <w:b w:val="0"/>
                <w:color w:val="000000"/>
                <w:sz w:val="32"/>
              </w:rPr>
              <w:t>政策</w:t>
            </w:r>
          </w:p>
        </w:tc>
        <w:tc>
          <w:tcPr>
            <w:tcW w:type="dxa" w:w="3402"/>
          </w:tcPr>
          <w:p>
            <w:pPr>
              <w:spacing w:lineRule="exact" w:line="600"/>
              <w:jc w:val="center"/>
            </w:pPr>
            <w:r/>
            <w:r>
              <w:rPr>
                <w:rFonts w:ascii="仿宋_GB2312" w:hAnsi="仿宋_GB2312" w:eastAsia="仿宋_GB2312"/>
                <w:b w:val="0"/>
                <w:color w:val="000000"/>
                <w:sz w:val="32"/>
              </w:rPr>
              <w:t>减碳趋严</w:t>
            </w:r>
          </w:p>
        </w:tc>
        <w:tc>
          <w:tcPr>
            <w:tcW w:type="dxa" w:w="3118"/>
          </w:tcPr>
          <w:p>
            <w:pPr>
              <w:spacing w:lineRule="exact" w:line="600"/>
              <w:jc w:val="center"/>
            </w:pPr>
            <w:r/>
            <w:r>
              <w:rPr>
                <w:rFonts w:ascii="仿宋_GB2312" w:hAnsi="仿宋_GB2312" w:eastAsia="仿宋_GB2312"/>
                <w:b w:val="0"/>
                <w:color w:val="000000"/>
                <w:sz w:val="32"/>
              </w:rPr>
              <w:t>绿电</w:t>
            </w:r>
          </w:p>
        </w:tc>
      </w:tr>
      <w:tr>
        <w:tc>
          <w:tcPr>
            <w:tcW w:type="dxa" w:w="2551"/>
          </w:tcPr>
          <w:p>
            <w:pPr>
              <w:spacing w:lineRule="exact" w:line="600"/>
              <w:jc w:val="center"/>
            </w:pPr>
            <w:r/>
            <w:r>
              <w:rPr>
                <w:rFonts w:ascii="仿宋_GB2312" w:hAnsi="仿宋_GB2312" w:eastAsia="仿宋_GB2312"/>
                <w:b w:val="0"/>
                <w:color w:val="000000"/>
                <w:sz w:val="32"/>
              </w:rPr>
              <w:t>需求</w:t>
            </w:r>
          </w:p>
        </w:tc>
        <w:tc>
          <w:tcPr>
            <w:tcW w:type="dxa" w:w="3402"/>
          </w:tcPr>
          <w:p>
            <w:pPr>
              <w:spacing w:lineRule="exact" w:line="600"/>
              <w:jc w:val="center"/>
            </w:pPr>
            <w:r/>
            <w:r>
              <w:rPr>
                <w:rFonts w:ascii="仿宋_GB2312" w:hAnsi="仿宋_GB2312" w:eastAsia="仿宋_GB2312"/>
                <w:b w:val="0"/>
                <w:color w:val="000000"/>
                <w:sz w:val="32"/>
              </w:rPr>
              <w:t>不及预期</w:t>
            </w:r>
          </w:p>
        </w:tc>
        <w:tc>
          <w:tcPr>
            <w:tcW w:type="dxa" w:w="3118"/>
          </w:tcPr>
          <w:p>
            <w:pPr>
              <w:spacing w:lineRule="exact" w:line="600"/>
              <w:jc w:val="center"/>
            </w:pPr>
            <w:r/>
            <w:r>
              <w:rPr>
                <w:rFonts w:ascii="仿宋_GB2312" w:hAnsi="仿宋_GB2312" w:eastAsia="仿宋_GB2312"/>
                <w:b w:val="0"/>
                <w:color w:val="000000"/>
                <w:sz w:val="32"/>
              </w:rPr>
              <w:t>高端化</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（一）高端深加工延伸</w:t>
      </w:r>
    </w:p>
    <w:p>
      <w:pPr>
        <w:spacing w:lineRule="exact" w:line="600" w:before="0" w:after="0"/>
        <w:ind w:firstLine="420"/>
        <w:jc w:val="both"/>
      </w:pPr>
      <w:r>
        <w:rPr>
          <w:rFonts w:ascii="仿宋_GB2312" w:hAnsi="仿宋_GB2312" w:eastAsia="仿宋_GB2312"/>
          <w:b w:val="0"/>
          <w:color w:val="000000"/>
          <w:sz w:val="32"/>
        </w:rPr>
        <w:t>路径明确向汽车板、航空板、动力电池箔等高附加值深加工延伸。南山汽车板三期20万吨建成后总产能40万吨；航空板推进全规格全合金覆盖；动力电池箔瞄准高性能。丛林向新能源汽车零部件（ABS、保险杠、天窗滑轨、翼展挂车纵梁）延伸，拓展铝应用。通过「链主牵引+配套跟进」提升整体深加工附加值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延伸方向</w:t>
            </w:r>
          </w:p>
        </w:tc>
        <w:tc>
          <w:tcPr>
            <w:tcW w:type="dxa" w:w="3402"/>
          </w:tcPr>
          <w:p>
            <w:pPr>
              <w:spacing w:lineRule="exact" w:line="600"/>
              <w:jc w:val="center"/>
            </w:pPr>
            <w:r/>
            <w:r>
              <w:rPr>
                <w:rFonts w:ascii="黑体" w:hAnsi="黑体" w:eastAsia="黑体"/>
                <w:b/>
                <w:color w:val="000000"/>
                <w:sz w:val="32"/>
              </w:rPr>
              <w:t>目标</w:t>
            </w:r>
          </w:p>
        </w:tc>
        <w:tc>
          <w:tcPr>
            <w:tcW w:type="dxa" w:w="2835"/>
          </w:tcPr>
          <w:p>
            <w:pPr>
              <w:spacing w:lineRule="exact" w:line="600"/>
              <w:jc w:val="center"/>
            </w:pPr>
            <w:r/>
            <w:r>
              <w:rPr>
                <w:rFonts w:ascii="黑体" w:hAnsi="黑体" w:eastAsia="黑体"/>
                <w:b/>
                <w:color w:val="000000"/>
                <w:sz w:val="32"/>
              </w:rPr>
              <w:t>主体</w:t>
            </w:r>
          </w:p>
        </w:tc>
      </w:tr>
      <w:tr>
        <w:tc>
          <w:tcPr>
            <w:tcW w:type="dxa" w:w="2835"/>
          </w:tcPr>
          <w:p>
            <w:pPr>
              <w:spacing w:lineRule="exact" w:line="600"/>
              <w:jc w:val="center"/>
            </w:pPr>
            <w:r/>
            <w:r>
              <w:rPr>
                <w:rFonts w:ascii="仿宋_GB2312" w:hAnsi="仿宋_GB2312" w:eastAsia="仿宋_GB2312"/>
                <w:b w:val="0"/>
                <w:color w:val="000000"/>
                <w:sz w:val="32"/>
              </w:rPr>
              <w:t>汽车板三期</w:t>
            </w:r>
          </w:p>
        </w:tc>
        <w:tc>
          <w:tcPr>
            <w:tcW w:type="dxa" w:w="3402"/>
          </w:tcPr>
          <w:p>
            <w:pPr>
              <w:spacing w:lineRule="exact" w:line="600"/>
              <w:jc w:val="center"/>
            </w:pPr>
            <w:r/>
            <w:r>
              <w:rPr>
                <w:rFonts w:ascii="仿宋_GB2312" w:hAnsi="仿宋_GB2312" w:eastAsia="仿宋_GB2312"/>
                <w:b w:val="0"/>
                <w:color w:val="000000"/>
                <w:sz w:val="32"/>
              </w:rPr>
              <w:t>40万吨总产能</w:t>
            </w:r>
          </w:p>
        </w:tc>
        <w:tc>
          <w:tcPr>
            <w:tcW w:type="dxa" w:w="2835"/>
          </w:tcPr>
          <w:p>
            <w:pPr>
              <w:spacing w:lineRule="exact" w:line="600"/>
              <w:jc w:val="center"/>
            </w:pPr>
            <w:r/>
            <w:r>
              <w:rPr>
                <w:rFonts w:ascii="仿宋_GB2312" w:hAnsi="仿宋_GB2312" w:eastAsia="仿宋_GB2312"/>
                <w:b w:val="0"/>
                <w:color w:val="000000"/>
                <w:sz w:val="32"/>
              </w:rPr>
              <w:t>南山</w:t>
            </w:r>
          </w:p>
        </w:tc>
      </w:tr>
      <w:tr>
        <w:tc>
          <w:tcPr>
            <w:tcW w:type="dxa" w:w="2835"/>
          </w:tcPr>
          <w:p>
            <w:pPr>
              <w:spacing w:lineRule="exact" w:line="600"/>
              <w:jc w:val="center"/>
            </w:pPr>
            <w:r/>
            <w:r>
              <w:rPr>
                <w:rFonts w:ascii="仿宋_GB2312" w:hAnsi="仿宋_GB2312" w:eastAsia="仿宋_GB2312"/>
                <w:b w:val="0"/>
                <w:color w:val="000000"/>
                <w:sz w:val="32"/>
              </w:rPr>
              <w:t>航空板</w:t>
            </w:r>
          </w:p>
        </w:tc>
        <w:tc>
          <w:tcPr>
            <w:tcW w:type="dxa" w:w="3402"/>
          </w:tcPr>
          <w:p>
            <w:pPr>
              <w:spacing w:lineRule="exact" w:line="600"/>
              <w:jc w:val="center"/>
            </w:pPr>
            <w:r/>
            <w:r>
              <w:rPr>
                <w:rFonts w:ascii="仿宋_GB2312" w:hAnsi="仿宋_GB2312" w:eastAsia="仿宋_GB2312"/>
                <w:b w:val="0"/>
                <w:color w:val="000000"/>
                <w:sz w:val="32"/>
              </w:rPr>
              <w:t>全规格</w:t>
            </w:r>
          </w:p>
        </w:tc>
        <w:tc>
          <w:tcPr>
            <w:tcW w:type="dxa" w:w="2835"/>
          </w:tcPr>
          <w:p>
            <w:pPr>
              <w:spacing w:lineRule="exact" w:line="600"/>
              <w:jc w:val="center"/>
            </w:pPr>
            <w:r/>
            <w:r>
              <w:rPr>
                <w:rFonts w:ascii="仿宋_GB2312" w:hAnsi="仿宋_GB2312" w:eastAsia="仿宋_GB2312"/>
                <w:b w:val="0"/>
                <w:color w:val="000000"/>
                <w:sz w:val="32"/>
              </w:rPr>
              <w:t>南山</w:t>
            </w:r>
          </w:p>
        </w:tc>
      </w:tr>
      <w:tr>
        <w:tc>
          <w:tcPr>
            <w:tcW w:type="dxa" w:w="2835"/>
          </w:tcPr>
          <w:p>
            <w:pPr>
              <w:spacing w:lineRule="exact" w:line="600"/>
              <w:jc w:val="center"/>
            </w:pPr>
            <w:r/>
            <w:r>
              <w:rPr>
                <w:rFonts w:ascii="仿宋_GB2312" w:hAnsi="仿宋_GB2312" w:eastAsia="仿宋_GB2312"/>
                <w:b w:val="0"/>
                <w:color w:val="000000"/>
                <w:sz w:val="32"/>
              </w:rPr>
              <w:t>动力电池箔</w:t>
            </w:r>
          </w:p>
        </w:tc>
        <w:tc>
          <w:tcPr>
            <w:tcW w:type="dxa" w:w="3402"/>
          </w:tcPr>
          <w:p>
            <w:pPr>
              <w:spacing w:lineRule="exact" w:line="600"/>
              <w:jc w:val="center"/>
            </w:pPr>
            <w:r/>
            <w:r>
              <w:rPr>
                <w:rFonts w:ascii="仿宋_GB2312" w:hAnsi="仿宋_GB2312" w:eastAsia="仿宋_GB2312"/>
                <w:b w:val="0"/>
                <w:color w:val="000000"/>
                <w:sz w:val="32"/>
              </w:rPr>
              <w:t>高性能</w:t>
            </w:r>
          </w:p>
        </w:tc>
        <w:tc>
          <w:tcPr>
            <w:tcW w:type="dxa" w:w="2835"/>
          </w:tcPr>
          <w:p>
            <w:pPr>
              <w:spacing w:lineRule="exact" w:line="600"/>
              <w:jc w:val="center"/>
            </w:pPr>
            <w:r/>
            <w:r>
              <w:rPr>
                <w:rFonts w:ascii="仿宋_GB2312" w:hAnsi="仿宋_GB2312" w:eastAsia="仿宋_GB2312"/>
                <w:b w:val="0"/>
                <w:color w:val="000000"/>
                <w:sz w:val="32"/>
              </w:rPr>
              <w:t>南山</w:t>
            </w:r>
          </w:p>
        </w:tc>
      </w:tr>
      <w:tr>
        <w:tc>
          <w:tcPr>
            <w:tcW w:type="dxa" w:w="2835"/>
          </w:tcPr>
          <w:p>
            <w:pPr>
              <w:spacing w:lineRule="exact" w:line="600"/>
              <w:jc w:val="center"/>
            </w:pPr>
            <w:r/>
            <w:r>
              <w:rPr>
                <w:rFonts w:ascii="仿宋_GB2312" w:hAnsi="仿宋_GB2312" w:eastAsia="仿宋_GB2312"/>
                <w:b w:val="0"/>
                <w:color w:val="000000"/>
                <w:sz w:val="32"/>
              </w:rPr>
              <w:t>汽车部件</w:t>
            </w:r>
          </w:p>
        </w:tc>
        <w:tc>
          <w:tcPr>
            <w:tcW w:type="dxa" w:w="3402"/>
          </w:tcPr>
          <w:p>
            <w:pPr>
              <w:spacing w:lineRule="exact" w:line="600"/>
              <w:jc w:val="center"/>
            </w:pPr>
            <w:r/>
            <w:r>
              <w:rPr>
                <w:rFonts w:ascii="仿宋_GB2312" w:hAnsi="仿宋_GB2312" w:eastAsia="仿宋_GB2312"/>
                <w:b w:val="0"/>
                <w:color w:val="000000"/>
                <w:sz w:val="32"/>
              </w:rPr>
              <w:t>轻量化</w:t>
            </w:r>
          </w:p>
        </w:tc>
        <w:tc>
          <w:tcPr>
            <w:tcW w:type="dxa" w:w="2835"/>
          </w:tcPr>
          <w:p>
            <w:pPr>
              <w:spacing w:lineRule="exact" w:line="600"/>
              <w:jc w:val="center"/>
            </w:pPr>
            <w:r/>
            <w:r>
              <w:rPr>
                <w:rFonts w:ascii="仿宋_GB2312" w:hAnsi="仿宋_GB2312" w:eastAsia="仿宋_GB2312"/>
                <w:b w:val="0"/>
                <w:color w:val="000000"/>
                <w:sz w:val="32"/>
              </w:rPr>
              <w:t>丛林</w:t>
            </w:r>
          </w:p>
        </w:tc>
      </w:tr>
    </w:tbl>
    <w:p>
      <w:pPr>
        <w:spacing w:lineRule="exact" w:line="600" w:before="120" w:after="120"/>
        <w:ind w:firstLine="420"/>
        <w:jc w:val="left"/>
      </w:pPr>
      <w:r>
        <w:rPr>
          <w:rFonts w:ascii="楷体_GB2312" w:hAnsi="楷体_GB2312" w:eastAsia="楷体_GB2312"/>
          <w:b w:val="0"/>
          <w:color w:val="000000"/>
          <w:sz w:val="32"/>
        </w:rPr>
        <w:t>（二）绿色短流程</w:t>
      </w:r>
    </w:p>
    <w:p>
      <w:pPr>
        <w:spacing w:lineRule="exact" w:line="600" w:before="0" w:after="0"/>
        <w:ind w:firstLine="420"/>
        <w:jc w:val="both"/>
      </w:pPr>
      <w:r>
        <w:rPr>
          <w:rFonts w:ascii="仿宋_GB2312" w:hAnsi="仿宋_GB2312" w:eastAsia="仿宋_GB2312"/>
          <w:b w:val="0"/>
          <w:color w:val="000000"/>
          <w:sz w:val="32"/>
        </w:rPr>
        <w:t>巩固铝液短流程合金化优势，扩大再生铝（10万吨产能）在深加工中的应用，降低单位碳足迹。响应山东省铝产业绿色循环发展集群定位，构建「生产—回收—再利用」闭环，提升出口合规竞争力（应对碳边境调节机制），以绿色深加工塑造差异化优势。</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绿色路径</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进展</w:t>
            </w:r>
          </w:p>
        </w:tc>
      </w:tr>
      <w:tr>
        <w:tc>
          <w:tcPr>
            <w:tcW w:type="dxa" w:w="2835"/>
          </w:tcPr>
          <w:p>
            <w:pPr>
              <w:spacing w:lineRule="exact" w:line="600"/>
              <w:jc w:val="center"/>
            </w:pPr>
            <w:r/>
            <w:r>
              <w:rPr>
                <w:rFonts w:ascii="仿宋_GB2312" w:hAnsi="仿宋_GB2312" w:eastAsia="仿宋_GB2312"/>
                <w:b w:val="0"/>
                <w:color w:val="000000"/>
                <w:sz w:val="32"/>
              </w:rPr>
              <w:t>再生铝</w:t>
            </w:r>
          </w:p>
        </w:tc>
        <w:tc>
          <w:tcPr>
            <w:tcW w:type="dxa" w:w="3402"/>
          </w:tcPr>
          <w:p>
            <w:pPr>
              <w:spacing w:lineRule="exact" w:line="600"/>
              <w:jc w:val="center"/>
            </w:pPr>
            <w:r/>
            <w:r>
              <w:rPr>
                <w:rFonts w:ascii="仿宋_GB2312" w:hAnsi="仿宋_GB2312" w:eastAsia="仿宋_GB2312"/>
                <w:b w:val="0"/>
                <w:color w:val="000000"/>
                <w:sz w:val="32"/>
              </w:rPr>
              <w:t>10万吨</w:t>
            </w:r>
          </w:p>
        </w:tc>
        <w:tc>
          <w:tcPr>
            <w:tcW w:type="dxa" w:w="2835"/>
          </w:tcPr>
          <w:p>
            <w:pPr>
              <w:spacing w:lineRule="exact" w:line="600"/>
              <w:jc w:val="center"/>
            </w:pPr>
            <w:r/>
            <w:r>
              <w:rPr>
                <w:rFonts w:ascii="仿宋_GB2312" w:hAnsi="仿宋_GB2312" w:eastAsia="仿宋_GB2312"/>
                <w:b w:val="0"/>
                <w:color w:val="000000"/>
                <w:sz w:val="32"/>
              </w:rPr>
              <w:t>试生产</w:t>
            </w:r>
          </w:p>
        </w:tc>
      </w:tr>
      <w:tr>
        <w:tc>
          <w:tcPr>
            <w:tcW w:type="dxa" w:w="2835"/>
          </w:tcPr>
          <w:p>
            <w:pPr>
              <w:spacing w:lineRule="exact" w:line="600"/>
              <w:jc w:val="center"/>
            </w:pPr>
            <w:r/>
            <w:r>
              <w:rPr>
                <w:rFonts w:ascii="仿宋_GB2312" w:hAnsi="仿宋_GB2312" w:eastAsia="仿宋_GB2312"/>
                <w:b w:val="0"/>
                <w:color w:val="000000"/>
                <w:sz w:val="32"/>
              </w:rPr>
              <w:t>短流程</w:t>
            </w:r>
          </w:p>
        </w:tc>
        <w:tc>
          <w:tcPr>
            <w:tcW w:type="dxa" w:w="3402"/>
          </w:tcPr>
          <w:p>
            <w:pPr>
              <w:spacing w:lineRule="exact" w:line="600"/>
              <w:jc w:val="center"/>
            </w:pPr>
            <w:r/>
            <w:r>
              <w:rPr>
                <w:rFonts w:ascii="仿宋_GB2312" w:hAnsi="仿宋_GB2312" w:eastAsia="仿宋_GB2312"/>
                <w:b w:val="0"/>
                <w:color w:val="000000"/>
                <w:sz w:val="32"/>
              </w:rPr>
              <w:t>铝液直供</w:t>
            </w:r>
          </w:p>
        </w:tc>
        <w:tc>
          <w:tcPr>
            <w:tcW w:type="dxa" w:w="2835"/>
          </w:tcPr>
          <w:p>
            <w:pPr>
              <w:spacing w:lineRule="exact" w:line="600"/>
              <w:jc w:val="center"/>
            </w:pPr>
            <w:r/>
            <w:r>
              <w:rPr>
                <w:rFonts w:ascii="仿宋_GB2312" w:hAnsi="仿宋_GB2312" w:eastAsia="仿宋_GB2312"/>
                <w:b w:val="0"/>
                <w:color w:val="000000"/>
                <w:sz w:val="32"/>
              </w:rPr>
              <w:t>已应用</w:t>
            </w:r>
          </w:p>
        </w:tc>
      </w:tr>
      <w:tr>
        <w:tc>
          <w:tcPr>
            <w:tcW w:type="dxa" w:w="2835"/>
          </w:tcPr>
          <w:p>
            <w:pPr>
              <w:spacing w:lineRule="exact" w:line="600"/>
              <w:jc w:val="center"/>
            </w:pPr>
            <w:r/>
            <w:r>
              <w:rPr>
                <w:rFonts w:ascii="仿宋_GB2312" w:hAnsi="仿宋_GB2312" w:eastAsia="仿宋_GB2312"/>
                <w:b w:val="0"/>
                <w:color w:val="000000"/>
                <w:sz w:val="32"/>
              </w:rPr>
              <w:t>减碳</w:t>
            </w:r>
          </w:p>
        </w:tc>
        <w:tc>
          <w:tcPr>
            <w:tcW w:type="dxa" w:w="3402"/>
          </w:tcPr>
          <w:p>
            <w:pPr>
              <w:spacing w:lineRule="exact" w:line="600"/>
              <w:jc w:val="center"/>
            </w:pPr>
            <w:r/>
            <w:r>
              <w:rPr>
                <w:rFonts w:ascii="仿宋_GB2312" w:hAnsi="仿宋_GB2312" w:eastAsia="仿宋_GB2312"/>
                <w:b w:val="0"/>
                <w:color w:val="000000"/>
                <w:sz w:val="32"/>
              </w:rPr>
              <w:t>碳足迹管理</w:t>
            </w:r>
          </w:p>
        </w:tc>
        <w:tc>
          <w:tcPr>
            <w:tcW w:type="dxa" w:w="2835"/>
          </w:tcPr>
          <w:p>
            <w:pPr>
              <w:spacing w:lineRule="exact" w:line="600"/>
              <w:jc w:val="center"/>
            </w:pPr>
            <w:r/>
            <w:r>
              <w:rPr>
                <w:rFonts w:ascii="仿宋_GB2312" w:hAnsi="仿宋_GB2312" w:eastAsia="仿宋_GB2312"/>
                <w:b w:val="0"/>
                <w:color w:val="000000"/>
                <w:sz w:val="32"/>
              </w:rPr>
              <w:t>规划</w:t>
            </w:r>
          </w:p>
        </w:tc>
      </w:tr>
      <w:tr>
        <w:tc>
          <w:tcPr>
            <w:tcW w:type="dxa" w:w="2835"/>
          </w:tcPr>
          <w:p>
            <w:pPr>
              <w:spacing w:lineRule="exact" w:line="600"/>
              <w:jc w:val="center"/>
            </w:pPr>
            <w:r/>
            <w:r>
              <w:rPr>
                <w:rFonts w:ascii="仿宋_GB2312" w:hAnsi="仿宋_GB2312" w:eastAsia="仿宋_GB2312"/>
                <w:b w:val="0"/>
                <w:color w:val="000000"/>
                <w:sz w:val="32"/>
              </w:rPr>
              <w:t>循环</w:t>
            </w:r>
          </w:p>
        </w:tc>
        <w:tc>
          <w:tcPr>
            <w:tcW w:type="dxa" w:w="3402"/>
          </w:tcPr>
          <w:p>
            <w:pPr>
              <w:spacing w:lineRule="exact" w:line="600"/>
              <w:jc w:val="center"/>
            </w:pPr>
            <w:r/>
            <w:r>
              <w:rPr>
                <w:rFonts w:ascii="仿宋_GB2312" w:hAnsi="仿宋_GB2312" w:eastAsia="仿宋_GB2312"/>
                <w:b w:val="0"/>
                <w:color w:val="000000"/>
                <w:sz w:val="32"/>
              </w:rPr>
              <w:t>回收再利用</w:t>
            </w:r>
          </w:p>
        </w:tc>
        <w:tc>
          <w:tcPr>
            <w:tcW w:type="dxa" w:w="2835"/>
          </w:tcPr>
          <w:p>
            <w:pPr>
              <w:spacing w:lineRule="exact" w:line="600"/>
              <w:jc w:val="center"/>
            </w:pPr>
            <w:r/>
            <w:r>
              <w:rPr>
                <w:rFonts w:ascii="仿宋_GB2312" w:hAnsi="仿宋_GB2312" w:eastAsia="仿宋_GB2312"/>
                <w:b w:val="0"/>
                <w:color w:val="000000"/>
                <w:sz w:val="32"/>
              </w:rPr>
              <w:t>推进</w:t>
            </w:r>
          </w:p>
        </w:tc>
      </w:tr>
    </w:tbl>
    <w:p>
      <w:pPr>
        <w:spacing w:lineRule="exact" w:line="600" w:before="120" w:after="120"/>
        <w:ind w:firstLine="420"/>
        <w:jc w:val="left"/>
      </w:pPr>
      <w:r>
        <w:rPr>
          <w:rFonts w:ascii="楷体_GB2312" w:hAnsi="楷体_GB2312" w:eastAsia="楷体_GB2312"/>
          <w:b w:val="0"/>
          <w:color w:val="000000"/>
          <w:sz w:val="32"/>
        </w:rPr>
        <w:t>（三）数字化升级</w:t>
      </w:r>
    </w:p>
    <w:p>
      <w:pPr>
        <w:spacing w:lineRule="exact" w:line="600" w:before="0" w:after="0"/>
        <w:ind w:firstLine="420"/>
        <w:jc w:val="both"/>
      </w:pPr>
      <w:r>
        <w:rPr>
          <w:rFonts w:ascii="仿宋_GB2312" w:hAnsi="仿宋_GB2312" w:eastAsia="仿宋_GB2312"/>
          <w:b w:val="0"/>
          <w:color w:val="000000"/>
          <w:sz w:val="32"/>
        </w:rPr>
        <w:t>依托烟台中小企业数字化转型城市试点，推动35家以上重点企业智能产线、智能质检与供应链协同，目标将集群由「制造」转「智造」。推广工业互联网、5G、AI于挤压—轧制—焊接全过程，提升良率与一致性，降低对熟练工依赖，强化全球竞争力。</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数字升级</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指标</w:t>
            </w:r>
          </w:p>
        </w:tc>
      </w:tr>
      <w:tr>
        <w:tc>
          <w:tcPr>
            <w:tcW w:type="dxa" w:w="2835"/>
          </w:tcPr>
          <w:p>
            <w:pPr>
              <w:spacing w:lineRule="exact" w:line="600"/>
              <w:jc w:val="center"/>
            </w:pPr>
            <w:r/>
            <w:r>
              <w:rPr>
                <w:rFonts w:ascii="仿宋_GB2312" w:hAnsi="仿宋_GB2312" w:eastAsia="仿宋_GB2312"/>
                <w:b w:val="0"/>
                <w:color w:val="000000"/>
                <w:sz w:val="32"/>
              </w:rPr>
              <w:t>试点企业</w:t>
            </w:r>
          </w:p>
        </w:tc>
        <w:tc>
          <w:tcPr>
            <w:tcW w:type="dxa" w:w="3402"/>
          </w:tcPr>
          <w:p>
            <w:pPr>
              <w:spacing w:lineRule="exact" w:line="600"/>
              <w:jc w:val="center"/>
            </w:pPr>
            <w:r/>
            <w:r>
              <w:rPr>
                <w:rFonts w:ascii="仿宋_GB2312" w:hAnsi="仿宋_GB2312" w:eastAsia="仿宋_GB2312"/>
                <w:b w:val="0"/>
                <w:color w:val="000000"/>
                <w:sz w:val="32"/>
              </w:rPr>
              <w:t>35家已启动</w:t>
            </w:r>
          </w:p>
        </w:tc>
        <w:tc>
          <w:tcPr>
            <w:tcW w:type="dxa" w:w="2835"/>
          </w:tcPr>
          <w:p>
            <w:pPr>
              <w:spacing w:lineRule="exact" w:line="600"/>
              <w:jc w:val="center"/>
            </w:pPr>
            <w:r/>
            <w:r>
              <w:rPr>
                <w:rFonts w:ascii="仿宋_GB2312" w:hAnsi="仿宋_GB2312" w:eastAsia="仿宋_GB2312"/>
                <w:b w:val="0"/>
                <w:color w:val="000000"/>
                <w:sz w:val="32"/>
              </w:rPr>
              <w:t>占187家</w:t>
            </w:r>
          </w:p>
        </w:tc>
      </w:tr>
      <w:tr>
        <w:tc>
          <w:tcPr>
            <w:tcW w:type="dxa" w:w="2835"/>
          </w:tcPr>
          <w:p>
            <w:pPr>
              <w:spacing w:lineRule="exact" w:line="600"/>
              <w:jc w:val="center"/>
            </w:pPr>
            <w:r/>
            <w:r>
              <w:rPr>
                <w:rFonts w:ascii="仿宋_GB2312" w:hAnsi="仿宋_GB2312" w:eastAsia="仿宋_GB2312"/>
                <w:b w:val="0"/>
                <w:color w:val="000000"/>
                <w:sz w:val="32"/>
              </w:rPr>
              <w:t>智能质检</w:t>
            </w:r>
          </w:p>
        </w:tc>
        <w:tc>
          <w:tcPr>
            <w:tcW w:type="dxa" w:w="3402"/>
          </w:tcPr>
          <w:p>
            <w:pPr>
              <w:spacing w:lineRule="exact" w:line="600"/>
              <w:jc w:val="center"/>
            </w:pPr>
            <w:r/>
            <w:r>
              <w:rPr>
                <w:rFonts w:ascii="仿宋_GB2312" w:hAnsi="仿宋_GB2312" w:eastAsia="仿宋_GB2312"/>
                <w:b w:val="0"/>
                <w:color w:val="000000"/>
                <w:sz w:val="32"/>
              </w:rPr>
              <w:t>检出97%</w:t>
            </w:r>
          </w:p>
        </w:tc>
        <w:tc>
          <w:tcPr>
            <w:tcW w:type="dxa" w:w="2835"/>
          </w:tcPr>
          <w:p>
            <w:pPr>
              <w:spacing w:lineRule="exact" w:line="600"/>
              <w:jc w:val="center"/>
            </w:pPr>
            <w:r/>
            <w:r>
              <w:rPr>
                <w:rFonts w:ascii="仿宋_GB2312" w:hAnsi="仿宋_GB2312" w:eastAsia="仿宋_GB2312"/>
                <w:b w:val="0"/>
                <w:color w:val="000000"/>
                <w:sz w:val="32"/>
              </w:rPr>
              <w:t>和义案例</w:t>
            </w:r>
          </w:p>
        </w:tc>
      </w:tr>
      <w:tr>
        <w:tc>
          <w:tcPr>
            <w:tcW w:type="dxa" w:w="2835"/>
          </w:tcPr>
          <w:p>
            <w:pPr>
              <w:spacing w:lineRule="exact" w:line="600"/>
              <w:jc w:val="center"/>
            </w:pPr>
            <w:r/>
            <w:r>
              <w:rPr>
                <w:rFonts w:ascii="仿宋_GB2312" w:hAnsi="仿宋_GB2312" w:eastAsia="仿宋_GB2312"/>
                <w:b w:val="0"/>
                <w:color w:val="000000"/>
                <w:sz w:val="32"/>
              </w:rPr>
              <w:t>平台</w:t>
            </w:r>
          </w:p>
        </w:tc>
        <w:tc>
          <w:tcPr>
            <w:tcW w:type="dxa" w:w="3402"/>
          </w:tcPr>
          <w:p>
            <w:pPr>
              <w:spacing w:lineRule="exact" w:line="600"/>
              <w:jc w:val="center"/>
            </w:pPr>
            <w:r/>
            <w:r>
              <w:rPr>
                <w:rFonts w:ascii="仿宋_GB2312" w:hAnsi="仿宋_GB2312" w:eastAsia="仿宋_GB2312"/>
                <w:b w:val="0"/>
                <w:color w:val="000000"/>
                <w:sz w:val="32"/>
              </w:rPr>
              <w:t>工业互联网</w:t>
            </w:r>
          </w:p>
        </w:tc>
        <w:tc>
          <w:tcPr>
            <w:tcW w:type="dxa" w:w="2835"/>
          </w:tcPr>
          <w:p>
            <w:pPr>
              <w:spacing w:lineRule="exact" w:line="600"/>
              <w:jc w:val="center"/>
            </w:pPr>
            <w:r/>
            <w:r>
              <w:rPr>
                <w:rFonts w:ascii="仿宋_GB2312" w:hAnsi="仿宋_GB2312" w:eastAsia="仿宋_GB2312"/>
                <w:b w:val="0"/>
                <w:color w:val="000000"/>
                <w:sz w:val="32"/>
              </w:rPr>
              <w:t>5G/AI</w:t>
            </w:r>
          </w:p>
        </w:tc>
      </w:tr>
      <w:tr>
        <w:tc>
          <w:tcPr>
            <w:tcW w:type="dxa" w:w="2835"/>
          </w:tcPr>
          <w:p>
            <w:pPr>
              <w:spacing w:lineRule="exact" w:line="600"/>
              <w:jc w:val="center"/>
            </w:pPr>
            <w:r/>
            <w:r>
              <w:rPr>
                <w:rFonts w:ascii="仿宋_GB2312" w:hAnsi="仿宋_GB2312" w:eastAsia="仿宋_GB2312"/>
                <w:b w:val="0"/>
                <w:color w:val="000000"/>
                <w:sz w:val="32"/>
              </w:rPr>
              <w:t>目标</w:t>
            </w:r>
          </w:p>
        </w:tc>
        <w:tc>
          <w:tcPr>
            <w:tcW w:type="dxa" w:w="3402"/>
          </w:tcPr>
          <w:p>
            <w:pPr>
              <w:spacing w:lineRule="exact" w:line="600"/>
              <w:jc w:val="center"/>
            </w:pPr>
            <w:r/>
            <w:r>
              <w:rPr>
                <w:rFonts w:ascii="仿宋_GB2312" w:hAnsi="仿宋_GB2312" w:eastAsia="仿宋_GB2312"/>
                <w:b w:val="0"/>
                <w:color w:val="000000"/>
                <w:sz w:val="32"/>
              </w:rPr>
              <w:t>智造转型</w:t>
            </w:r>
          </w:p>
        </w:tc>
        <w:tc>
          <w:tcPr>
            <w:tcW w:type="dxa" w:w="2835"/>
          </w:tcPr>
          <w:p>
            <w:pPr>
              <w:spacing w:lineRule="exact" w:line="600"/>
              <w:jc w:val="center"/>
            </w:pPr>
            <w:r/>
            <w:r>
              <w:rPr>
                <w:rFonts w:ascii="仿宋_GB2312" w:hAnsi="仿宋_GB2312" w:eastAsia="仿宋_GB2312"/>
                <w:b w:val="0"/>
                <w:color w:val="000000"/>
                <w:sz w:val="32"/>
              </w:rPr>
              <w:t>持续</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（一）深加工产能融资</w:t>
      </w:r>
    </w:p>
    <w:p>
      <w:pPr>
        <w:spacing w:lineRule="exact" w:line="600" w:before="0" w:after="0"/>
        <w:ind w:firstLine="420"/>
        <w:jc w:val="both"/>
      </w:pPr>
      <w:r>
        <w:rPr>
          <w:rFonts w:ascii="仿宋_GB2312" w:hAnsi="仿宋_GB2312" w:eastAsia="仿宋_GB2312"/>
          <w:b w:val="0"/>
          <w:color w:val="000000"/>
          <w:sz w:val="32"/>
        </w:rPr>
        <w:t>汽车板三期、航空板全规格扩产、动力电池箔及丛林新能源汽车部件产线需大额资本开支，适合项目贷款、设备融资租赁、绿色债券。南山2023年研发费用12.73亿元、资本开支持续，存在中长期资金需求；配套企业（博瑞特新设备300万元等）需流动资金与技改贷。</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融资方向</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方式</w:t>
            </w:r>
          </w:p>
        </w:tc>
      </w:tr>
      <w:tr>
        <w:tc>
          <w:tcPr>
            <w:tcW w:type="dxa" w:w="2835"/>
          </w:tcPr>
          <w:p>
            <w:pPr>
              <w:spacing w:lineRule="exact" w:line="600"/>
              <w:jc w:val="center"/>
            </w:pPr>
            <w:r/>
            <w:r>
              <w:rPr>
                <w:rFonts w:ascii="仿宋_GB2312" w:hAnsi="仿宋_GB2312" w:eastAsia="仿宋_GB2312"/>
                <w:b w:val="0"/>
                <w:color w:val="000000"/>
                <w:sz w:val="32"/>
              </w:rPr>
              <w:t>汽车板三期</w:t>
            </w:r>
          </w:p>
        </w:tc>
        <w:tc>
          <w:tcPr>
            <w:tcW w:type="dxa" w:w="3402"/>
          </w:tcPr>
          <w:p>
            <w:pPr>
              <w:spacing w:lineRule="exact" w:line="600"/>
              <w:jc w:val="center"/>
            </w:pPr>
            <w:r/>
            <w:r>
              <w:rPr>
                <w:rFonts w:ascii="仿宋_GB2312" w:hAnsi="仿宋_GB2312" w:eastAsia="仿宋_GB2312"/>
                <w:b w:val="0"/>
                <w:color w:val="000000"/>
                <w:sz w:val="32"/>
              </w:rPr>
              <w:t>20万吨</w:t>
            </w:r>
          </w:p>
        </w:tc>
        <w:tc>
          <w:tcPr>
            <w:tcW w:type="dxa" w:w="2835"/>
          </w:tcPr>
          <w:p>
            <w:pPr>
              <w:spacing w:lineRule="exact" w:line="600"/>
              <w:jc w:val="center"/>
            </w:pPr>
            <w:r/>
            <w:r>
              <w:rPr>
                <w:rFonts w:ascii="仿宋_GB2312" w:hAnsi="仿宋_GB2312" w:eastAsia="仿宋_GB2312"/>
                <w:b w:val="0"/>
                <w:color w:val="000000"/>
                <w:sz w:val="32"/>
              </w:rPr>
              <w:t>项目贷</w:t>
            </w:r>
          </w:p>
        </w:tc>
      </w:tr>
      <w:tr>
        <w:tc>
          <w:tcPr>
            <w:tcW w:type="dxa" w:w="2835"/>
          </w:tcPr>
          <w:p>
            <w:pPr>
              <w:spacing w:lineRule="exact" w:line="600"/>
              <w:jc w:val="center"/>
            </w:pPr>
            <w:r/>
            <w:r>
              <w:rPr>
                <w:rFonts w:ascii="仿宋_GB2312" w:hAnsi="仿宋_GB2312" w:eastAsia="仿宋_GB2312"/>
                <w:b w:val="0"/>
                <w:color w:val="000000"/>
                <w:sz w:val="32"/>
              </w:rPr>
              <w:t>航空板</w:t>
            </w:r>
          </w:p>
        </w:tc>
        <w:tc>
          <w:tcPr>
            <w:tcW w:type="dxa" w:w="3402"/>
          </w:tcPr>
          <w:p>
            <w:pPr>
              <w:spacing w:lineRule="exact" w:line="600"/>
              <w:jc w:val="center"/>
            </w:pPr>
            <w:r/>
            <w:r>
              <w:rPr>
                <w:rFonts w:ascii="仿宋_GB2312" w:hAnsi="仿宋_GB2312" w:eastAsia="仿宋_GB2312"/>
                <w:b w:val="0"/>
                <w:color w:val="000000"/>
                <w:sz w:val="32"/>
              </w:rPr>
              <w:t>全规格</w:t>
            </w:r>
          </w:p>
        </w:tc>
        <w:tc>
          <w:tcPr>
            <w:tcW w:type="dxa" w:w="2835"/>
          </w:tcPr>
          <w:p>
            <w:pPr>
              <w:spacing w:lineRule="exact" w:line="600"/>
              <w:jc w:val="center"/>
            </w:pPr>
            <w:r/>
            <w:r>
              <w:rPr>
                <w:rFonts w:ascii="仿宋_GB2312" w:hAnsi="仿宋_GB2312" w:eastAsia="仿宋_GB2312"/>
                <w:b w:val="0"/>
                <w:color w:val="000000"/>
                <w:sz w:val="32"/>
              </w:rPr>
              <w:t>股权/债权</w:t>
            </w:r>
          </w:p>
        </w:tc>
      </w:tr>
      <w:tr>
        <w:tc>
          <w:tcPr>
            <w:tcW w:type="dxa" w:w="2835"/>
          </w:tcPr>
          <w:p>
            <w:pPr>
              <w:spacing w:lineRule="exact" w:line="600"/>
              <w:jc w:val="center"/>
            </w:pPr>
            <w:r/>
            <w:r>
              <w:rPr>
                <w:rFonts w:ascii="仿宋_GB2312" w:hAnsi="仿宋_GB2312" w:eastAsia="仿宋_GB2312"/>
                <w:b w:val="0"/>
                <w:color w:val="000000"/>
                <w:sz w:val="32"/>
              </w:rPr>
              <w:t>丛林部件</w:t>
            </w:r>
          </w:p>
        </w:tc>
        <w:tc>
          <w:tcPr>
            <w:tcW w:type="dxa" w:w="3402"/>
          </w:tcPr>
          <w:p>
            <w:pPr>
              <w:spacing w:lineRule="exact" w:line="600"/>
              <w:jc w:val="center"/>
            </w:pPr>
            <w:r/>
            <w:r>
              <w:rPr>
                <w:rFonts w:ascii="仿宋_GB2312" w:hAnsi="仿宋_GB2312" w:eastAsia="仿宋_GB2312"/>
                <w:b w:val="0"/>
                <w:color w:val="000000"/>
                <w:sz w:val="32"/>
              </w:rPr>
              <w:t>新能源产线</w:t>
            </w:r>
          </w:p>
        </w:tc>
        <w:tc>
          <w:tcPr>
            <w:tcW w:type="dxa" w:w="2835"/>
          </w:tcPr>
          <w:p>
            <w:pPr>
              <w:spacing w:lineRule="exact" w:line="600"/>
              <w:jc w:val="center"/>
            </w:pPr>
            <w:r/>
            <w:r>
              <w:rPr>
                <w:rFonts w:ascii="仿宋_GB2312" w:hAnsi="仿宋_GB2312" w:eastAsia="仿宋_GB2312"/>
                <w:b w:val="0"/>
                <w:color w:val="000000"/>
                <w:sz w:val="32"/>
              </w:rPr>
              <w:t>融资租赁</w:t>
            </w:r>
          </w:p>
        </w:tc>
      </w:tr>
      <w:tr>
        <w:tc>
          <w:tcPr>
            <w:tcW w:type="dxa" w:w="2835"/>
          </w:tcPr>
          <w:p>
            <w:pPr>
              <w:spacing w:lineRule="exact" w:line="600"/>
              <w:jc w:val="center"/>
            </w:pPr>
            <w:r/>
            <w:r>
              <w:rPr>
                <w:rFonts w:ascii="仿宋_GB2312" w:hAnsi="仿宋_GB2312" w:eastAsia="仿宋_GB2312"/>
                <w:b w:val="0"/>
                <w:color w:val="000000"/>
                <w:sz w:val="32"/>
              </w:rPr>
              <w:t>配套技改</w:t>
            </w:r>
          </w:p>
        </w:tc>
        <w:tc>
          <w:tcPr>
            <w:tcW w:type="dxa" w:w="3402"/>
          </w:tcPr>
          <w:p>
            <w:pPr>
              <w:spacing w:lineRule="exact" w:line="600"/>
              <w:jc w:val="center"/>
            </w:pPr>
            <w:r/>
            <w:r>
              <w:rPr>
                <w:rFonts w:ascii="仿宋_GB2312" w:hAnsi="仿宋_GB2312" w:eastAsia="仿宋_GB2312"/>
                <w:b w:val="0"/>
                <w:color w:val="000000"/>
                <w:sz w:val="32"/>
              </w:rPr>
              <w:t>模具设备</w:t>
            </w:r>
          </w:p>
        </w:tc>
        <w:tc>
          <w:tcPr>
            <w:tcW w:type="dxa" w:w="2835"/>
          </w:tcPr>
          <w:p>
            <w:pPr>
              <w:spacing w:lineRule="exact" w:line="600"/>
              <w:jc w:val="center"/>
            </w:pPr>
            <w:r/>
            <w:r>
              <w:rPr>
                <w:rFonts w:ascii="仿宋_GB2312" w:hAnsi="仿宋_GB2312" w:eastAsia="仿宋_GB2312"/>
                <w:b w:val="0"/>
                <w:color w:val="000000"/>
                <w:sz w:val="32"/>
              </w:rPr>
              <w:t>流贷</w:t>
            </w:r>
          </w:p>
        </w:tc>
      </w:tr>
    </w:tbl>
    <w:p>
      <w:pPr>
        <w:spacing w:lineRule="exact" w:line="600" w:before="120" w:after="120"/>
        <w:ind w:firstLine="420"/>
        <w:jc w:val="left"/>
      </w:pPr>
      <w:r>
        <w:rPr>
          <w:rFonts w:ascii="楷体_GB2312" w:hAnsi="楷体_GB2312" w:eastAsia="楷体_GB2312"/>
          <w:b w:val="0"/>
          <w:color w:val="000000"/>
          <w:sz w:val="32"/>
        </w:rPr>
        <w:t>（二）研发与平台</w:t>
      </w:r>
    </w:p>
    <w:p>
      <w:pPr>
        <w:spacing w:lineRule="exact" w:line="600" w:before="0" w:after="0"/>
        <w:ind w:firstLine="420"/>
        <w:jc w:val="both"/>
      </w:pPr>
      <w:r>
        <w:rPr>
          <w:rFonts w:ascii="仿宋_GB2312" w:hAnsi="仿宋_GB2312" w:eastAsia="仿宋_GB2312"/>
          <w:b w:val="0"/>
          <w:color w:val="000000"/>
          <w:sz w:val="32"/>
        </w:rPr>
        <w:t>民机材料联合研究中心、省级创新中心、C919翼长桁等共性技术攻关需持续研发投入，适合重大科技专项、揭榜挂帅、知识产权质押、科技成果转化基金，降低企业独立研发资金压力，加速深加工技术国产化。</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研发融资</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工具</w:t>
            </w:r>
          </w:p>
        </w:tc>
      </w:tr>
      <w:tr>
        <w:tc>
          <w:tcPr>
            <w:tcW w:type="dxa" w:w="2835"/>
          </w:tcPr>
          <w:p>
            <w:pPr>
              <w:spacing w:lineRule="exact" w:line="600"/>
              <w:jc w:val="center"/>
            </w:pPr>
            <w:r/>
            <w:r>
              <w:rPr>
                <w:rFonts w:ascii="仿宋_GB2312" w:hAnsi="仿宋_GB2312" w:eastAsia="仿宋_GB2312"/>
                <w:b w:val="0"/>
                <w:color w:val="000000"/>
                <w:sz w:val="32"/>
              </w:rPr>
              <w:t>航空材攻关</w:t>
            </w:r>
          </w:p>
        </w:tc>
        <w:tc>
          <w:tcPr>
            <w:tcW w:type="dxa" w:w="3402"/>
          </w:tcPr>
          <w:p>
            <w:pPr>
              <w:spacing w:lineRule="exact" w:line="600"/>
              <w:jc w:val="center"/>
            </w:pPr>
            <w:r/>
            <w:r>
              <w:rPr>
                <w:rFonts w:ascii="仿宋_GB2312" w:hAnsi="仿宋_GB2312" w:eastAsia="仿宋_GB2312"/>
                <w:b w:val="0"/>
                <w:color w:val="000000"/>
                <w:sz w:val="32"/>
              </w:rPr>
              <w:t>C919</w:t>
            </w:r>
          </w:p>
        </w:tc>
        <w:tc>
          <w:tcPr>
            <w:tcW w:type="dxa" w:w="2835"/>
          </w:tcPr>
          <w:p>
            <w:pPr>
              <w:spacing w:lineRule="exact" w:line="600"/>
              <w:jc w:val="center"/>
            </w:pPr>
            <w:r/>
            <w:r>
              <w:rPr>
                <w:rFonts w:ascii="仿宋_GB2312" w:hAnsi="仿宋_GB2312" w:eastAsia="仿宋_GB2312"/>
                <w:b w:val="0"/>
                <w:color w:val="000000"/>
                <w:sz w:val="32"/>
              </w:rPr>
              <w:t>科技专项</w:t>
            </w:r>
          </w:p>
        </w:tc>
      </w:tr>
      <w:tr>
        <w:tc>
          <w:tcPr>
            <w:tcW w:type="dxa" w:w="2835"/>
          </w:tcPr>
          <w:p>
            <w:pPr>
              <w:spacing w:lineRule="exact" w:line="600"/>
              <w:jc w:val="center"/>
            </w:pPr>
            <w:r/>
            <w:r>
              <w:rPr>
                <w:rFonts w:ascii="仿宋_GB2312" w:hAnsi="仿宋_GB2312" w:eastAsia="仿宋_GB2312"/>
                <w:b w:val="0"/>
                <w:color w:val="000000"/>
                <w:sz w:val="32"/>
              </w:rPr>
              <w:t>创新中心</w:t>
            </w:r>
          </w:p>
        </w:tc>
        <w:tc>
          <w:tcPr>
            <w:tcW w:type="dxa" w:w="3402"/>
          </w:tcPr>
          <w:p>
            <w:pPr>
              <w:spacing w:lineRule="exact" w:line="600"/>
              <w:jc w:val="center"/>
            </w:pPr>
            <w:r/>
            <w:r>
              <w:rPr>
                <w:rFonts w:ascii="仿宋_GB2312" w:hAnsi="仿宋_GB2312" w:eastAsia="仿宋_GB2312"/>
                <w:b w:val="0"/>
                <w:color w:val="000000"/>
                <w:sz w:val="32"/>
              </w:rPr>
              <w:t>省级</w:t>
            </w:r>
          </w:p>
        </w:tc>
        <w:tc>
          <w:tcPr>
            <w:tcW w:type="dxa" w:w="2835"/>
          </w:tcPr>
          <w:p>
            <w:pPr>
              <w:spacing w:lineRule="exact" w:line="600"/>
              <w:jc w:val="center"/>
            </w:pPr>
            <w:r/>
            <w:r>
              <w:rPr>
                <w:rFonts w:ascii="仿宋_GB2312" w:hAnsi="仿宋_GB2312" w:eastAsia="仿宋_GB2312"/>
                <w:b w:val="0"/>
                <w:color w:val="000000"/>
                <w:sz w:val="32"/>
              </w:rPr>
              <w:t>揭榜挂帅</w:t>
            </w:r>
          </w:p>
        </w:tc>
      </w:tr>
      <w:tr>
        <w:tc>
          <w:tcPr>
            <w:tcW w:type="dxa" w:w="2835"/>
          </w:tcPr>
          <w:p>
            <w:pPr>
              <w:spacing w:lineRule="exact" w:line="600"/>
              <w:jc w:val="center"/>
            </w:pPr>
            <w:r/>
            <w:r>
              <w:rPr>
                <w:rFonts w:ascii="仿宋_GB2312" w:hAnsi="仿宋_GB2312" w:eastAsia="仿宋_GB2312"/>
                <w:b w:val="0"/>
                <w:color w:val="000000"/>
                <w:sz w:val="32"/>
              </w:rPr>
              <w:t>专利产业化</w:t>
            </w:r>
          </w:p>
        </w:tc>
        <w:tc>
          <w:tcPr>
            <w:tcW w:type="dxa" w:w="3402"/>
          </w:tcPr>
          <w:p>
            <w:pPr>
              <w:spacing w:lineRule="exact" w:line="600"/>
              <w:jc w:val="center"/>
            </w:pPr>
            <w:r/>
            <w:r>
              <w:rPr>
                <w:rFonts w:ascii="仿宋_GB2312" w:hAnsi="仿宋_GB2312" w:eastAsia="仿宋_GB2312"/>
                <w:b w:val="0"/>
                <w:color w:val="000000"/>
                <w:sz w:val="32"/>
              </w:rPr>
              <w:t>深加工</w:t>
            </w:r>
          </w:p>
        </w:tc>
        <w:tc>
          <w:tcPr>
            <w:tcW w:type="dxa" w:w="2835"/>
          </w:tcPr>
          <w:p>
            <w:pPr>
              <w:spacing w:lineRule="exact" w:line="600"/>
              <w:jc w:val="center"/>
            </w:pPr>
            <w:r/>
            <w:r>
              <w:rPr>
                <w:rFonts w:ascii="仿宋_GB2312" w:hAnsi="仿宋_GB2312" w:eastAsia="仿宋_GB2312"/>
                <w:b w:val="0"/>
                <w:color w:val="000000"/>
                <w:sz w:val="32"/>
              </w:rPr>
              <w:t>知识产权质押</w:t>
            </w:r>
          </w:p>
        </w:tc>
      </w:tr>
      <w:tr>
        <w:tc>
          <w:tcPr>
            <w:tcW w:type="dxa" w:w="2835"/>
          </w:tcPr>
          <w:p>
            <w:pPr>
              <w:spacing w:lineRule="exact" w:line="600"/>
              <w:jc w:val="center"/>
            </w:pPr>
            <w:r/>
            <w:r>
              <w:rPr>
                <w:rFonts w:ascii="仿宋_GB2312" w:hAnsi="仿宋_GB2312" w:eastAsia="仿宋_GB2312"/>
                <w:b w:val="0"/>
                <w:color w:val="000000"/>
                <w:sz w:val="32"/>
              </w:rPr>
              <w:t>人才</w:t>
            </w:r>
          </w:p>
        </w:tc>
        <w:tc>
          <w:tcPr>
            <w:tcW w:type="dxa" w:w="3402"/>
          </w:tcPr>
          <w:p>
            <w:pPr>
              <w:spacing w:lineRule="exact" w:line="600"/>
              <w:jc w:val="center"/>
            </w:pPr>
            <w:r/>
            <w:r>
              <w:rPr>
                <w:rFonts w:ascii="仿宋_GB2312" w:hAnsi="仿宋_GB2312" w:eastAsia="仿宋_GB2312"/>
                <w:b w:val="0"/>
                <w:color w:val="000000"/>
                <w:sz w:val="32"/>
              </w:rPr>
              <w:t>高端团队</w:t>
            </w:r>
          </w:p>
        </w:tc>
        <w:tc>
          <w:tcPr>
            <w:tcW w:type="dxa" w:w="2835"/>
          </w:tcPr>
          <w:p>
            <w:pPr>
              <w:spacing w:lineRule="exact" w:line="600"/>
              <w:jc w:val="center"/>
            </w:pPr>
            <w:r/>
            <w:r>
              <w:rPr>
                <w:rFonts w:ascii="仿宋_GB2312" w:hAnsi="仿宋_GB2312" w:eastAsia="仿宋_GB2312"/>
                <w:b w:val="0"/>
                <w:color w:val="000000"/>
                <w:sz w:val="32"/>
              </w:rPr>
              <w:t>人才基金</w:t>
            </w:r>
          </w:p>
        </w:tc>
      </w:tr>
    </w:tbl>
    <w:p>
      <w:pPr>
        <w:spacing w:lineRule="exact" w:line="600" w:before="120" w:after="120"/>
        <w:ind w:firstLine="420"/>
        <w:jc w:val="left"/>
      </w:pPr>
      <w:r>
        <w:rPr>
          <w:rFonts w:ascii="楷体_GB2312" w:hAnsi="楷体_GB2312" w:eastAsia="楷体_GB2312"/>
          <w:b w:val="0"/>
          <w:color w:val="000000"/>
          <w:sz w:val="32"/>
        </w:rPr>
        <w:t>（三）绿色数字改造</w:t>
      </w:r>
    </w:p>
    <w:p>
      <w:pPr>
        <w:spacing w:lineRule="exact" w:line="600" w:before="0" w:after="0"/>
        <w:ind w:firstLine="420"/>
        <w:jc w:val="both"/>
      </w:pPr>
      <w:r>
        <w:rPr>
          <w:rFonts w:ascii="仿宋_GB2312" w:hAnsi="仿宋_GB2312" w:eastAsia="仿宋_GB2312"/>
          <w:b w:val="0"/>
          <w:color w:val="000000"/>
          <w:sz w:val="32"/>
        </w:rPr>
        <w:t>再生铝、减碳改造、数字化车间符合绿色信贷与转型金融。中小企业智能化一次性投入大，适合设备更新改造再贷款、政银担风险补偿、供应链金融等低成本资金，加快技改升级。</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绿色/数字</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工具</w:t>
            </w:r>
          </w:p>
        </w:tc>
      </w:tr>
      <w:tr>
        <w:tc>
          <w:tcPr>
            <w:tcW w:type="dxa" w:w="2835"/>
          </w:tcPr>
          <w:p>
            <w:pPr>
              <w:spacing w:lineRule="exact" w:line="600"/>
              <w:jc w:val="center"/>
            </w:pPr>
            <w:r/>
            <w:r>
              <w:rPr>
                <w:rFonts w:ascii="仿宋_GB2312" w:hAnsi="仿宋_GB2312" w:eastAsia="仿宋_GB2312"/>
                <w:b w:val="0"/>
                <w:color w:val="000000"/>
                <w:sz w:val="32"/>
              </w:rPr>
              <w:t>再生铝</w:t>
            </w:r>
          </w:p>
        </w:tc>
        <w:tc>
          <w:tcPr>
            <w:tcW w:type="dxa" w:w="3402"/>
          </w:tcPr>
          <w:p>
            <w:pPr>
              <w:spacing w:lineRule="exact" w:line="600"/>
              <w:jc w:val="center"/>
            </w:pPr>
            <w:r/>
            <w:r>
              <w:rPr>
                <w:rFonts w:ascii="仿宋_GB2312" w:hAnsi="仿宋_GB2312" w:eastAsia="仿宋_GB2312"/>
                <w:b w:val="0"/>
                <w:color w:val="000000"/>
                <w:sz w:val="32"/>
              </w:rPr>
              <w:t>产线</w:t>
            </w:r>
          </w:p>
        </w:tc>
        <w:tc>
          <w:tcPr>
            <w:tcW w:type="dxa" w:w="2835"/>
          </w:tcPr>
          <w:p>
            <w:pPr>
              <w:spacing w:lineRule="exact" w:line="600"/>
              <w:jc w:val="center"/>
            </w:pPr>
            <w:r/>
            <w:r>
              <w:rPr>
                <w:rFonts w:ascii="仿宋_GB2312" w:hAnsi="仿宋_GB2312" w:eastAsia="仿宋_GB2312"/>
                <w:b w:val="0"/>
                <w:color w:val="000000"/>
                <w:sz w:val="32"/>
              </w:rPr>
              <w:t>绿色债券</w:t>
            </w:r>
          </w:p>
        </w:tc>
      </w:tr>
      <w:tr>
        <w:tc>
          <w:tcPr>
            <w:tcW w:type="dxa" w:w="2835"/>
          </w:tcPr>
          <w:p>
            <w:pPr>
              <w:spacing w:lineRule="exact" w:line="600"/>
              <w:jc w:val="center"/>
            </w:pPr>
            <w:r/>
            <w:r>
              <w:rPr>
                <w:rFonts w:ascii="仿宋_GB2312" w:hAnsi="仿宋_GB2312" w:eastAsia="仿宋_GB2312"/>
                <w:b w:val="0"/>
                <w:color w:val="000000"/>
                <w:sz w:val="32"/>
              </w:rPr>
              <w:t>减碳</w:t>
            </w:r>
          </w:p>
        </w:tc>
        <w:tc>
          <w:tcPr>
            <w:tcW w:type="dxa" w:w="3402"/>
          </w:tcPr>
          <w:p>
            <w:pPr>
              <w:spacing w:lineRule="exact" w:line="600"/>
              <w:jc w:val="center"/>
            </w:pPr>
            <w:r/>
            <w:r>
              <w:rPr>
                <w:rFonts w:ascii="仿宋_GB2312" w:hAnsi="仿宋_GB2312" w:eastAsia="仿宋_GB2312"/>
                <w:b w:val="0"/>
                <w:color w:val="000000"/>
                <w:sz w:val="32"/>
              </w:rPr>
              <w:t>能效</w:t>
            </w:r>
          </w:p>
        </w:tc>
        <w:tc>
          <w:tcPr>
            <w:tcW w:type="dxa" w:w="2835"/>
          </w:tcPr>
          <w:p>
            <w:pPr>
              <w:spacing w:lineRule="exact" w:line="600"/>
              <w:jc w:val="center"/>
            </w:pPr>
            <w:r/>
            <w:r>
              <w:rPr>
                <w:rFonts w:ascii="仿宋_GB2312" w:hAnsi="仿宋_GB2312" w:eastAsia="仿宋_GB2312"/>
                <w:b w:val="0"/>
                <w:color w:val="000000"/>
                <w:sz w:val="32"/>
              </w:rPr>
              <w:t>碳减排工具</w:t>
            </w:r>
          </w:p>
        </w:tc>
      </w:tr>
      <w:tr>
        <w:tc>
          <w:tcPr>
            <w:tcW w:type="dxa" w:w="2835"/>
          </w:tcPr>
          <w:p>
            <w:pPr>
              <w:spacing w:lineRule="exact" w:line="600"/>
              <w:jc w:val="center"/>
            </w:pPr>
            <w:r/>
            <w:r>
              <w:rPr>
                <w:rFonts w:ascii="仿宋_GB2312" w:hAnsi="仿宋_GB2312" w:eastAsia="仿宋_GB2312"/>
                <w:b w:val="0"/>
                <w:color w:val="000000"/>
                <w:sz w:val="32"/>
              </w:rPr>
              <w:t>数字化</w:t>
            </w:r>
          </w:p>
        </w:tc>
        <w:tc>
          <w:tcPr>
            <w:tcW w:type="dxa" w:w="3402"/>
          </w:tcPr>
          <w:p>
            <w:pPr>
              <w:spacing w:lineRule="exact" w:line="600"/>
              <w:jc w:val="center"/>
            </w:pPr>
            <w:r/>
            <w:r>
              <w:rPr>
                <w:rFonts w:ascii="仿宋_GB2312" w:hAnsi="仿宋_GB2312" w:eastAsia="仿宋_GB2312"/>
                <w:b w:val="0"/>
                <w:color w:val="000000"/>
                <w:sz w:val="32"/>
              </w:rPr>
              <w:t>智能产线</w:t>
            </w:r>
          </w:p>
        </w:tc>
        <w:tc>
          <w:tcPr>
            <w:tcW w:type="dxa" w:w="2835"/>
          </w:tcPr>
          <w:p>
            <w:pPr>
              <w:spacing w:lineRule="exact" w:line="600"/>
              <w:jc w:val="center"/>
            </w:pPr>
            <w:r/>
            <w:r>
              <w:rPr>
                <w:rFonts w:ascii="仿宋_GB2312" w:hAnsi="仿宋_GB2312" w:eastAsia="仿宋_GB2312"/>
                <w:b w:val="0"/>
                <w:color w:val="000000"/>
                <w:sz w:val="32"/>
              </w:rPr>
              <w:t>转型金融</w:t>
            </w:r>
          </w:p>
        </w:tc>
      </w:tr>
      <w:tr>
        <w:tc>
          <w:tcPr>
            <w:tcW w:type="dxa" w:w="2835"/>
          </w:tcPr>
          <w:p>
            <w:pPr>
              <w:spacing w:lineRule="exact" w:line="600"/>
              <w:jc w:val="center"/>
            </w:pPr>
            <w:r/>
            <w:r>
              <w:rPr>
                <w:rFonts w:ascii="仿宋_GB2312" w:hAnsi="仿宋_GB2312" w:eastAsia="仿宋_GB2312"/>
                <w:b w:val="0"/>
                <w:color w:val="000000"/>
                <w:sz w:val="32"/>
              </w:rPr>
              <w:t>设备更新</w:t>
            </w:r>
          </w:p>
        </w:tc>
        <w:tc>
          <w:tcPr>
            <w:tcW w:type="dxa" w:w="3402"/>
          </w:tcPr>
          <w:p>
            <w:pPr>
              <w:spacing w:lineRule="exact" w:line="600"/>
              <w:jc w:val="center"/>
            </w:pPr>
            <w:r/>
            <w:r>
              <w:rPr>
                <w:rFonts w:ascii="仿宋_GB2312" w:hAnsi="仿宋_GB2312" w:eastAsia="仿宋_GB2312"/>
                <w:b w:val="0"/>
                <w:color w:val="000000"/>
                <w:sz w:val="32"/>
              </w:rPr>
              <w:t>技改</w:t>
            </w:r>
          </w:p>
        </w:tc>
        <w:tc>
          <w:tcPr>
            <w:tcW w:type="dxa" w:w="2835"/>
          </w:tcPr>
          <w:p>
            <w:pPr>
              <w:spacing w:lineRule="exact" w:line="600"/>
              <w:jc w:val="center"/>
            </w:pPr>
            <w:r/>
            <w:r>
              <w:rPr>
                <w:rFonts w:ascii="仿宋_GB2312" w:hAnsi="仿宋_GB2312" w:eastAsia="仿宋_GB2312"/>
                <w:b w:val="0"/>
                <w:color w:val="000000"/>
                <w:sz w:val="32"/>
              </w:rPr>
              <w:t>再贷款</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南山铝业股份有限公司（600219）：全产业链铝深加工龙头。2023年铝型材营收42.20亿元，冷轧卷/板149.64亿元（占51.88%），氧化铝粉57.32亿元（占19.87%）；具备铝型材28万吨、罐料60万吨、汽车板20万吨（三期达40万吨）、航空板5万吨、动力电池箔2.1万吨深加工产能；高端产品毛利占比约30%。来源：2023年年报、券商研报。</w:t>
      </w:r>
    </w:p>
    <w:p>
      <w:pPr>
        <w:spacing w:lineRule="exact" w:line="600" w:before="0" w:after="0"/>
        <w:ind w:firstLine="420"/>
        <w:jc w:val="both"/>
      </w:pPr>
      <w:r>
        <w:rPr>
          <w:rFonts w:ascii="仿宋_GB2312" w:hAnsi="仿宋_GB2312" w:eastAsia="仿宋_GB2312"/>
          <w:b w:val="0"/>
          <w:color w:val="000000"/>
          <w:sz w:val="32"/>
        </w:rPr>
        <w:t>丛林铝业科技（山东）有限责任公司：高端工业铝型材精深加工骨干。拥有15条大型挤压线（含世界首台万吨油压双动挤压机，2005年国家科技进步一等奖）、8条自动焊接线、6台五轴数控加工中心，年产工业铝型材10万—12万吨；具备车体模块焊接与精密机加工能力，通过IRIS、EN15085轨交焊接认证，为地铁、城际列车配套。来源：丛林铝业官网、百度百科。</w:t>
      </w:r>
    </w:p>
    <w:p>
      <w:pPr>
        <w:spacing w:lineRule="exact" w:line="600" w:before="0" w:after="0"/>
        <w:ind w:firstLine="420"/>
        <w:jc w:val="both"/>
      </w:pPr>
      <w:r>
        <w:rPr>
          <w:rFonts w:ascii="仿宋_GB2312" w:hAnsi="仿宋_GB2312" w:eastAsia="仿宋_GB2312"/>
          <w:b w:val="0"/>
          <w:color w:val="000000"/>
          <w:sz w:val="32"/>
        </w:rPr>
        <w:t>山东航桥新材料科技有限公司（公开可核主体为航桥新材料科技（滨州）有限公司）：铝基复合材料与高端锻造应用企业。由北京航空材料研究院与魏桥铝电合资，投资2亿元、2016年8月投产，锻件能力1万吨/年，500MN锻压机；商用车铝合金传动轴/推力杆锻件国内首创，CR350高铁牵引梁锻件替代进口，应用于汽车、航空航天、轨道交通。注：简报标注「待核」，龙口本地深加工以南山、丛林为主体。来源：山东省工信厅、滨州日报。</w:t>
      </w:r>
    </w:p>
    <w:p>
      <w:pPr>
        <w:spacing w:lineRule="exact" w:line="600" w:before="0" w:after="0"/>
        <w:jc w:val="left"/>
      </w:pPr>
      <w:r>
        <w:rPr>
          <w:rFonts w:ascii="仿宋_GB2312" w:hAnsi="仿宋_GB2312" w:eastAsia="仿宋_GB2312"/>
          <w:b w:val="0"/>
          <w:color w:val="000000"/>
          <w:sz w:val="28"/>
        </w:rPr>
        <w:t>主要数据来源：南山铝业（600219）2023年年度报告及摘要；中邮证券、东吴证券南山铝业研报（产能、毛利）；丛林铝业官网及百度百科（装备、认证、产能）；龙口市人民政府官网：高端铝材料产业绿色高质量发展报道；中国有色金属加工工业协会、安泰科：2023年铝加工材产量；新华网：山东龙口智慧制造新「铝」程（2025-09-05）；山东省人民政府：铝行业高质量发展行动计划（2024—2027）；山东省工信厅、滨州日报：航桥新材料公开信息；albiz/铝加网：龙口铝产业链与配套企业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