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山东烟台龙口市(高端交通铝材)特色产业集群</w:t>
      </w:r>
    </w:p>
    <w:p>
      <w:pPr>
        <w:spacing w:lineRule="exact" w:line="600" w:before="240" w:after="240"/>
        <w:ind w:firstLine="0"/>
        <w:jc w:val="center"/>
      </w:pPr>
      <w:r>
        <w:rPr>
          <w:rFonts w:ascii="方正小标宋简体" w:hAnsi="方正小标宋简体" w:eastAsia="方正小标宋简体"/>
          <w:b w:val="0"/>
          <w:color w:val="000000"/>
          <w:sz w:val="44"/>
        </w:rPr>
        <w:t>高端交通铝型材行业深度分析报告</w:t>
      </w:r>
    </w:p>
    <w:p>
      <w:pPr>
        <w:spacing w:lineRule="exact" w:line="600" w:before="0" w:after="0"/>
        <w:jc w:val="left"/>
      </w:pPr>
      <w:r>
        <w:rPr>
          <w:rFonts w:ascii="仿宋_GB2312" w:hAnsi="仿宋_GB2312" w:eastAsia="仿宋_GB2312"/>
          <w:b w:val="0"/>
          <w:color w:val="000000"/>
          <w:sz w:val="28"/>
        </w:rPr>
        <w:t>本报告数据来源于龙口市政府官网、烟台市及山东省工信部门公开报道、南山铝业（600219）2023年年报及券商研报、中国有色金属加工工业协会与安泰科公开数据、丛林铝业官网及公开资料。数据截至2023—2024年，部分细分领域公开统计有限，已标注「公开资料有限」或「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高端交通铝型材是龙口高端交通铝材特色产业集群的核心环节，依托南山铝业、丛林铝业等龙头，形成了覆盖氧化铝—电解铝—熔铸—挤压/轧制—深加工的最短距离完整产业链。2024年龙口高端铝材产业集群总产值达1189.9亿元，综合实力居全国同类集群第一位，其中航空交通铝材、轨道交通铝材均居全国第一，并入选国家级中小企业特色产业集群、山东省「十强」产业「雁阵形」集群。南山铝业2023年实现营业收入288.44亿元，高端产品（汽车板、航空板、动力电池箔）销量约占铝产品总销量14%、毛利约占30%；汽车板产能20万吨、三期建成后达40万吨，航空板产能5万吨。风险点在于建筑铝型材需求收缩、铝价与加工费波动，以及海外航空认证周期长带来的不确定性。</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2024年龙口高端铝材集群总产值</w:t>
            </w:r>
          </w:p>
        </w:tc>
        <w:tc>
          <w:tcPr>
            <w:tcW w:type="dxa" w:w="2835"/>
          </w:tcPr>
          <w:p>
            <w:pPr>
              <w:spacing w:lineRule="exact" w:line="600"/>
              <w:jc w:val="center"/>
            </w:pPr>
            <w:r/>
            <w:r>
              <w:rPr>
                <w:rFonts w:ascii="仿宋_GB2312" w:hAnsi="仿宋_GB2312" w:eastAsia="仿宋_GB2312"/>
                <w:b w:val="0"/>
                <w:color w:val="000000"/>
                <w:sz w:val="32"/>
              </w:rPr>
              <w:t>1189.9亿元</w:t>
            </w:r>
          </w:p>
        </w:tc>
        <w:tc>
          <w:tcPr>
            <w:tcW w:type="dxa" w:w="3118"/>
          </w:tcPr>
          <w:p>
            <w:pPr>
              <w:spacing w:lineRule="exact" w:line="600"/>
              <w:jc w:val="center"/>
            </w:pPr>
            <w:r/>
            <w:r>
              <w:rPr>
                <w:rFonts w:ascii="仿宋_GB2312" w:hAnsi="仿宋_GB2312" w:eastAsia="仿宋_GB2312"/>
                <w:b w:val="0"/>
                <w:color w:val="000000"/>
                <w:sz w:val="32"/>
              </w:rPr>
              <w:t>新华网/龙口工信</w:t>
            </w:r>
          </w:p>
        </w:tc>
      </w:tr>
      <w:tr>
        <w:tc>
          <w:tcPr>
            <w:tcW w:type="dxa" w:w="2835"/>
          </w:tcPr>
          <w:p>
            <w:pPr>
              <w:spacing w:lineRule="exact" w:line="600"/>
              <w:jc w:val="center"/>
            </w:pPr>
            <w:r/>
            <w:r>
              <w:rPr>
                <w:rFonts w:ascii="仿宋_GB2312" w:hAnsi="仿宋_GB2312" w:eastAsia="仿宋_GB2312"/>
                <w:b w:val="0"/>
                <w:color w:val="000000"/>
                <w:sz w:val="32"/>
              </w:rPr>
              <w:t>主导产业近3年平均增长率</w:t>
            </w:r>
          </w:p>
        </w:tc>
        <w:tc>
          <w:tcPr>
            <w:tcW w:type="dxa" w:w="2835"/>
          </w:tcPr>
          <w:p>
            <w:pPr>
              <w:spacing w:lineRule="exact" w:line="600"/>
              <w:jc w:val="center"/>
            </w:pPr>
            <w:r/>
            <w:r>
              <w:rPr>
                <w:rFonts w:ascii="仿宋_GB2312" w:hAnsi="仿宋_GB2312" w:eastAsia="仿宋_GB2312"/>
                <w:b w:val="0"/>
                <w:color w:val="000000"/>
                <w:sz w:val="32"/>
              </w:rPr>
              <w:t>11.9%</w:t>
            </w:r>
          </w:p>
        </w:tc>
        <w:tc>
          <w:tcPr>
            <w:tcW w:type="dxa" w:w="3118"/>
          </w:tcPr>
          <w:p>
            <w:pPr>
              <w:spacing w:lineRule="exact" w:line="600"/>
              <w:jc w:val="center"/>
            </w:pPr>
            <w:r/>
            <w:r>
              <w:rPr>
                <w:rFonts w:ascii="仿宋_GB2312" w:hAnsi="仿宋_GB2312" w:eastAsia="仿宋_GB2312"/>
                <w:b w:val="0"/>
                <w:color w:val="000000"/>
                <w:sz w:val="32"/>
              </w:rPr>
              <w:t>新华网</w:t>
            </w:r>
          </w:p>
        </w:tc>
      </w:tr>
      <w:tr>
        <w:tc>
          <w:tcPr>
            <w:tcW w:type="dxa" w:w="2835"/>
          </w:tcPr>
          <w:p>
            <w:pPr>
              <w:spacing w:lineRule="exact" w:line="600"/>
              <w:jc w:val="center"/>
            </w:pPr>
            <w:r/>
            <w:r>
              <w:rPr>
                <w:rFonts w:ascii="仿宋_GB2312" w:hAnsi="仿宋_GB2312" w:eastAsia="仿宋_GB2312"/>
                <w:b w:val="0"/>
                <w:color w:val="000000"/>
                <w:sz w:val="32"/>
              </w:rPr>
              <w:t>交通铝材及相关企业数量</w:t>
            </w:r>
          </w:p>
        </w:tc>
        <w:tc>
          <w:tcPr>
            <w:tcW w:type="dxa" w:w="2835"/>
          </w:tcPr>
          <w:p>
            <w:pPr>
              <w:spacing w:lineRule="exact" w:line="600"/>
              <w:jc w:val="center"/>
            </w:pPr>
            <w:r/>
            <w:r>
              <w:rPr>
                <w:rFonts w:ascii="仿宋_GB2312" w:hAnsi="仿宋_GB2312" w:eastAsia="仿宋_GB2312"/>
                <w:b w:val="0"/>
                <w:color w:val="000000"/>
                <w:sz w:val="32"/>
              </w:rPr>
              <w:t>243家</w:t>
            </w:r>
          </w:p>
        </w:tc>
        <w:tc>
          <w:tcPr>
            <w:tcW w:type="dxa" w:w="3118"/>
          </w:tcPr>
          <w:p>
            <w:pPr>
              <w:spacing w:lineRule="exact" w:line="600"/>
              <w:jc w:val="center"/>
            </w:pPr>
            <w:r/>
            <w:r>
              <w:rPr>
                <w:rFonts w:ascii="仿宋_GB2312" w:hAnsi="仿宋_GB2312" w:eastAsia="仿宋_GB2312"/>
                <w:b w:val="0"/>
                <w:color w:val="000000"/>
                <w:sz w:val="32"/>
              </w:rPr>
              <w:t>龙口市政府</w:t>
            </w:r>
          </w:p>
        </w:tc>
      </w:tr>
      <w:tr>
        <w:tc>
          <w:tcPr>
            <w:tcW w:type="dxa" w:w="2835"/>
          </w:tcPr>
          <w:p>
            <w:pPr>
              <w:spacing w:lineRule="exact" w:line="600"/>
              <w:jc w:val="center"/>
            </w:pPr>
            <w:r/>
            <w:r>
              <w:rPr>
                <w:rFonts w:ascii="仿宋_GB2312" w:hAnsi="仿宋_GB2312" w:eastAsia="仿宋_GB2312"/>
                <w:b w:val="0"/>
                <w:color w:val="000000"/>
                <w:sz w:val="32"/>
              </w:rPr>
              <w:t>南山铝业2023营收</w:t>
            </w:r>
          </w:p>
        </w:tc>
        <w:tc>
          <w:tcPr>
            <w:tcW w:type="dxa" w:w="2835"/>
          </w:tcPr>
          <w:p>
            <w:pPr>
              <w:spacing w:lineRule="exact" w:line="600"/>
              <w:jc w:val="center"/>
            </w:pPr>
            <w:r/>
            <w:r>
              <w:rPr>
                <w:rFonts w:ascii="仿宋_GB2312" w:hAnsi="仿宋_GB2312" w:eastAsia="仿宋_GB2312"/>
                <w:b w:val="0"/>
                <w:color w:val="000000"/>
                <w:sz w:val="32"/>
              </w:rPr>
              <w:t>288.44亿元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南山铝业2023归母净利润</w:t>
            </w:r>
          </w:p>
        </w:tc>
        <w:tc>
          <w:tcPr>
            <w:tcW w:type="dxa" w:w="2835"/>
          </w:tcPr>
          <w:p>
            <w:pPr>
              <w:spacing w:lineRule="exact" w:line="600"/>
              <w:jc w:val="center"/>
            </w:pPr>
            <w:r/>
            <w:r>
              <w:rPr>
                <w:rFonts w:ascii="仿宋_GB2312" w:hAnsi="仿宋_GB2312" w:eastAsia="仿宋_GB2312"/>
                <w:b w:val="0"/>
                <w:color w:val="000000"/>
                <w:sz w:val="32"/>
              </w:rPr>
              <w:t>34.74亿元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汽车板产能</w:t>
            </w:r>
          </w:p>
        </w:tc>
        <w:tc>
          <w:tcPr>
            <w:tcW w:type="dxa" w:w="2835"/>
          </w:tcPr>
          <w:p>
            <w:pPr>
              <w:spacing w:lineRule="exact" w:line="600"/>
              <w:jc w:val="center"/>
            </w:pPr>
            <w:r/>
            <w:r>
              <w:rPr>
                <w:rFonts w:ascii="仿宋_GB2312" w:hAnsi="仿宋_GB2312" w:eastAsia="仿宋_GB2312"/>
                <w:b w:val="0"/>
                <w:color w:val="000000"/>
                <w:sz w:val="32"/>
              </w:rPr>
              <w:t>20万吨（三期达40万吨）</w:t>
            </w:r>
          </w:p>
        </w:tc>
        <w:tc>
          <w:tcPr>
            <w:tcW w:type="dxa" w:w="3118"/>
          </w:tcPr>
          <w:p>
            <w:pPr>
              <w:spacing w:lineRule="exact" w:line="600"/>
              <w:jc w:val="center"/>
            </w:pPr>
            <w:r/>
            <w:r>
              <w:rPr>
                <w:rFonts w:ascii="仿宋_GB2312" w:hAnsi="仿宋_GB2312" w:eastAsia="仿宋_GB2312"/>
                <w:b w:val="0"/>
                <w:color w:val="000000"/>
                <w:sz w:val="32"/>
              </w:rPr>
              <w:t>年报/券商</w:t>
            </w:r>
          </w:p>
        </w:tc>
      </w:tr>
      <w:tr>
        <w:tc>
          <w:tcPr>
            <w:tcW w:type="dxa" w:w="2835"/>
          </w:tcPr>
          <w:p>
            <w:pPr>
              <w:spacing w:lineRule="exact" w:line="600"/>
              <w:jc w:val="center"/>
            </w:pPr>
            <w:r/>
            <w:r>
              <w:rPr>
                <w:rFonts w:ascii="仿宋_GB2312" w:hAnsi="仿宋_GB2312" w:eastAsia="仿宋_GB2312"/>
                <w:b w:val="0"/>
                <w:color w:val="000000"/>
                <w:sz w:val="32"/>
              </w:rPr>
              <w:t>航空板产能</w:t>
            </w:r>
          </w:p>
        </w:tc>
        <w:tc>
          <w:tcPr>
            <w:tcW w:type="dxa" w:w="2835"/>
          </w:tcPr>
          <w:p>
            <w:pPr>
              <w:spacing w:lineRule="exact" w:line="600"/>
              <w:jc w:val="center"/>
            </w:pPr>
            <w:r/>
            <w:r>
              <w:rPr>
                <w:rFonts w:ascii="仿宋_GB2312" w:hAnsi="仿宋_GB2312" w:eastAsia="仿宋_GB2312"/>
                <w:b w:val="0"/>
                <w:color w:val="000000"/>
                <w:sz w:val="32"/>
              </w:rPr>
              <w:t>5万吨</w:t>
            </w:r>
          </w:p>
        </w:tc>
        <w:tc>
          <w:tcPr>
            <w:tcW w:type="dxa" w:w="3118"/>
          </w:tcPr>
          <w:p>
            <w:pPr>
              <w:spacing w:lineRule="exact" w:line="600"/>
              <w:jc w:val="center"/>
            </w:pPr>
            <w:r/>
            <w:r>
              <w:rPr>
                <w:rFonts w:ascii="仿宋_GB2312" w:hAnsi="仿宋_GB2312" w:eastAsia="仿宋_GB2312"/>
                <w:b w:val="0"/>
                <w:color w:val="000000"/>
                <w:sz w:val="32"/>
              </w:rPr>
              <w:t>券商研报</w:t>
            </w:r>
          </w:p>
        </w:tc>
      </w:tr>
      <w:tr>
        <w:tc>
          <w:tcPr>
            <w:tcW w:type="dxa" w:w="2835"/>
          </w:tcPr>
          <w:p>
            <w:pPr>
              <w:spacing w:lineRule="exact" w:line="600"/>
              <w:jc w:val="center"/>
            </w:pPr>
            <w:r/>
            <w:r>
              <w:rPr>
                <w:rFonts w:ascii="仿宋_GB2312" w:hAnsi="仿宋_GB2312" w:eastAsia="仿宋_GB2312"/>
                <w:b w:val="0"/>
                <w:color w:val="000000"/>
                <w:sz w:val="32"/>
              </w:rPr>
              <w:t>动力电池箔产能</w:t>
            </w:r>
          </w:p>
        </w:tc>
        <w:tc>
          <w:tcPr>
            <w:tcW w:type="dxa" w:w="2835"/>
          </w:tcPr>
          <w:p>
            <w:pPr>
              <w:spacing w:lineRule="exact" w:line="600"/>
              <w:jc w:val="center"/>
            </w:pPr>
            <w:r/>
            <w:r>
              <w:rPr>
                <w:rFonts w:ascii="仿宋_GB2312" w:hAnsi="仿宋_GB2312" w:eastAsia="仿宋_GB2312"/>
                <w:b w:val="0"/>
                <w:color w:val="000000"/>
                <w:sz w:val="32"/>
              </w:rPr>
              <w:t>2.1万吨</w:t>
            </w:r>
          </w:p>
        </w:tc>
        <w:tc>
          <w:tcPr>
            <w:tcW w:type="dxa" w:w="3118"/>
          </w:tcPr>
          <w:p>
            <w:pPr>
              <w:spacing w:lineRule="exact" w:line="600"/>
              <w:jc w:val="center"/>
            </w:pPr>
            <w:r/>
            <w:r>
              <w:rPr>
                <w:rFonts w:ascii="仿宋_GB2312" w:hAnsi="仿宋_GB2312" w:eastAsia="仿宋_GB2312"/>
                <w:b w:val="0"/>
                <w:color w:val="000000"/>
                <w:sz w:val="32"/>
              </w:rPr>
              <w:t>券商研报</w:t>
            </w:r>
          </w:p>
        </w:tc>
      </w:tr>
      <w:tr>
        <w:tc>
          <w:tcPr>
            <w:tcW w:type="dxa" w:w="2835"/>
          </w:tcPr>
          <w:p>
            <w:pPr>
              <w:spacing w:lineRule="exact" w:line="600"/>
              <w:jc w:val="center"/>
            </w:pPr>
            <w:r/>
            <w:r>
              <w:rPr>
                <w:rFonts w:ascii="仿宋_GB2312" w:hAnsi="仿宋_GB2312" w:eastAsia="仿宋_GB2312"/>
                <w:b w:val="0"/>
                <w:color w:val="000000"/>
                <w:sz w:val="32"/>
              </w:rPr>
              <w:t>氧化铝产能</w:t>
            </w:r>
          </w:p>
        </w:tc>
        <w:tc>
          <w:tcPr>
            <w:tcW w:type="dxa" w:w="2835"/>
          </w:tcPr>
          <w:p>
            <w:pPr>
              <w:spacing w:lineRule="exact" w:line="600"/>
              <w:jc w:val="center"/>
            </w:pPr>
            <w:r/>
            <w:r>
              <w:rPr>
                <w:rFonts w:ascii="仿宋_GB2312" w:hAnsi="仿宋_GB2312" w:eastAsia="仿宋_GB2312"/>
                <w:b w:val="0"/>
                <w:color w:val="000000"/>
                <w:sz w:val="32"/>
              </w:rPr>
              <w:t>340万吨</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电解铝产能</w:t>
            </w:r>
          </w:p>
        </w:tc>
        <w:tc>
          <w:tcPr>
            <w:tcW w:type="dxa" w:w="2835"/>
          </w:tcPr>
          <w:p>
            <w:pPr>
              <w:spacing w:lineRule="exact" w:line="600"/>
              <w:jc w:val="center"/>
            </w:pPr>
            <w:r/>
            <w:r>
              <w:rPr>
                <w:rFonts w:ascii="仿宋_GB2312" w:hAnsi="仿宋_GB2312" w:eastAsia="仿宋_GB2312"/>
                <w:b w:val="0"/>
                <w:color w:val="000000"/>
                <w:sz w:val="32"/>
              </w:rPr>
              <w:t>81.6万吨</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高端产品销量占比</w:t>
            </w:r>
          </w:p>
        </w:tc>
        <w:tc>
          <w:tcPr>
            <w:tcW w:type="dxa" w:w="2835"/>
          </w:tcPr>
          <w:p>
            <w:pPr>
              <w:spacing w:lineRule="exact" w:line="600"/>
              <w:jc w:val="center"/>
            </w:pPr>
            <w:r/>
            <w:r>
              <w:rPr>
                <w:rFonts w:ascii="仿宋_GB2312" w:hAnsi="仿宋_GB2312" w:eastAsia="仿宋_GB2312"/>
                <w:b w:val="0"/>
                <w:color w:val="000000"/>
                <w:sz w:val="32"/>
              </w:rPr>
              <w:t>约14%</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高端产品毛利占比</w:t>
            </w:r>
          </w:p>
        </w:tc>
        <w:tc>
          <w:tcPr>
            <w:tcW w:type="dxa" w:w="2835"/>
          </w:tcPr>
          <w:p>
            <w:pPr>
              <w:spacing w:lineRule="exact" w:line="600"/>
              <w:jc w:val="center"/>
            </w:pPr>
            <w:r/>
            <w:r>
              <w:rPr>
                <w:rFonts w:ascii="仿宋_GB2312" w:hAnsi="仿宋_GB2312" w:eastAsia="仿宋_GB2312"/>
                <w:b w:val="0"/>
                <w:color w:val="000000"/>
                <w:sz w:val="32"/>
              </w:rPr>
              <w:t>约30%</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丛林铝业工业铝型材产量</w:t>
            </w:r>
          </w:p>
        </w:tc>
        <w:tc>
          <w:tcPr>
            <w:tcW w:type="dxa" w:w="2835"/>
          </w:tcPr>
          <w:p>
            <w:pPr>
              <w:spacing w:lineRule="exact" w:line="600"/>
              <w:jc w:val="center"/>
            </w:pPr>
            <w:r/>
            <w:r>
              <w:rPr>
                <w:rFonts w:ascii="仿宋_GB2312" w:hAnsi="仿宋_GB2312" w:eastAsia="仿宋_GB2312"/>
                <w:b w:val="0"/>
                <w:color w:val="000000"/>
                <w:sz w:val="32"/>
              </w:rPr>
              <w:t>10万—12万吨/年</w:t>
            </w:r>
          </w:p>
        </w:tc>
        <w:tc>
          <w:tcPr>
            <w:tcW w:type="dxa" w:w="3118"/>
          </w:tcPr>
          <w:p>
            <w:pPr>
              <w:spacing w:lineRule="exact" w:line="600"/>
              <w:jc w:val="center"/>
            </w:pPr>
            <w:r/>
            <w:r>
              <w:rPr>
                <w:rFonts w:ascii="仿宋_GB2312" w:hAnsi="仿宋_GB2312" w:eastAsia="仿宋_GB2312"/>
                <w:b w:val="0"/>
                <w:color w:val="000000"/>
                <w:sz w:val="32"/>
              </w:rPr>
              <w:t>丛林官网</w:t>
            </w:r>
          </w:p>
        </w:tc>
      </w:tr>
      <w:tr>
        <w:tc>
          <w:tcPr>
            <w:tcW w:type="dxa" w:w="2835"/>
          </w:tcPr>
          <w:p>
            <w:pPr>
              <w:spacing w:lineRule="exact" w:line="600"/>
              <w:jc w:val="center"/>
            </w:pPr>
            <w:r/>
            <w:r>
              <w:rPr>
                <w:rFonts w:ascii="仿宋_GB2312" w:hAnsi="仿宋_GB2312" w:eastAsia="仿宋_GB2312"/>
                <w:b w:val="0"/>
                <w:color w:val="000000"/>
                <w:sz w:val="32"/>
              </w:rPr>
              <w:t>丛林大型挤压线</w:t>
            </w:r>
          </w:p>
        </w:tc>
        <w:tc>
          <w:tcPr>
            <w:tcW w:type="dxa" w:w="2835"/>
          </w:tcPr>
          <w:p>
            <w:pPr>
              <w:spacing w:lineRule="exact" w:line="600"/>
              <w:jc w:val="center"/>
            </w:pPr>
            <w:r/>
            <w:r>
              <w:rPr>
                <w:rFonts w:ascii="仿宋_GB2312" w:hAnsi="仿宋_GB2312" w:eastAsia="仿宋_GB2312"/>
                <w:b w:val="0"/>
                <w:color w:val="000000"/>
                <w:sz w:val="32"/>
              </w:rPr>
              <w:t>15条（含万吨机）</w:t>
            </w:r>
          </w:p>
        </w:tc>
        <w:tc>
          <w:tcPr>
            <w:tcW w:type="dxa" w:w="3118"/>
          </w:tcPr>
          <w:p>
            <w:pPr>
              <w:spacing w:lineRule="exact" w:line="600"/>
              <w:jc w:val="center"/>
            </w:pPr>
            <w:r/>
            <w:r>
              <w:rPr>
                <w:rFonts w:ascii="仿宋_GB2312" w:hAnsi="仿宋_GB2312" w:eastAsia="仿宋_GB2312"/>
                <w:b w:val="0"/>
                <w:color w:val="000000"/>
                <w:sz w:val="32"/>
              </w:rPr>
              <w:t>丛林官网</w:t>
            </w:r>
          </w:p>
        </w:tc>
      </w:tr>
      <w:tr>
        <w:tc>
          <w:tcPr>
            <w:tcW w:type="dxa" w:w="2835"/>
          </w:tcPr>
          <w:p>
            <w:pPr>
              <w:spacing w:lineRule="exact" w:line="600"/>
              <w:jc w:val="center"/>
            </w:pPr>
            <w:r/>
            <w:r>
              <w:rPr>
                <w:rFonts w:ascii="仿宋_GB2312" w:hAnsi="仿宋_GB2312" w:eastAsia="仿宋_GB2312"/>
                <w:b w:val="0"/>
                <w:color w:val="000000"/>
                <w:sz w:val="32"/>
              </w:rPr>
              <w:t>2023全国铝材产量</w:t>
            </w:r>
          </w:p>
        </w:tc>
        <w:tc>
          <w:tcPr>
            <w:tcW w:type="dxa" w:w="2835"/>
          </w:tcPr>
          <w:p>
            <w:pPr>
              <w:spacing w:lineRule="exact" w:line="600"/>
              <w:jc w:val="center"/>
            </w:pPr>
            <w:r/>
            <w:r>
              <w:rPr>
                <w:rFonts w:ascii="仿宋_GB2312" w:hAnsi="仿宋_GB2312" w:eastAsia="仿宋_GB2312"/>
                <w:b w:val="0"/>
                <w:color w:val="000000"/>
                <w:sz w:val="32"/>
              </w:rPr>
              <w:t>4695万吨（+3.9%）</w:t>
            </w:r>
          </w:p>
        </w:tc>
        <w:tc>
          <w:tcPr>
            <w:tcW w:type="dxa" w:w="3118"/>
          </w:tcPr>
          <w:p>
            <w:pPr>
              <w:spacing w:lineRule="exact" w:line="600"/>
              <w:jc w:val="center"/>
            </w:pPr>
            <w:r/>
            <w:r>
              <w:rPr>
                <w:rFonts w:ascii="仿宋_GB2312" w:hAnsi="仿宋_GB2312" w:eastAsia="仿宋_GB2312"/>
                <w:b w:val="0"/>
                <w:color w:val="000000"/>
                <w:sz w:val="32"/>
              </w:rPr>
              <w:t>有色加工协会</w:t>
            </w:r>
          </w:p>
        </w:tc>
      </w:tr>
      <w:tr>
        <w:tc>
          <w:tcPr>
            <w:tcW w:type="dxa" w:w="2835"/>
          </w:tcPr>
          <w:p>
            <w:pPr>
              <w:spacing w:lineRule="exact" w:line="600"/>
              <w:jc w:val="center"/>
            </w:pPr>
            <w:r/>
            <w:r>
              <w:rPr>
                <w:rFonts w:ascii="仿宋_GB2312" w:hAnsi="仿宋_GB2312" w:eastAsia="仿宋_GB2312"/>
                <w:b w:val="0"/>
                <w:color w:val="000000"/>
                <w:sz w:val="32"/>
              </w:rPr>
              <w:t>汽车铝材市场规模2023</w:t>
            </w:r>
          </w:p>
        </w:tc>
        <w:tc>
          <w:tcPr>
            <w:tcW w:type="dxa" w:w="2835"/>
          </w:tcPr>
          <w:p>
            <w:pPr>
              <w:spacing w:lineRule="exact" w:line="600"/>
              <w:jc w:val="center"/>
            </w:pPr>
            <w:r/>
            <w:r>
              <w:rPr>
                <w:rFonts w:ascii="仿宋_GB2312" w:hAnsi="仿宋_GB2312" w:eastAsia="仿宋_GB2312"/>
                <w:b w:val="0"/>
                <w:color w:val="000000"/>
                <w:sz w:val="32"/>
              </w:rPr>
              <w:t>1567亿元（+11.8%）</w:t>
            </w:r>
          </w:p>
        </w:tc>
        <w:tc>
          <w:tcPr>
            <w:tcW w:type="dxa" w:w="3118"/>
          </w:tcPr>
          <w:p>
            <w:pPr>
              <w:spacing w:lineRule="exact" w:line="600"/>
              <w:jc w:val="center"/>
            </w:pPr>
            <w:r/>
            <w:r>
              <w:rPr>
                <w:rFonts w:ascii="仿宋_GB2312" w:hAnsi="仿宋_GB2312" w:eastAsia="仿宋_GB2312"/>
                <w:b w:val="0"/>
                <w:color w:val="000000"/>
                <w:sz w:val="32"/>
              </w:rPr>
              <w:t>行业研究</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国家层面持续推动铝行业高端化、绿色化、循环化发展。2024年9月，山东省政府常务会议审议通过《山东省铝行业高质量发展行动计划（2024—2027年）》，明确实施创新引领、设备更新改造、质量提升、延链协同、绿色低碳、本质安全六大行动，培育壮大轻量化铝新材料、铝产业绿色循环发展、高端交通铝材、高端铝创新应用四大产业集群。该计划将高端交通铝材列为省级重点集群之一，为龙口集群争取专项政策与要素支持提供了顶层依据。同时，「双碳」目标与汽车轻量化、大飞机国产化等国家战略，共同构成交通铝型材需求扩张的长期政策基础。</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政策/规划</w:t>
            </w:r>
          </w:p>
        </w:tc>
        <w:tc>
          <w:tcPr>
            <w:tcW w:type="dxa" w:w="3685"/>
          </w:tcPr>
          <w:p>
            <w:pPr>
              <w:spacing w:lineRule="exact" w:line="600"/>
              <w:jc w:val="center"/>
            </w:pPr>
            <w:r/>
            <w:r>
              <w:rPr>
                <w:rFonts w:ascii="黑体" w:hAnsi="黑体" w:eastAsia="黑体"/>
                <w:b/>
                <w:color w:val="000000"/>
                <w:sz w:val="32"/>
              </w:rPr>
              <w:t>核心内容</w:t>
            </w:r>
          </w:p>
        </w:tc>
        <w:tc>
          <w:tcPr>
            <w:tcW w:type="dxa" w:w="2835"/>
          </w:tcPr>
          <w:p>
            <w:pPr>
              <w:spacing w:lineRule="exact" w:line="600"/>
              <w:jc w:val="center"/>
            </w:pPr>
            <w:r/>
            <w:r>
              <w:rPr>
                <w:rFonts w:ascii="黑体" w:hAnsi="黑体" w:eastAsia="黑体"/>
                <w:b/>
                <w:color w:val="000000"/>
                <w:sz w:val="32"/>
              </w:rPr>
              <w:t>年份/来源</w:t>
            </w:r>
          </w:p>
        </w:tc>
      </w:tr>
      <w:tr>
        <w:tc>
          <w:tcPr>
            <w:tcW w:type="dxa" w:w="3118"/>
          </w:tcPr>
          <w:p>
            <w:pPr>
              <w:spacing w:lineRule="exact" w:line="600"/>
              <w:jc w:val="center"/>
            </w:pPr>
            <w:r/>
            <w:r>
              <w:rPr>
                <w:rFonts w:ascii="仿宋_GB2312" w:hAnsi="仿宋_GB2312" w:eastAsia="仿宋_GB2312"/>
                <w:b w:val="0"/>
                <w:color w:val="000000"/>
                <w:sz w:val="32"/>
              </w:rPr>
              <w:t>《山东省铝行业高质量发展行动计划（2024—2027年）》</w:t>
            </w:r>
          </w:p>
        </w:tc>
        <w:tc>
          <w:tcPr>
            <w:tcW w:type="dxa" w:w="3685"/>
          </w:tcPr>
          <w:p>
            <w:pPr>
              <w:spacing w:lineRule="exact" w:line="600"/>
              <w:jc w:val="center"/>
            </w:pPr>
            <w:r/>
            <w:r>
              <w:rPr>
                <w:rFonts w:ascii="仿宋_GB2312" w:hAnsi="仿宋_GB2312" w:eastAsia="仿宋_GB2312"/>
                <w:b w:val="0"/>
                <w:color w:val="000000"/>
                <w:sz w:val="32"/>
              </w:rPr>
              <w:t>培育四大集群含高端交通铝材，实施六大行动</w:t>
            </w:r>
          </w:p>
        </w:tc>
        <w:tc>
          <w:tcPr>
            <w:tcW w:type="dxa" w:w="2835"/>
          </w:tcPr>
          <w:p>
            <w:pPr>
              <w:spacing w:lineRule="exact" w:line="600"/>
              <w:jc w:val="center"/>
            </w:pPr>
            <w:r/>
            <w:r>
              <w:rPr>
                <w:rFonts w:ascii="仿宋_GB2312" w:hAnsi="仿宋_GB2312" w:eastAsia="仿宋_GB2312"/>
                <w:b w:val="0"/>
                <w:color w:val="000000"/>
                <w:sz w:val="32"/>
              </w:rPr>
              <w:t>2024，山东省政府</w:t>
            </w:r>
          </w:p>
        </w:tc>
      </w:tr>
      <w:tr>
        <w:tc>
          <w:tcPr>
            <w:tcW w:type="dxa" w:w="3118"/>
          </w:tcPr>
          <w:p>
            <w:pPr>
              <w:spacing w:lineRule="exact" w:line="600"/>
              <w:jc w:val="center"/>
            </w:pPr>
            <w:r/>
            <w:r>
              <w:rPr>
                <w:rFonts w:ascii="仿宋_GB2312" w:hAnsi="仿宋_GB2312" w:eastAsia="仿宋_GB2312"/>
                <w:b w:val="0"/>
                <w:color w:val="000000"/>
                <w:sz w:val="32"/>
              </w:rPr>
              <w:t>《山东省县域经济高质量发展三年行动方案》</w:t>
            </w:r>
          </w:p>
        </w:tc>
        <w:tc>
          <w:tcPr>
            <w:tcW w:type="dxa" w:w="3685"/>
          </w:tcPr>
          <w:p>
            <w:pPr>
              <w:spacing w:lineRule="exact" w:line="600"/>
              <w:jc w:val="center"/>
            </w:pPr>
            <w:r/>
            <w:r>
              <w:rPr>
                <w:rFonts w:ascii="仿宋_GB2312" w:hAnsi="仿宋_GB2312" w:eastAsia="仿宋_GB2312"/>
                <w:b w:val="0"/>
                <w:color w:val="000000"/>
                <w:sz w:val="32"/>
              </w:rPr>
              <w:t>支持县域特色产业集群升级</w:t>
            </w:r>
          </w:p>
        </w:tc>
        <w:tc>
          <w:tcPr>
            <w:tcW w:type="dxa" w:w="2835"/>
          </w:tcPr>
          <w:p>
            <w:pPr>
              <w:spacing w:lineRule="exact" w:line="600"/>
              <w:jc w:val="center"/>
            </w:pPr>
            <w:r/>
            <w:r>
              <w:rPr>
                <w:rFonts w:ascii="仿宋_GB2312" w:hAnsi="仿宋_GB2312" w:eastAsia="仿宋_GB2312"/>
                <w:b w:val="0"/>
                <w:color w:val="000000"/>
                <w:sz w:val="32"/>
              </w:rPr>
              <w:t>2023—2025，山东省</w:t>
            </w:r>
          </w:p>
        </w:tc>
      </w:tr>
      <w:tr>
        <w:tc>
          <w:tcPr>
            <w:tcW w:type="dxa" w:w="3118"/>
          </w:tcPr>
          <w:p>
            <w:pPr>
              <w:spacing w:lineRule="exact" w:line="600"/>
              <w:jc w:val="center"/>
            </w:pPr>
            <w:r/>
            <w:r>
              <w:rPr>
                <w:rFonts w:ascii="仿宋_GB2312" w:hAnsi="仿宋_GB2312" w:eastAsia="仿宋_GB2312"/>
                <w:b w:val="0"/>
                <w:color w:val="000000"/>
                <w:sz w:val="32"/>
              </w:rPr>
              <w:t>「双碳」与交通轻量化战略</w:t>
            </w:r>
          </w:p>
        </w:tc>
        <w:tc>
          <w:tcPr>
            <w:tcW w:type="dxa" w:w="3685"/>
          </w:tcPr>
          <w:p>
            <w:pPr>
              <w:spacing w:lineRule="exact" w:line="600"/>
              <w:jc w:val="center"/>
            </w:pPr>
            <w:r/>
            <w:r>
              <w:rPr>
                <w:rFonts w:ascii="仿宋_GB2312" w:hAnsi="仿宋_GB2312" w:eastAsia="仿宋_GB2312"/>
                <w:b w:val="0"/>
                <w:color w:val="000000"/>
                <w:sz w:val="32"/>
              </w:rPr>
              <w:t>新能源汽车、大飞机拉动铝材消费</w:t>
            </w:r>
          </w:p>
        </w:tc>
        <w:tc>
          <w:tcPr>
            <w:tcW w:type="dxa" w:w="2835"/>
          </w:tcPr>
          <w:p>
            <w:pPr>
              <w:spacing w:lineRule="exact" w:line="600"/>
              <w:jc w:val="center"/>
            </w:pPr>
            <w:r/>
            <w:r>
              <w:rPr>
                <w:rFonts w:ascii="仿宋_GB2312" w:hAnsi="仿宋_GB2312" w:eastAsia="仿宋_GB2312"/>
                <w:b w:val="0"/>
                <w:color w:val="000000"/>
                <w:sz w:val="32"/>
              </w:rPr>
              <w:t>国家层面</w:t>
            </w:r>
          </w:p>
        </w:tc>
      </w:tr>
      <w:tr>
        <w:tc>
          <w:tcPr>
            <w:tcW w:type="dxa" w:w="3118"/>
          </w:tcPr>
          <w:p>
            <w:pPr>
              <w:spacing w:lineRule="exact" w:line="600"/>
              <w:jc w:val="center"/>
            </w:pPr>
            <w:r/>
            <w:r>
              <w:rPr>
                <w:rFonts w:ascii="仿宋_GB2312" w:hAnsi="仿宋_GB2312" w:eastAsia="仿宋_GB2312"/>
                <w:b w:val="0"/>
                <w:color w:val="000000"/>
                <w:sz w:val="32"/>
              </w:rPr>
              <w:t>龙口市高端铝材料产业「十四五」发展规划</w:t>
            </w:r>
          </w:p>
        </w:tc>
        <w:tc>
          <w:tcPr>
            <w:tcW w:type="dxa" w:w="3685"/>
          </w:tcPr>
          <w:p>
            <w:pPr>
              <w:spacing w:lineRule="exact" w:line="600"/>
              <w:jc w:val="center"/>
            </w:pPr>
            <w:r/>
            <w:r>
              <w:rPr>
                <w:rFonts w:ascii="仿宋_GB2312" w:hAnsi="仿宋_GB2312" w:eastAsia="仿宋_GB2312"/>
                <w:b w:val="0"/>
                <w:color w:val="000000"/>
                <w:sz w:val="32"/>
              </w:rPr>
              <w:t>将高端铝材列为全市十大产业之首</w:t>
            </w:r>
          </w:p>
        </w:tc>
        <w:tc>
          <w:tcPr>
            <w:tcW w:type="dxa" w:w="2835"/>
          </w:tcPr>
          <w:p>
            <w:pPr>
              <w:spacing w:lineRule="exact" w:line="600"/>
              <w:jc w:val="center"/>
            </w:pPr>
            <w:r/>
            <w:r>
              <w:rPr>
                <w:rFonts w:ascii="仿宋_GB2312" w:hAnsi="仿宋_GB2312" w:eastAsia="仿宋_GB2312"/>
                <w:b w:val="0"/>
                <w:color w:val="000000"/>
                <w:sz w:val="32"/>
              </w:rPr>
              <w:t>龙口市政府</w:t>
            </w:r>
          </w:p>
        </w:tc>
      </w:tr>
    </w:tbl>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龙口市将高端铝材料产业列为全市重点发展的十大产业之首，以龙口经济开发区、南山工业园、东海航空产业园为依托，打造国际化世界级高端交通铝材料特色产业集群。龙口高端铝材产业集群规划区域面积约90平方公里，拥有交通铝材生产及相关企业243家（其中重点中小企业140家），并形成了以南山铝业、丛林铝业为龙头，奥瑞金、三元铝材、博瑞特等58家专精特新企业、156家大中小企业为主体跟进的集群格局。该集群是全国唯一批量向波音、空客等飞机制造商供应铝材料部件的集群，综合实力居全国同类产业集群首位。</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区域产业指标</w:t>
            </w:r>
          </w:p>
        </w:tc>
        <w:tc>
          <w:tcPr>
            <w:tcW w:type="dxa" w:w="3118"/>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来源</w:t>
            </w:r>
          </w:p>
        </w:tc>
      </w:tr>
      <w:tr>
        <w:tc>
          <w:tcPr>
            <w:tcW w:type="dxa" w:w="3118"/>
          </w:tcPr>
          <w:p>
            <w:pPr>
              <w:spacing w:lineRule="exact" w:line="600"/>
              <w:jc w:val="center"/>
            </w:pPr>
            <w:r/>
            <w:r>
              <w:rPr>
                <w:rFonts w:ascii="仿宋_GB2312" w:hAnsi="仿宋_GB2312" w:eastAsia="仿宋_GB2312"/>
                <w:b w:val="0"/>
                <w:color w:val="000000"/>
                <w:sz w:val="32"/>
              </w:rPr>
              <w:t>集群规划面积约</w:t>
            </w:r>
          </w:p>
        </w:tc>
        <w:tc>
          <w:tcPr>
            <w:tcW w:type="dxa" w:w="3118"/>
          </w:tcPr>
          <w:p>
            <w:pPr>
              <w:spacing w:lineRule="exact" w:line="600"/>
              <w:jc w:val="center"/>
            </w:pPr>
            <w:r/>
            <w:r>
              <w:rPr>
                <w:rFonts w:ascii="仿宋_GB2312" w:hAnsi="仿宋_GB2312" w:eastAsia="仿宋_GB2312"/>
                <w:b w:val="0"/>
                <w:color w:val="000000"/>
                <w:sz w:val="32"/>
              </w:rPr>
              <w:t>90平方公里</w:t>
            </w:r>
          </w:p>
        </w:tc>
        <w:tc>
          <w:tcPr>
            <w:tcW w:type="dxa" w:w="3402"/>
          </w:tcPr>
          <w:p>
            <w:pPr>
              <w:spacing w:lineRule="exact" w:line="600"/>
              <w:jc w:val="center"/>
            </w:pPr>
            <w:r/>
            <w:r>
              <w:rPr>
                <w:rFonts w:ascii="仿宋_GB2312" w:hAnsi="仿宋_GB2312" w:eastAsia="仿宋_GB2312"/>
                <w:b w:val="0"/>
                <w:color w:val="000000"/>
                <w:sz w:val="32"/>
              </w:rPr>
              <w:t>龙口市政府</w:t>
            </w:r>
          </w:p>
        </w:tc>
      </w:tr>
      <w:tr>
        <w:tc>
          <w:tcPr>
            <w:tcW w:type="dxa" w:w="3118"/>
          </w:tcPr>
          <w:p>
            <w:pPr>
              <w:spacing w:lineRule="exact" w:line="600"/>
              <w:jc w:val="center"/>
            </w:pPr>
            <w:r/>
            <w:r>
              <w:rPr>
                <w:rFonts w:ascii="仿宋_GB2312" w:hAnsi="仿宋_GB2312" w:eastAsia="仿宋_GB2312"/>
                <w:b w:val="0"/>
                <w:color w:val="000000"/>
                <w:sz w:val="32"/>
              </w:rPr>
              <w:t>交通铝材及相关企业</w:t>
            </w:r>
          </w:p>
        </w:tc>
        <w:tc>
          <w:tcPr>
            <w:tcW w:type="dxa" w:w="3118"/>
          </w:tcPr>
          <w:p>
            <w:pPr>
              <w:spacing w:lineRule="exact" w:line="600"/>
              <w:jc w:val="center"/>
            </w:pPr>
            <w:r/>
            <w:r>
              <w:rPr>
                <w:rFonts w:ascii="仿宋_GB2312" w:hAnsi="仿宋_GB2312" w:eastAsia="仿宋_GB2312"/>
                <w:b w:val="0"/>
                <w:color w:val="000000"/>
                <w:sz w:val="32"/>
              </w:rPr>
              <w:t>243家（重点中小140家）</w:t>
            </w:r>
          </w:p>
        </w:tc>
        <w:tc>
          <w:tcPr>
            <w:tcW w:type="dxa" w:w="3402"/>
          </w:tcPr>
          <w:p>
            <w:pPr>
              <w:spacing w:lineRule="exact" w:line="600"/>
              <w:jc w:val="center"/>
            </w:pPr>
            <w:r/>
            <w:r>
              <w:rPr>
                <w:rFonts w:ascii="仿宋_GB2312" w:hAnsi="仿宋_GB2312" w:eastAsia="仿宋_GB2312"/>
                <w:b w:val="0"/>
                <w:color w:val="000000"/>
                <w:sz w:val="32"/>
              </w:rPr>
              <w:t>龙口市政府</w:t>
            </w:r>
          </w:p>
        </w:tc>
      </w:tr>
      <w:tr>
        <w:tc>
          <w:tcPr>
            <w:tcW w:type="dxa" w:w="3118"/>
          </w:tcPr>
          <w:p>
            <w:pPr>
              <w:spacing w:lineRule="exact" w:line="600"/>
              <w:jc w:val="center"/>
            </w:pPr>
            <w:r/>
            <w:r>
              <w:rPr>
                <w:rFonts w:ascii="仿宋_GB2312" w:hAnsi="仿宋_GB2312" w:eastAsia="仿宋_GB2312"/>
                <w:b w:val="0"/>
                <w:color w:val="000000"/>
                <w:sz w:val="32"/>
              </w:rPr>
              <w:t>2024年集群总产值</w:t>
            </w:r>
          </w:p>
        </w:tc>
        <w:tc>
          <w:tcPr>
            <w:tcW w:type="dxa" w:w="3118"/>
          </w:tcPr>
          <w:p>
            <w:pPr>
              <w:spacing w:lineRule="exact" w:line="600"/>
              <w:jc w:val="center"/>
            </w:pPr>
            <w:r/>
            <w:r>
              <w:rPr>
                <w:rFonts w:ascii="仿宋_GB2312" w:hAnsi="仿宋_GB2312" w:eastAsia="仿宋_GB2312"/>
                <w:b w:val="0"/>
                <w:color w:val="000000"/>
                <w:sz w:val="32"/>
              </w:rPr>
              <w:t>1189.9亿元</w:t>
            </w:r>
          </w:p>
        </w:tc>
        <w:tc>
          <w:tcPr>
            <w:tcW w:type="dxa" w:w="3402"/>
          </w:tcPr>
          <w:p>
            <w:pPr>
              <w:spacing w:lineRule="exact" w:line="600"/>
              <w:jc w:val="center"/>
            </w:pPr>
            <w:r/>
            <w:r>
              <w:rPr>
                <w:rFonts w:ascii="仿宋_GB2312" w:hAnsi="仿宋_GB2312" w:eastAsia="仿宋_GB2312"/>
                <w:b w:val="0"/>
                <w:color w:val="000000"/>
                <w:sz w:val="32"/>
              </w:rPr>
              <w:t>新华网/龙口工信</w:t>
            </w:r>
          </w:p>
        </w:tc>
      </w:tr>
      <w:tr>
        <w:tc>
          <w:tcPr>
            <w:tcW w:type="dxa" w:w="3118"/>
          </w:tcPr>
          <w:p>
            <w:pPr>
              <w:spacing w:lineRule="exact" w:line="600"/>
              <w:jc w:val="center"/>
            </w:pPr>
            <w:r/>
            <w:r>
              <w:rPr>
                <w:rFonts w:ascii="仿宋_GB2312" w:hAnsi="仿宋_GB2312" w:eastAsia="仿宋_GB2312"/>
                <w:b w:val="0"/>
                <w:color w:val="000000"/>
                <w:sz w:val="32"/>
              </w:rPr>
              <w:t>主导产业近3年平均增长率</w:t>
            </w:r>
          </w:p>
        </w:tc>
        <w:tc>
          <w:tcPr>
            <w:tcW w:type="dxa" w:w="3118"/>
          </w:tcPr>
          <w:p>
            <w:pPr>
              <w:spacing w:lineRule="exact" w:line="600"/>
              <w:jc w:val="center"/>
            </w:pPr>
            <w:r/>
            <w:r>
              <w:rPr>
                <w:rFonts w:ascii="仿宋_GB2312" w:hAnsi="仿宋_GB2312" w:eastAsia="仿宋_GB2312"/>
                <w:b w:val="0"/>
                <w:color w:val="000000"/>
                <w:sz w:val="32"/>
              </w:rPr>
              <w:t>11.9%</w:t>
            </w:r>
          </w:p>
        </w:tc>
        <w:tc>
          <w:tcPr>
            <w:tcW w:type="dxa" w:w="3402"/>
          </w:tcPr>
          <w:p>
            <w:pPr>
              <w:spacing w:lineRule="exact" w:line="600"/>
              <w:jc w:val="center"/>
            </w:pPr>
            <w:r/>
            <w:r>
              <w:rPr>
                <w:rFonts w:ascii="仿宋_GB2312" w:hAnsi="仿宋_GB2312" w:eastAsia="仿宋_GB2312"/>
                <w:b w:val="0"/>
                <w:color w:val="000000"/>
                <w:sz w:val="32"/>
              </w:rPr>
              <w:t>新华网</w:t>
            </w:r>
          </w:p>
        </w:tc>
      </w:tr>
      <w:tr>
        <w:tc>
          <w:tcPr>
            <w:tcW w:type="dxa" w:w="3118"/>
          </w:tcPr>
          <w:p>
            <w:pPr>
              <w:spacing w:lineRule="exact" w:line="600"/>
              <w:jc w:val="center"/>
            </w:pPr>
            <w:r/>
            <w:r>
              <w:rPr>
                <w:rFonts w:ascii="仿宋_GB2312" w:hAnsi="仿宋_GB2312" w:eastAsia="仿宋_GB2312"/>
                <w:b w:val="0"/>
                <w:color w:val="000000"/>
                <w:sz w:val="32"/>
              </w:rPr>
              <w:t>集群荣誉</w:t>
            </w:r>
          </w:p>
        </w:tc>
        <w:tc>
          <w:tcPr>
            <w:tcW w:type="dxa" w:w="3118"/>
          </w:tcPr>
          <w:p>
            <w:pPr>
              <w:spacing w:lineRule="exact" w:line="600"/>
              <w:jc w:val="center"/>
            </w:pPr>
            <w:r/>
            <w:r>
              <w:rPr>
                <w:rFonts w:ascii="仿宋_GB2312" w:hAnsi="仿宋_GB2312" w:eastAsia="仿宋_GB2312"/>
                <w:b w:val="0"/>
                <w:color w:val="000000"/>
                <w:sz w:val="32"/>
              </w:rPr>
              <w:t>国家级中小企业特色产业集群</w:t>
            </w:r>
          </w:p>
        </w:tc>
        <w:tc>
          <w:tcPr>
            <w:tcW w:type="dxa" w:w="3402"/>
          </w:tcPr>
          <w:p>
            <w:pPr>
              <w:spacing w:lineRule="exact" w:line="600"/>
              <w:jc w:val="center"/>
            </w:pPr>
            <w:r/>
            <w:r>
              <w:rPr>
                <w:rFonts w:ascii="仿宋_GB2312" w:hAnsi="仿宋_GB2312" w:eastAsia="仿宋_GB2312"/>
                <w:b w:val="0"/>
                <w:color w:val="000000"/>
                <w:sz w:val="32"/>
              </w:rPr>
              <w:t>工信部/山东省</w:t>
            </w:r>
          </w:p>
        </w:tc>
      </w:tr>
    </w:tbl>
    <w:p>
      <w:pPr>
        <w:spacing w:lineRule="exact" w:line="600" w:before="120" w:after="120"/>
        <w:ind w:firstLine="420"/>
        <w:jc w:val="left"/>
      </w:pPr>
      <w:r>
        <w:rPr>
          <w:rFonts w:ascii="楷体_GB2312" w:hAnsi="楷体_GB2312" w:eastAsia="楷体_GB2312"/>
          <w:b w:val="0"/>
          <w:color w:val="000000"/>
          <w:sz w:val="32"/>
        </w:rPr>
        <w:t>（三）宏观经济与需求背景</w:t>
      </w:r>
    </w:p>
    <w:p>
      <w:pPr>
        <w:spacing w:lineRule="exact" w:line="600" w:before="0" w:after="0"/>
        <w:ind w:firstLine="420"/>
        <w:jc w:val="both"/>
      </w:pPr>
      <w:r>
        <w:rPr>
          <w:rFonts w:ascii="仿宋_GB2312" w:hAnsi="仿宋_GB2312" w:eastAsia="仿宋_GB2312"/>
          <w:b w:val="0"/>
          <w:color w:val="000000"/>
          <w:sz w:val="32"/>
        </w:rPr>
        <w:t>从全国看，2023年中国铝材产量为4695万吨，比上年增长3.9%；其中铝挤压材2340万吨（+8.8%）、铝板带1350万吨（-2.2%）、铝箔510万吨（+1.6%）。铝材消费结构中，交通运输领域在新能源汽车与轻量化带动下占比逐年提高，2023年达7.9%，较2021年增加0.7个百分点。汽车铝材2023年市场规模达1567亿元，同比增长11.8%，产量约650万吨，同比增长12.07%，新能源汽车对汽车铝材需求量占比由2022年的30%提升至2023年的35%。宏观需求结构向交通轻量化倾斜，为龙口高端交通铝型材提供了稳定增量空间。</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全国铝加工指标</w:t>
            </w:r>
          </w:p>
        </w:tc>
        <w:tc>
          <w:tcPr>
            <w:tcW w:type="dxa" w:w="3118"/>
          </w:tcPr>
          <w:p>
            <w:pPr>
              <w:spacing w:lineRule="exact" w:line="600"/>
              <w:jc w:val="center"/>
            </w:pPr>
            <w:r/>
            <w:r>
              <w:rPr>
                <w:rFonts w:ascii="黑体" w:hAnsi="黑体" w:eastAsia="黑体"/>
                <w:b/>
                <w:color w:val="000000"/>
                <w:sz w:val="32"/>
              </w:rPr>
              <w:t>2023年数值</w:t>
            </w:r>
          </w:p>
        </w:tc>
        <w:tc>
          <w:tcPr>
            <w:tcW w:type="dxa" w:w="3118"/>
          </w:tcPr>
          <w:p>
            <w:pPr>
              <w:spacing w:lineRule="exact" w:line="600"/>
              <w:jc w:val="center"/>
            </w:pPr>
            <w:r/>
            <w:r>
              <w:rPr>
                <w:rFonts w:ascii="黑体" w:hAnsi="黑体" w:eastAsia="黑体"/>
                <w:b/>
                <w:color w:val="000000"/>
                <w:sz w:val="32"/>
              </w:rPr>
              <w:t>同比</w:t>
            </w:r>
          </w:p>
        </w:tc>
      </w:tr>
      <w:tr>
        <w:tc>
          <w:tcPr>
            <w:tcW w:type="dxa" w:w="3118"/>
          </w:tcPr>
          <w:p>
            <w:pPr>
              <w:spacing w:lineRule="exact" w:line="600"/>
              <w:jc w:val="center"/>
            </w:pPr>
            <w:r/>
            <w:r>
              <w:rPr>
                <w:rFonts w:ascii="仿宋_GB2312" w:hAnsi="仿宋_GB2312" w:eastAsia="仿宋_GB2312"/>
                <w:b w:val="0"/>
                <w:color w:val="000000"/>
                <w:sz w:val="32"/>
              </w:rPr>
              <w:t>铝材总产量</w:t>
            </w:r>
          </w:p>
        </w:tc>
        <w:tc>
          <w:tcPr>
            <w:tcW w:type="dxa" w:w="3118"/>
          </w:tcPr>
          <w:p>
            <w:pPr>
              <w:spacing w:lineRule="exact" w:line="600"/>
              <w:jc w:val="center"/>
            </w:pPr>
            <w:r/>
            <w:r>
              <w:rPr>
                <w:rFonts w:ascii="仿宋_GB2312" w:hAnsi="仿宋_GB2312" w:eastAsia="仿宋_GB2312"/>
                <w:b w:val="0"/>
                <w:color w:val="000000"/>
                <w:sz w:val="32"/>
              </w:rPr>
              <w:t>4695万吨</w:t>
            </w:r>
          </w:p>
        </w:tc>
        <w:tc>
          <w:tcPr>
            <w:tcW w:type="dxa" w:w="3118"/>
          </w:tcPr>
          <w:p>
            <w:pPr>
              <w:spacing w:lineRule="exact" w:line="600"/>
              <w:jc w:val="center"/>
            </w:pPr>
            <w:r/>
            <w:r>
              <w:rPr>
                <w:rFonts w:ascii="仿宋_GB2312" w:hAnsi="仿宋_GB2312" w:eastAsia="仿宋_GB2312"/>
                <w:b w:val="0"/>
                <w:color w:val="000000"/>
                <w:sz w:val="32"/>
              </w:rPr>
              <w:t>+3.9%</w:t>
            </w:r>
          </w:p>
        </w:tc>
      </w:tr>
      <w:tr>
        <w:tc>
          <w:tcPr>
            <w:tcW w:type="dxa" w:w="3118"/>
          </w:tcPr>
          <w:p>
            <w:pPr>
              <w:spacing w:lineRule="exact" w:line="600"/>
              <w:jc w:val="center"/>
            </w:pPr>
            <w:r/>
            <w:r>
              <w:rPr>
                <w:rFonts w:ascii="仿宋_GB2312" w:hAnsi="仿宋_GB2312" w:eastAsia="仿宋_GB2312"/>
                <w:b w:val="0"/>
                <w:color w:val="000000"/>
                <w:sz w:val="32"/>
              </w:rPr>
              <w:t>铝挤压材</w:t>
            </w:r>
          </w:p>
        </w:tc>
        <w:tc>
          <w:tcPr>
            <w:tcW w:type="dxa" w:w="3118"/>
          </w:tcPr>
          <w:p>
            <w:pPr>
              <w:spacing w:lineRule="exact" w:line="600"/>
              <w:jc w:val="center"/>
            </w:pPr>
            <w:r/>
            <w:r>
              <w:rPr>
                <w:rFonts w:ascii="仿宋_GB2312" w:hAnsi="仿宋_GB2312" w:eastAsia="仿宋_GB2312"/>
                <w:b w:val="0"/>
                <w:color w:val="000000"/>
                <w:sz w:val="32"/>
              </w:rPr>
              <w:t>2340万吨</w:t>
            </w:r>
          </w:p>
        </w:tc>
        <w:tc>
          <w:tcPr>
            <w:tcW w:type="dxa" w:w="3118"/>
          </w:tcPr>
          <w:p>
            <w:pPr>
              <w:spacing w:lineRule="exact" w:line="600"/>
              <w:jc w:val="center"/>
            </w:pPr>
            <w:r/>
            <w:r>
              <w:rPr>
                <w:rFonts w:ascii="仿宋_GB2312" w:hAnsi="仿宋_GB2312" w:eastAsia="仿宋_GB2312"/>
                <w:b w:val="0"/>
                <w:color w:val="000000"/>
                <w:sz w:val="32"/>
              </w:rPr>
              <w:t>+8.8%</w:t>
            </w:r>
          </w:p>
        </w:tc>
      </w:tr>
      <w:tr>
        <w:tc>
          <w:tcPr>
            <w:tcW w:type="dxa" w:w="3118"/>
          </w:tcPr>
          <w:p>
            <w:pPr>
              <w:spacing w:lineRule="exact" w:line="600"/>
              <w:jc w:val="center"/>
            </w:pPr>
            <w:r/>
            <w:r>
              <w:rPr>
                <w:rFonts w:ascii="仿宋_GB2312" w:hAnsi="仿宋_GB2312" w:eastAsia="仿宋_GB2312"/>
                <w:b w:val="0"/>
                <w:color w:val="000000"/>
                <w:sz w:val="32"/>
              </w:rPr>
              <w:t>铝板带</w:t>
            </w:r>
          </w:p>
        </w:tc>
        <w:tc>
          <w:tcPr>
            <w:tcW w:type="dxa" w:w="3118"/>
          </w:tcPr>
          <w:p>
            <w:pPr>
              <w:spacing w:lineRule="exact" w:line="600"/>
              <w:jc w:val="center"/>
            </w:pPr>
            <w:r/>
            <w:r>
              <w:rPr>
                <w:rFonts w:ascii="仿宋_GB2312" w:hAnsi="仿宋_GB2312" w:eastAsia="仿宋_GB2312"/>
                <w:b w:val="0"/>
                <w:color w:val="000000"/>
                <w:sz w:val="32"/>
              </w:rPr>
              <w:t>1350万吨</w:t>
            </w:r>
          </w:p>
        </w:tc>
        <w:tc>
          <w:tcPr>
            <w:tcW w:type="dxa" w:w="3118"/>
          </w:tcPr>
          <w:p>
            <w:pPr>
              <w:spacing w:lineRule="exact" w:line="600"/>
              <w:jc w:val="center"/>
            </w:pPr>
            <w:r/>
            <w:r>
              <w:rPr>
                <w:rFonts w:ascii="仿宋_GB2312" w:hAnsi="仿宋_GB2312" w:eastAsia="仿宋_GB2312"/>
                <w:b w:val="0"/>
                <w:color w:val="000000"/>
                <w:sz w:val="32"/>
              </w:rPr>
              <w:t>-2.2%</w:t>
            </w:r>
          </w:p>
        </w:tc>
      </w:tr>
      <w:tr>
        <w:tc>
          <w:tcPr>
            <w:tcW w:type="dxa" w:w="3118"/>
          </w:tcPr>
          <w:p>
            <w:pPr>
              <w:spacing w:lineRule="exact" w:line="600"/>
              <w:jc w:val="center"/>
            </w:pPr>
            <w:r/>
            <w:r>
              <w:rPr>
                <w:rFonts w:ascii="仿宋_GB2312" w:hAnsi="仿宋_GB2312" w:eastAsia="仿宋_GB2312"/>
                <w:b w:val="0"/>
                <w:color w:val="000000"/>
                <w:sz w:val="32"/>
              </w:rPr>
              <w:t>交通运输领域铝材消费占比</w:t>
            </w:r>
          </w:p>
        </w:tc>
        <w:tc>
          <w:tcPr>
            <w:tcW w:type="dxa" w:w="3118"/>
          </w:tcPr>
          <w:p>
            <w:pPr>
              <w:spacing w:lineRule="exact" w:line="600"/>
              <w:jc w:val="center"/>
            </w:pPr>
            <w:r/>
            <w:r>
              <w:rPr>
                <w:rFonts w:ascii="仿宋_GB2312" w:hAnsi="仿宋_GB2312" w:eastAsia="仿宋_GB2312"/>
                <w:b w:val="0"/>
                <w:color w:val="000000"/>
                <w:sz w:val="32"/>
              </w:rPr>
              <w:t>7.9%</w:t>
            </w:r>
          </w:p>
        </w:tc>
        <w:tc>
          <w:tcPr>
            <w:tcW w:type="dxa" w:w="3118"/>
          </w:tcPr>
          <w:p>
            <w:pPr>
              <w:spacing w:lineRule="exact" w:line="600"/>
              <w:jc w:val="center"/>
            </w:pPr>
            <w:r/>
            <w:r>
              <w:rPr>
                <w:rFonts w:ascii="仿宋_GB2312" w:hAnsi="仿宋_GB2312" w:eastAsia="仿宋_GB2312"/>
                <w:b w:val="0"/>
                <w:color w:val="000000"/>
                <w:sz w:val="32"/>
              </w:rPr>
              <w:t>+0.7pct</w:t>
            </w:r>
          </w:p>
        </w:tc>
      </w:tr>
      <w:tr>
        <w:tc>
          <w:tcPr>
            <w:tcW w:type="dxa" w:w="3118"/>
          </w:tcPr>
          <w:p>
            <w:pPr>
              <w:spacing w:lineRule="exact" w:line="600"/>
              <w:jc w:val="center"/>
            </w:pPr>
            <w:r/>
            <w:r>
              <w:rPr>
                <w:rFonts w:ascii="仿宋_GB2312" w:hAnsi="仿宋_GB2312" w:eastAsia="仿宋_GB2312"/>
                <w:b w:val="0"/>
                <w:color w:val="000000"/>
                <w:sz w:val="32"/>
              </w:rPr>
              <w:t>汽车铝材市场规模</w:t>
            </w:r>
          </w:p>
        </w:tc>
        <w:tc>
          <w:tcPr>
            <w:tcW w:type="dxa" w:w="3118"/>
          </w:tcPr>
          <w:p>
            <w:pPr>
              <w:spacing w:lineRule="exact" w:line="600"/>
              <w:jc w:val="center"/>
            </w:pPr>
            <w:r/>
            <w:r>
              <w:rPr>
                <w:rFonts w:ascii="仿宋_GB2312" w:hAnsi="仿宋_GB2312" w:eastAsia="仿宋_GB2312"/>
                <w:b w:val="0"/>
                <w:color w:val="000000"/>
                <w:sz w:val="32"/>
              </w:rPr>
              <w:t>1567亿元</w:t>
            </w:r>
          </w:p>
        </w:tc>
        <w:tc>
          <w:tcPr>
            <w:tcW w:type="dxa" w:w="3118"/>
          </w:tcPr>
          <w:p>
            <w:pPr>
              <w:spacing w:lineRule="exact" w:line="600"/>
              <w:jc w:val="center"/>
            </w:pPr>
            <w:r/>
            <w:r>
              <w:rPr>
                <w:rFonts w:ascii="仿宋_GB2312" w:hAnsi="仿宋_GB2312" w:eastAsia="仿宋_GB2312"/>
                <w:b w:val="0"/>
                <w:color w:val="000000"/>
                <w:sz w:val="32"/>
              </w:rPr>
              <w:t>+11.8%</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（一）上游：氧化铝与电解铝</w:t>
      </w:r>
    </w:p>
    <w:p>
      <w:pPr>
        <w:spacing w:lineRule="exact" w:line="600" w:before="0" w:after="0"/>
        <w:ind w:firstLine="420"/>
        <w:jc w:val="both"/>
      </w:pPr>
      <w:r>
        <w:rPr>
          <w:rFonts w:ascii="仿宋_GB2312" w:hAnsi="仿宋_GB2312" w:eastAsia="仿宋_GB2312"/>
          <w:b w:val="0"/>
          <w:color w:val="000000"/>
          <w:sz w:val="32"/>
        </w:rPr>
        <w:t>龙口集群上游以南山铝业为代表，具备显著的一体化优势。南山铝业拥有氧化铝产能340万吨（国内140万吨、印尼200万吨）、电解铝产能81.6万吨（其中2023年对外转让33.6万吨产能指标，保留约48万吨）、再生铝产能10万吨。完整的上游布局使集群在铝价波动中具备成本可控与抗风险能力，并支撑下游高端型材的稳定原料供应。印尼200万吨氧化铝项目已于2022年10月全面投产，2023年氧化铝粉营收57.32亿元，同比增长57.36%。</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上游环节产能</w:t>
            </w:r>
          </w:p>
        </w:tc>
        <w:tc>
          <w:tcPr>
            <w:tcW w:type="dxa" w:w="2835"/>
          </w:tcPr>
          <w:p>
            <w:pPr>
              <w:spacing w:lineRule="exact" w:line="600"/>
              <w:jc w:val="center"/>
            </w:pPr>
            <w:r/>
            <w:r>
              <w:rPr>
                <w:rFonts w:ascii="黑体" w:hAnsi="黑体" w:eastAsia="黑体"/>
                <w:b/>
                <w:color w:val="000000"/>
                <w:sz w:val="32"/>
              </w:rPr>
              <w:t>数值</w:t>
            </w:r>
          </w:p>
        </w:tc>
        <w:tc>
          <w:tcPr>
            <w:tcW w:type="dxa" w:w="3969"/>
          </w:tcPr>
          <w:p>
            <w:pPr>
              <w:spacing w:lineRule="exact" w:line="600"/>
              <w:jc w:val="center"/>
            </w:pPr>
            <w:r/>
            <w:r>
              <w:rPr>
                <w:rFonts w:ascii="黑体" w:hAnsi="黑体" w:eastAsia="黑体"/>
                <w:b/>
                <w:color w:val="000000"/>
                <w:sz w:val="32"/>
              </w:rPr>
              <w:t>备注</w:t>
            </w:r>
          </w:p>
        </w:tc>
      </w:tr>
      <w:tr>
        <w:tc>
          <w:tcPr>
            <w:tcW w:type="dxa" w:w="2835"/>
          </w:tcPr>
          <w:p>
            <w:pPr>
              <w:spacing w:lineRule="exact" w:line="600"/>
              <w:jc w:val="center"/>
            </w:pPr>
            <w:r/>
            <w:r>
              <w:rPr>
                <w:rFonts w:ascii="仿宋_GB2312" w:hAnsi="仿宋_GB2312" w:eastAsia="仿宋_GB2312"/>
                <w:b w:val="0"/>
                <w:color w:val="000000"/>
                <w:sz w:val="32"/>
              </w:rPr>
              <w:t>氧化铝产能</w:t>
            </w:r>
          </w:p>
        </w:tc>
        <w:tc>
          <w:tcPr>
            <w:tcW w:type="dxa" w:w="2835"/>
          </w:tcPr>
          <w:p>
            <w:pPr>
              <w:spacing w:lineRule="exact" w:line="600"/>
              <w:jc w:val="center"/>
            </w:pPr>
            <w:r/>
            <w:r>
              <w:rPr>
                <w:rFonts w:ascii="仿宋_GB2312" w:hAnsi="仿宋_GB2312" w:eastAsia="仿宋_GB2312"/>
                <w:b w:val="0"/>
                <w:color w:val="000000"/>
                <w:sz w:val="32"/>
              </w:rPr>
              <w:t>340万吨</w:t>
            </w:r>
          </w:p>
        </w:tc>
        <w:tc>
          <w:tcPr>
            <w:tcW w:type="dxa" w:w="3969"/>
          </w:tcPr>
          <w:p>
            <w:pPr>
              <w:spacing w:lineRule="exact" w:line="600"/>
              <w:jc w:val="center"/>
            </w:pPr>
            <w:r/>
            <w:r>
              <w:rPr>
                <w:rFonts w:ascii="仿宋_GB2312" w:hAnsi="仿宋_GB2312" w:eastAsia="仿宋_GB2312"/>
                <w:b w:val="0"/>
                <w:color w:val="000000"/>
                <w:sz w:val="32"/>
              </w:rPr>
              <w:t>国内140+印尼200</w:t>
            </w:r>
          </w:p>
        </w:tc>
      </w:tr>
      <w:tr>
        <w:tc>
          <w:tcPr>
            <w:tcW w:type="dxa" w:w="2835"/>
          </w:tcPr>
          <w:p>
            <w:pPr>
              <w:spacing w:lineRule="exact" w:line="600"/>
              <w:jc w:val="center"/>
            </w:pPr>
            <w:r/>
            <w:r>
              <w:rPr>
                <w:rFonts w:ascii="仿宋_GB2312" w:hAnsi="仿宋_GB2312" w:eastAsia="仿宋_GB2312"/>
                <w:b w:val="0"/>
                <w:color w:val="000000"/>
                <w:sz w:val="32"/>
              </w:rPr>
              <w:t>电解铝产能</w:t>
            </w:r>
          </w:p>
        </w:tc>
        <w:tc>
          <w:tcPr>
            <w:tcW w:type="dxa" w:w="2835"/>
          </w:tcPr>
          <w:p>
            <w:pPr>
              <w:spacing w:lineRule="exact" w:line="600"/>
              <w:jc w:val="center"/>
            </w:pPr>
            <w:r/>
            <w:r>
              <w:rPr>
                <w:rFonts w:ascii="仿宋_GB2312" w:hAnsi="仿宋_GB2312" w:eastAsia="仿宋_GB2312"/>
                <w:b w:val="0"/>
                <w:color w:val="000000"/>
                <w:sz w:val="32"/>
              </w:rPr>
              <w:t>81.6万吨</w:t>
            </w:r>
          </w:p>
        </w:tc>
        <w:tc>
          <w:tcPr>
            <w:tcW w:type="dxa" w:w="3969"/>
          </w:tcPr>
          <w:p>
            <w:pPr>
              <w:spacing w:lineRule="exact" w:line="600"/>
              <w:jc w:val="center"/>
            </w:pPr>
            <w:r/>
            <w:r>
              <w:rPr>
                <w:rFonts w:ascii="仿宋_GB2312" w:hAnsi="仿宋_GB2312" w:eastAsia="仿宋_GB2312"/>
                <w:b w:val="0"/>
                <w:color w:val="000000"/>
                <w:sz w:val="32"/>
              </w:rPr>
              <w:t>转让33.6万吨指标</w:t>
            </w:r>
          </w:p>
        </w:tc>
      </w:tr>
      <w:tr>
        <w:tc>
          <w:tcPr>
            <w:tcW w:type="dxa" w:w="2835"/>
          </w:tcPr>
          <w:p>
            <w:pPr>
              <w:spacing w:lineRule="exact" w:line="600"/>
              <w:jc w:val="center"/>
            </w:pPr>
            <w:r/>
            <w:r>
              <w:rPr>
                <w:rFonts w:ascii="仿宋_GB2312" w:hAnsi="仿宋_GB2312" w:eastAsia="仿宋_GB2312"/>
                <w:b w:val="0"/>
                <w:color w:val="000000"/>
                <w:sz w:val="32"/>
              </w:rPr>
              <w:t>再生铝产能</w:t>
            </w:r>
          </w:p>
        </w:tc>
        <w:tc>
          <w:tcPr>
            <w:tcW w:type="dxa" w:w="2835"/>
          </w:tcPr>
          <w:p>
            <w:pPr>
              <w:spacing w:lineRule="exact" w:line="600"/>
              <w:jc w:val="center"/>
            </w:pPr>
            <w:r/>
            <w:r>
              <w:rPr>
                <w:rFonts w:ascii="仿宋_GB2312" w:hAnsi="仿宋_GB2312" w:eastAsia="仿宋_GB2312"/>
                <w:b w:val="0"/>
                <w:color w:val="000000"/>
                <w:sz w:val="32"/>
              </w:rPr>
              <w:t>10万吨</w:t>
            </w:r>
          </w:p>
        </w:tc>
        <w:tc>
          <w:tcPr>
            <w:tcW w:type="dxa" w:w="3969"/>
          </w:tcPr>
          <w:p>
            <w:pPr>
              <w:spacing w:lineRule="exact" w:line="600"/>
              <w:jc w:val="center"/>
            </w:pPr>
            <w:r/>
            <w:r>
              <w:rPr>
                <w:rFonts w:ascii="仿宋_GB2312" w:hAnsi="仿宋_GB2312" w:eastAsia="仿宋_GB2312"/>
                <w:b w:val="0"/>
                <w:color w:val="000000"/>
                <w:sz w:val="32"/>
              </w:rPr>
              <w:t>试生产阶段</w:t>
            </w:r>
          </w:p>
        </w:tc>
      </w:tr>
      <w:tr>
        <w:tc>
          <w:tcPr>
            <w:tcW w:type="dxa" w:w="2835"/>
          </w:tcPr>
          <w:p>
            <w:pPr>
              <w:spacing w:lineRule="exact" w:line="600"/>
              <w:jc w:val="center"/>
            </w:pPr>
            <w:r/>
            <w:r>
              <w:rPr>
                <w:rFonts w:ascii="仿宋_GB2312" w:hAnsi="仿宋_GB2312" w:eastAsia="仿宋_GB2312"/>
                <w:b w:val="0"/>
                <w:color w:val="000000"/>
                <w:sz w:val="32"/>
              </w:rPr>
              <w:t>2023氧化铝粉营收</w:t>
            </w:r>
          </w:p>
        </w:tc>
        <w:tc>
          <w:tcPr>
            <w:tcW w:type="dxa" w:w="2835"/>
          </w:tcPr>
          <w:p>
            <w:pPr>
              <w:spacing w:lineRule="exact" w:line="600"/>
              <w:jc w:val="center"/>
            </w:pPr>
            <w:r/>
            <w:r>
              <w:rPr>
                <w:rFonts w:ascii="仿宋_GB2312" w:hAnsi="仿宋_GB2312" w:eastAsia="仿宋_GB2312"/>
                <w:b w:val="0"/>
                <w:color w:val="000000"/>
                <w:sz w:val="32"/>
              </w:rPr>
              <w:t>57.32亿元</w:t>
            </w:r>
          </w:p>
        </w:tc>
        <w:tc>
          <w:tcPr>
            <w:tcW w:type="dxa" w:w="3969"/>
          </w:tcPr>
          <w:p>
            <w:pPr>
              <w:spacing w:lineRule="exact" w:line="600"/>
              <w:jc w:val="center"/>
            </w:pPr>
            <w:r/>
            <w:r>
              <w:rPr>
                <w:rFonts w:ascii="仿宋_GB2312" w:hAnsi="仿宋_GB2312" w:eastAsia="仿宋_GB2312"/>
                <w:b w:val="0"/>
                <w:color w:val="000000"/>
                <w:sz w:val="32"/>
              </w:rPr>
              <w:t>同比+57.36%</w:t>
            </w:r>
          </w:p>
        </w:tc>
      </w:tr>
    </w:tbl>
    <w:p>
      <w:pPr>
        <w:spacing w:lineRule="exact" w:line="600" w:before="120" w:after="120"/>
        <w:ind w:firstLine="420"/>
        <w:jc w:val="left"/>
      </w:pPr>
      <w:r>
        <w:rPr>
          <w:rFonts w:ascii="楷体_GB2312" w:hAnsi="楷体_GB2312" w:eastAsia="楷体_GB2312"/>
          <w:b w:val="0"/>
          <w:color w:val="000000"/>
          <w:sz w:val="32"/>
        </w:rPr>
        <w:t>（二）中游：熔铸、挤压与轧制</w:t>
      </w:r>
    </w:p>
    <w:p>
      <w:pPr>
        <w:spacing w:lineRule="exact" w:line="600" w:before="0" w:after="0"/>
        <w:ind w:firstLine="420"/>
        <w:jc w:val="both"/>
      </w:pPr>
      <w:r>
        <w:rPr>
          <w:rFonts w:ascii="仿宋_GB2312" w:hAnsi="仿宋_GB2312" w:eastAsia="仿宋_GB2312"/>
          <w:b w:val="0"/>
          <w:color w:val="000000"/>
          <w:sz w:val="32"/>
        </w:rPr>
        <w:t>中游环节是龙口高端交通铝型材的技术核心。南山铝业在45平方公里范围内形成从热电、氧化铝、电解铝、熔铸到铝型材/热轧—冷轧—箔轧、废铝回收的完整加工产业链；拥有铝型材产能28万吨（建筑与工业型材）、罐料60万吨、汽车板20万吨、航空板5万吨、动力电池箔2.1万吨。丛林铝业拥有15条大型铝挤压生产线（含世界首台万吨油压双动铝挤压机）、8条铝合金自动焊接生产线、6台大型五轴数控加工中心，年产高端工业铝型材10万—12万吨。两地共同构成国内最完整的交通铝型材挤压—轧制体系。</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中游产能/装备</w:t>
            </w:r>
          </w:p>
        </w:tc>
        <w:tc>
          <w:tcPr>
            <w:tcW w:type="dxa" w:w="3402"/>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铝型材产能</w:t>
            </w:r>
          </w:p>
        </w:tc>
        <w:tc>
          <w:tcPr>
            <w:tcW w:type="dxa" w:w="3402"/>
          </w:tcPr>
          <w:p>
            <w:pPr>
              <w:spacing w:lineRule="exact" w:line="600"/>
              <w:jc w:val="center"/>
            </w:pPr>
            <w:r/>
            <w:r>
              <w:rPr>
                <w:rFonts w:ascii="仿宋_GB2312" w:hAnsi="仿宋_GB2312" w:eastAsia="仿宋_GB2312"/>
                <w:b w:val="0"/>
                <w:color w:val="000000"/>
                <w:sz w:val="32"/>
              </w:rPr>
              <w:t>28万吨</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汽车板产能</w:t>
            </w:r>
          </w:p>
        </w:tc>
        <w:tc>
          <w:tcPr>
            <w:tcW w:type="dxa" w:w="3402"/>
          </w:tcPr>
          <w:p>
            <w:pPr>
              <w:spacing w:lineRule="exact" w:line="600"/>
              <w:jc w:val="center"/>
            </w:pPr>
            <w:r/>
            <w:r>
              <w:rPr>
                <w:rFonts w:ascii="仿宋_GB2312" w:hAnsi="仿宋_GB2312" w:eastAsia="仿宋_GB2312"/>
                <w:b w:val="0"/>
                <w:color w:val="000000"/>
                <w:sz w:val="32"/>
              </w:rPr>
              <w:t>20万吨（三期达40万吨）</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航空板产能</w:t>
            </w:r>
          </w:p>
        </w:tc>
        <w:tc>
          <w:tcPr>
            <w:tcW w:type="dxa" w:w="3402"/>
          </w:tcPr>
          <w:p>
            <w:pPr>
              <w:spacing w:lineRule="exact" w:line="600"/>
              <w:jc w:val="center"/>
            </w:pPr>
            <w:r/>
            <w:r>
              <w:rPr>
                <w:rFonts w:ascii="仿宋_GB2312" w:hAnsi="仿宋_GB2312" w:eastAsia="仿宋_GB2312"/>
                <w:b w:val="0"/>
                <w:color w:val="000000"/>
                <w:sz w:val="32"/>
              </w:rPr>
              <w:t>5万吨</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大型挤压线</w:t>
            </w:r>
          </w:p>
        </w:tc>
        <w:tc>
          <w:tcPr>
            <w:tcW w:type="dxa" w:w="3402"/>
          </w:tcPr>
          <w:p>
            <w:pPr>
              <w:spacing w:lineRule="exact" w:line="600"/>
              <w:jc w:val="center"/>
            </w:pPr>
            <w:r/>
            <w:r>
              <w:rPr>
                <w:rFonts w:ascii="仿宋_GB2312" w:hAnsi="仿宋_GB2312" w:eastAsia="仿宋_GB2312"/>
                <w:b w:val="0"/>
                <w:color w:val="000000"/>
                <w:sz w:val="32"/>
              </w:rPr>
              <w:t>15条（含万吨机）</w:t>
            </w:r>
          </w:p>
        </w:tc>
        <w:tc>
          <w:tcPr>
            <w:tcW w:type="dxa" w:w="2835"/>
          </w:tcPr>
          <w:p>
            <w:pPr>
              <w:spacing w:lineRule="exact" w:line="600"/>
              <w:jc w:val="center"/>
            </w:pPr>
            <w:r/>
            <w:r>
              <w:rPr>
                <w:rFonts w:ascii="仿宋_GB2312" w:hAnsi="仿宋_GB2312" w:eastAsia="仿宋_GB2312"/>
                <w:b w:val="0"/>
                <w:color w:val="000000"/>
                <w:sz w:val="32"/>
              </w:rPr>
              <w:t>丛林铝业</w:t>
            </w:r>
          </w:p>
        </w:tc>
      </w:tr>
      <w:tr>
        <w:tc>
          <w:tcPr>
            <w:tcW w:type="dxa" w:w="2835"/>
          </w:tcPr>
          <w:p>
            <w:pPr>
              <w:spacing w:lineRule="exact" w:line="600"/>
              <w:jc w:val="center"/>
            </w:pPr>
            <w:r/>
            <w:r>
              <w:rPr>
                <w:rFonts w:ascii="仿宋_GB2312" w:hAnsi="仿宋_GB2312" w:eastAsia="仿宋_GB2312"/>
                <w:b w:val="0"/>
                <w:color w:val="000000"/>
                <w:sz w:val="32"/>
              </w:rPr>
              <w:t>工业铝型材产量</w:t>
            </w:r>
          </w:p>
        </w:tc>
        <w:tc>
          <w:tcPr>
            <w:tcW w:type="dxa" w:w="3402"/>
          </w:tcPr>
          <w:p>
            <w:pPr>
              <w:spacing w:lineRule="exact" w:line="600"/>
              <w:jc w:val="center"/>
            </w:pPr>
            <w:r/>
            <w:r>
              <w:rPr>
                <w:rFonts w:ascii="仿宋_GB2312" w:hAnsi="仿宋_GB2312" w:eastAsia="仿宋_GB2312"/>
                <w:b w:val="0"/>
                <w:color w:val="000000"/>
                <w:sz w:val="32"/>
              </w:rPr>
              <w:t>10万—12万吨/年</w:t>
            </w:r>
          </w:p>
        </w:tc>
        <w:tc>
          <w:tcPr>
            <w:tcW w:type="dxa" w:w="2835"/>
          </w:tcPr>
          <w:p>
            <w:pPr>
              <w:spacing w:lineRule="exact" w:line="600"/>
              <w:jc w:val="center"/>
            </w:pPr>
            <w:r/>
            <w:r>
              <w:rPr>
                <w:rFonts w:ascii="仿宋_GB2312" w:hAnsi="仿宋_GB2312" w:eastAsia="仿宋_GB2312"/>
                <w:b w:val="0"/>
                <w:color w:val="000000"/>
                <w:sz w:val="32"/>
              </w:rPr>
              <w:t>丛林铝业</w:t>
            </w:r>
          </w:p>
        </w:tc>
      </w:tr>
    </w:tbl>
    <w:p>
      <w:pPr>
        <w:spacing w:lineRule="exact" w:line="600" w:before="120" w:after="120"/>
        <w:ind w:firstLine="420"/>
        <w:jc w:val="left"/>
      </w:pPr>
      <w:r>
        <w:rPr>
          <w:rFonts w:ascii="楷体_GB2312" w:hAnsi="楷体_GB2312" w:eastAsia="楷体_GB2312"/>
          <w:b w:val="0"/>
          <w:color w:val="000000"/>
          <w:sz w:val="32"/>
        </w:rPr>
        <w:t>（三）下游：交通终端应用</w:t>
      </w:r>
    </w:p>
    <w:p>
      <w:pPr>
        <w:spacing w:lineRule="exact" w:line="600" w:before="0" w:after="0"/>
        <w:ind w:firstLine="420"/>
        <w:jc w:val="both"/>
      </w:pPr>
      <w:r>
        <w:rPr>
          <w:rFonts w:ascii="仿宋_GB2312" w:hAnsi="仿宋_GB2312" w:eastAsia="仿宋_GB2312"/>
          <w:b w:val="0"/>
          <w:color w:val="000000"/>
          <w:sz w:val="32"/>
        </w:rPr>
        <w:t>下游应用聚焦航空、轨道交通、汽车三大交通场景。航空方面，南山铝业是国内唯一同时向波音、空客、中国商飞供货的企业，通过2系、7系多个合金型号厚板及薄板认证，7系铝合金厚板已应用于C919、ARJ21；轨道交通方面，丛林铝业是国内高速列车铝合金车体材料主要供应商，曾为「和谐号」CRH动车组提供全部国产化车体结构材料，并与中国中车、阿尔斯通、庞巴迪、西门子等配套；汽车方面，南山汽车板供货宝马、上汽通用、蔚来、理想、赛力斯、小米等主机厂。集群产品覆盖100多个系列、6000多种规格。</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下游应用方向</w:t>
            </w:r>
          </w:p>
        </w:tc>
        <w:tc>
          <w:tcPr>
            <w:tcW w:type="dxa" w:w="3685"/>
          </w:tcPr>
          <w:p>
            <w:pPr>
              <w:spacing w:lineRule="exact" w:line="600"/>
              <w:jc w:val="center"/>
            </w:pPr>
            <w:r/>
            <w:r>
              <w:rPr>
                <w:rFonts w:ascii="黑体" w:hAnsi="黑体" w:eastAsia="黑体"/>
                <w:b/>
                <w:color w:val="000000"/>
                <w:sz w:val="32"/>
              </w:rPr>
              <w:t>代表产品/客户</w:t>
            </w:r>
          </w:p>
        </w:tc>
        <w:tc>
          <w:tcPr>
            <w:tcW w:type="dxa" w:w="2835"/>
          </w:tcPr>
          <w:p>
            <w:pPr>
              <w:spacing w:lineRule="exact" w:line="600"/>
              <w:jc w:val="center"/>
            </w:pPr>
            <w:r/>
            <w:r>
              <w:rPr>
                <w:rFonts w:ascii="黑体" w:hAnsi="黑体" w:eastAsia="黑体"/>
                <w:b/>
                <w:color w:val="000000"/>
                <w:sz w:val="32"/>
              </w:rPr>
              <w:t>主体</w:t>
            </w:r>
          </w:p>
        </w:tc>
      </w:tr>
      <w:tr>
        <w:tc>
          <w:tcPr>
            <w:tcW w:type="dxa" w:w="2551"/>
          </w:tcPr>
          <w:p>
            <w:pPr>
              <w:spacing w:lineRule="exact" w:line="600"/>
              <w:jc w:val="center"/>
            </w:pPr>
            <w:r/>
            <w:r>
              <w:rPr>
                <w:rFonts w:ascii="仿宋_GB2312" w:hAnsi="仿宋_GB2312" w:eastAsia="仿宋_GB2312"/>
                <w:b w:val="0"/>
                <w:color w:val="000000"/>
                <w:sz w:val="32"/>
              </w:rPr>
              <w:t>航空</w:t>
            </w:r>
          </w:p>
        </w:tc>
        <w:tc>
          <w:tcPr>
            <w:tcW w:type="dxa" w:w="3685"/>
          </w:tcPr>
          <w:p>
            <w:pPr>
              <w:spacing w:lineRule="exact" w:line="600"/>
              <w:jc w:val="center"/>
            </w:pPr>
            <w:r/>
            <w:r>
              <w:rPr>
                <w:rFonts w:ascii="仿宋_GB2312" w:hAnsi="仿宋_GB2312" w:eastAsia="仿宋_GB2312"/>
                <w:b w:val="0"/>
                <w:color w:val="000000"/>
                <w:sz w:val="32"/>
              </w:rPr>
              <w:t>C919/ARJ21、波音、空客铝板</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551"/>
          </w:tcPr>
          <w:p>
            <w:pPr>
              <w:spacing w:lineRule="exact" w:line="600"/>
              <w:jc w:val="center"/>
            </w:pPr>
            <w:r/>
            <w:r>
              <w:rPr>
                <w:rFonts w:ascii="仿宋_GB2312" w:hAnsi="仿宋_GB2312" w:eastAsia="仿宋_GB2312"/>
                <w:b w:val="0"/>
                <w:color w:val="000000"/>
                <w:sz w:val="32"/>
              </w:rPr>
              <w:t>轨道交通</w:t>
            </w:r>
          </w:p>
        </w:tc>
        <w:tc>
          <w:tcPr>
            <w:tcW w:type="dxa" w:w="3685"/>
          </w:tcPr>
          <w:p>
            <w:pPr>
              <w:spacing w:lineRule="exact" w:line="600"/>
              <w:jc w:val="center"/>
            </w:pPr>
            <w:r/>
            <w:r>
              <w:rPr>
                <w:rFonts w:ascii="仿宋_GB2312" w:hAnsi="仿宋_GB2312" w:eastAsia="仿宋_GB2312"/>
                <w:b w:val="0"/>
                <w:color w:val="000000"/>
                <w:sz w:val="32"/>
              </w:rPr>
              <w:t>CRH动车组车体材料</w:t>
            </w:r>
          </w:p>
        </w:tc>
        <w:tc>
          <w:tcPr>
            <w:tcW w:type="dxa" w:w="2835"/>
          </w:tcPr>
          <w:p>
            <w:pPr>
              <w:spacing w:lineRule="exact" w:line="600"/>
              <w:jc w:val="center"/>
            </w:pPr>
            <w:r/>
            <w:r>
              <w:rPr>
                <w:rFonts w:ascii="仿宋_GB2312" w:hAnsi="仿宋_GB2312" w:eastAsia="仿宋_GB2312"/>
                <w:b w:val="0"/>
                <w:color w:val="000000"/>
                <w:sz w:val="32"/>
              </w:rPr>
              <w:t>丛林铝业</w:t>
            </w:r>
          </w:p>
        </w:tc>
      </w:tr>
      <w:tr>
        <w:tc>
          <w:tcPr>
            <w:tcW w:type="dxa" w:w="2551"/>
          </w:tcPr>
          <w:p>
            <w:pPr>
              <w:spacing w:lineRule="exact" w:line="600"/>
              <w:jc w:val="center"/>
            </w:pPr>
            <w:r/>
            <w:r>
              <w:rPr>
                <w:rFonts w:ascii="仿宋_GB2312" w:hAnsi="仿宋_GB2312" w:eastAsia="仿宋_GB2312"/>
                <w:b w:val="0"/>
                <w:color w:val="000000"/>
                <w:sz w:val="32"/>
              </w:rPr>
              <w:t>汽车</w:t>
            </w:r>
          </w:p>
        </w:tc>
        <w:tc>
          <w:tcPr>
            <w:tcW w:type="dxa" w:w="3685"/>
          </w:tcPr>
          <w:p>
            <w:pPr>
              <w:spacing w:lineRule="exact" w:line="600"/>
              <w:jc w:val="center"/>
            </w:pPr>
            <w:r/>
            <w:r>
              <w:rPr>
                <w:rFonts w:ascii="仿宋_GB2312" w:hAnsi="仿宋_GB2312" w:eastAsia="仿宋_GB2312"/>
                <w:b w:val="0"/>
                <w:color w:val="000000"/>
                <w:sz w:val="32"/>
              </w:rPr>
              <w:t>四门两盖汽车板</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551"/>
          </w:tcPr>
          <w:p>
            <w:pPr>
              <w:spacing w:lineRule="exact" w:line="600"/>
              <w:jc w:val="center"/>
            </w:pPr>
            <w:r/>
            <w:r>
              <w:rPr>
                <w:rFonts w:ascii="仿宋_GB2312" w:hAnsi="仿宋_GB2312" w:eastAsia="仿宋_GB2312"/>
                <w:b w:val="0"/>
                <w:color w:val="000000"/>
                <w:sz w:val="32"/>
              </w:rPr>
              <w:t>产品规格覆盖</w:t>
            </w:r>
          </w:p>
        </w:tc>
        <w:tc>
          <w:tcPr>
            <w:tcW w:type="dxa" w:w="3685"/>
          </w:tcPr>
          <w:p>
            <w:pPr>
              <w:spacing w:lineRule="exact" w:line="600"/>
              <w:jc w:val="center"/>
            </w:pPr>
            <w:r/>
            <w:r>
              <w:rPr>
                <w:rFonts w:ascii="仿宋_GB2312" w:hAnsi="仿宋_GB2312" w:eastAsia="仿宋_GB2312"/>
                <w:b w:val="0"/>
                <w:color w:val="000000"/>
                <w:sz w:val="32"/>
              </w:rPr>
              <w:t>100多系列6000多种</w:t>
            </w:r>
          </w:p>
        </w:tc>
        <w:tc>
          <w:tcPr>
            <w:tcW w:type="dxa" w:w="2835"/>
          </w:tcPr>
          <w:p>
            <w:pPr>
              <w:spacing w:lineRule="exact" w:line="600"/>
              <w:jc w:val="center"/>
            </w:pPr>
            <w:r/>
            <w:r>
              <w:rPr>
                <w:rFonts w:ascii="仿宋_GB2312" w:hAnsi="仿宋_GB2312" w:eastAsia="仿宋_GB2312"/>
                <w:b w:val="0"/>
                <w:color w:val="000000"/>
                <w:sz w:val="32"/>
              </w:rPr>
              <w:t>龙口集群</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（一）国内交通铝材需求</w:t>
      </w:r>
    </w:p>
    <w:p>
      <w:pPr>
        <w:spacing w:lineRule="exact" w:line="600" w:before="0" w:after="0"/>
        <w:ind w:firstLine="420"/>
        <w:jc w:val="both"/>
      </w:pPr>
      <w:r>
        <w:rPr>
          <w:rFonts w:ascii="仿宋_GB2312" w:hAnsi="仿宋_GB2312" w:eastAsia="仿宋_GB2312"/>
          <w:b w:val="0"/>
          <w:color w:val="000000"/>
          <w:sz w:val="32"/>
        </w:rPr>
        <w:t>交通领域是近年来铝材消费增长最快的领域。2023年中国汽车产量3016.1万辆、销量3009.4万辆，同比分别增长11.6%和12%，创历史新高；新能源汽车渗透提升带动汽车铝板需求旺盛。2023年汽车铝材市场规模1567亿元（同比+11.8%），产量650万吨（同比+12.07%），其中新能源汽车需求占比35%、预计2025年达45%。航空与轨道交通用铝需求随C919放量、城市群轨道交通建设稳步增长，整体交通铝型材呈供需两旺格局。</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需求指标</w:t>
            </w:r>
          </w:p>
        </w:tc>
        <w:tc>
          <w:tcPr>
            <w:tcW w:type="dxa" w:w="3118"/>
          </w:tcPr>
          <w:p>
            <w:pPr>
              <w:spacing w:lineRule="exact" w:line="600"/>
              <w:jc w:val="center"/>
            </w:pPr>
            <w:r/>
            <w:r>
              <w:rPr>
                <w:rFonts w:ascii="黑体" w:hAnsi="黑体" w:eastAsia="黑体"/>
                <w:b/>
                <w:color w:val="000000"/>
                <w:sz w:val="32"/>
              </w:rPr>
              <w:t>2023数值</w:t>
            </w:r>
          </w:p>
        </w:tc>
        <w:tc>
          <w:tcPr>
            <w:tcW w:type="dxa" w:w="3118"/>
          </w:tcPr>
          <w:p>
            <w:pPr>
              <w:spacing w:lineRule="exact" w:line="600"/>
              <w:jc w:val="center"/>
            </w:pPr>
            <w:r/>
            <w:r>
              <w:rPr>
                <w:rFonts w:ascii="黑体" w:hAnsi="黑体" w:eastAsia="黑体"/>
                <w:b/>
                <w:color w:val="000000"/>
                <w:sz w:val="32"/>
              </w:rPr>
              <w:t>趋势</w:t>
            </w:r>
          </w:p>
        </w:tc>
      </w:tr>
      <w:tr>
        <w:tc>
          <w:tcPr>
            <w:tcW w:type="dxa" w:w="3118"/>
          </w:tcPr>
          <w:p>
            <w:pPr>
              <w:spacing w:lineRule="exact" w:line="600"/>
              <w:jc w:val="center"/>
            </w:pPr>
            <w:r/>
            <w:r>
              <w:rPr>
                <w:rFonts w:ascii="仿宋_GB2312" w:hAnsi="仿宋_GB2312" w:eastAsia="仿宋_GB2312"/>
                <w:b w:val="0"/>
                <w:color w:val="000000"/>
                <w:sz w:val="32"/>
              </w:rPr>
              <w:t>中国汽车产量</w:t>
            </w:r>
          </w:p>
        </w:tc>
        <w:tc>
          <w:tcPr>
            <w:tcW w:type="dxa" w:w="3118"/>
          </w:tcPr>
          <w:p>
            <w:pPr>
              <w:spacing w:lineRule="exact" w:line="600"/>
              <w:jc w:val="center"/>
            </w:pPr>
            <w:r/>
            <w:r>
              <w:rPr>
                <w:rFonts w:ascii="仿宋_GB2312" w:hAnsi="仿宋_GB2312" w:eastAsia="仿宋_GB2312"/>
                <w:b w:val="0"/>
                <w:color w:val="000000"/>
                <w:sz w:val="32"/>
              </w:rPr>
              <w:t>3016.1万辆</w:t>
            </w:r>
          </w:p>
        </w:tc>
        <w:tc>
          <w:tcPr>
            <w:tcW w:type="dxa" w:w="3118"/>
          </w:tcPr>
          <w:p>
            <w:pPr>
              <w:spacing w:lineRule="exact" w:line="600"/>
              <w:jc w:val="center"/>
            </w:pPr>
            <w:r/>
            <w:r>
              <w:rPr>
                <w:rFonts w:ascii="仿宋_GB2312" w:hAnsi="仿宋_GB2312" w:eastAsia="仿宋_GB2312"/>
                <w:b w:val="0"/>
                <w:color w:val="000000"/>
                <w:sz w:val="32"/>
              </w:rPr>
              <w:t>+11.6%</w:t>
            </w:r>
          </w:p>
        </w:tc>
      </w:tr>
      <w:tr>
        <w:tc>
          <w:tcPr>
            <w:tcW w:type="dxa" w:w="3118"/>
          </w:tcPr>
          <w:p>
            <w:pPr>
              <w:spacing w:lineRule="exact" w:line="600"/>
              <w:jc w:val="center"/>
            </w:pPr>
            <w:r/>
            <w:r>
              <w:rPr>
                <w:rFonts w:ascii="仿宋_GB2312" w:hAnsi="仿宋_GB2312" w:eastAsia="仿宋_GB2312"/>
                <w:b w:val="0"/>
                <w:color w:val="000000"/>
                <w:sz w:val="32"/>
              </w:rPr>
              <w:t>汽车铝材产量</w:t>
            </w:r>
          </w:p>
        </w:tc>
        <w:tc>
          <w:tcPr>
            <w:tcW w:type="dxa" w:w="3118"/>
          </w:tcPr>
          <w:p>
            <w:pPr>
              <w:spacing w:lineRule="exact" w:line="600"/>
              <w:jc w:val="center"/>
            </w:pPr>
            <w:r/>
            <w:r>
              <w:rPr>
                <w:rFonts w:ascii="仿宋_GB2312" w:hAnsi="仿宋_GB2312" w:eastAsia="仿宋_GB2312"/>
                <w:b w:val="0"/>
                <w:color w:val="000000"/>
                <w:sz w:val="32"/>
              </w:rPr>
              <w:t>650万吨</w:t>
            </w:r>
          </w:p>
        </w:tc>
        <w:tc>
          <w:tcPr>
            <w:tcW w:type="dxa" w:w="3118"/>
          </w:tcPr>
          <w:p>
            <w:pPr>
              <w:spacing w:lineRule="exact" w:line="600"/>
              <w:jc w:val="center"/>
            </w:pPr>
            <w:r/>
            <w:r>
              <w:rPr>
                <w:rFonts w:ascii="仿宋_GB2312" w:hAnsi="仿宋_GB2312" w:eastAsia="仿宋_GB2312"/>
                <w:b w:val="0"/>
                <w:color w:val="000000"/>
                <w:sz w:val="32"/>
              </w:rPr>
              <w:t>+12.07%</w:t>
            </w:r>
          </w:p>
        </w:tc>
      </w:tr>
      <w:tr>
        <w:tc>
          <w:tcPr>
            <w:tcW w:type="dxa" w:w="3118"/>
          </w:tcPr>
          <w:p>
            <w:pPr>
              <w:spacing w:lineRule="exact" w:line="600"/>
              <w:jc w:val="center"/>
            </w:pPr>
            <w:r/>
            <w:r>
              <w:rPr>
                <w:rFonts w:ascii="仿宋_GB2312" w:hAnsi="仿宋_GB2312" w:eastAsia="仿宋_GB2312"/>
                <w:b w:val="0"/>
                <w:color w:val="000000"/>
                <w:sz w:val="32"/>
              </w:rPr>
              <w:t>汽车铝材市场规模</w:t>
            </w:r>
          </w:p>
        </w:tc>
        <w:tc>
          <w:tcPr>
            <w:tcW w:type="dxa" w:w="3118"/>
          </w:tcPr>
          <w:p>
            <w:pPr>
              <w:spacing w:lineRule="exact" w:line="600"/>
              <w:jc w:val="center"/>
            </w:pPr>
            <w:r/>
            <w:r>
              <w:rPr>
                <w:rFonts w:ascii="仿宋_GB2312" w:hAnsi="仿宋_GB2312" w:eastAsia="仿宋_GB2312"/>
                <w:b w:val="0"/>
                <w:color w:val="000000"/>
                <w:sz w:val="32"/>
              </w:rPr>
              <w:t>1567亿元</w:t>
            </w:r>
          </w:p>
        </w:tc>
        <w:tc>
          <w:tcPr>
            <w:tcW w:type="dxa" w:w="3118"/>
          </w:tcPr>
          <w:p>
            <w:pPr>
              <w:spacing w:lineRule="exact" w:line="600"/>
              <w:jc w:val="center"/>
            </w:pPr>
            <w:r/>
            <w:r>
              <w:rPr>
                <w:rFonts w:ascii="仿宋_GB2312" w:hAnsi="仿宋_GB2312" w:eastAsia="仿宋_GB2312"/>
                <w:b w:val="0"/>
                <w:color w:val="000000"/>
                <w:sz w:val="32"/>
              </w:rPr>
              <w:t>+11.8%</w:t>
            </w:r>
          </w:p>
        </w:tc>
      </w:tr>
      <w:tr>
        <w:tc>
          <w:tcPr>
            <w:tcW w:type="dxa" w:w="3118"/>
          </w:tcPr>
          <w:p>
            <w:pPr>
              <w:spacing w:lineRule="exact" w:line="600"/>
              <w:jc w:val="center"/>
            </w:pPr>
            <w:r/>
            <w:r>
              <w:rPr>
                <w:rFonts w:ascii="仿宋_GB2312" w:hAnsi="仿宋_GB2312" w:eastAsia="仿宋_GB2312"/>
                <w:b w:val="0"/>
                <w:color w:val="000000"/>
                <w:sz w:val="32"/>
              </w:rPr>
              <w:t>新能源车铝材需求占比</w:t>
            </w:r>
          </w:p>
        </w:tc>
        <w:tc>
          <w:tcPr>
            <w:tcW w:type="dxa" w:w="3118"/>
          </w:tcPr>
          <w:p>
            <w:pPr>
              <w:spacing w:lineRule="exact" w:line="600"/>
              <w:jc w:val="center"/>
            </w:pPr>
            <w:r/>
            <w:r>
              <w:rPr>
                <w:rFonts w:ascii="仿宋_GB2312" w:hAnsi="仿宋_GB2312" w:eastAsia="仿宋_GB2312"/>
                <w:b w:val="0"/>
                <w:color w:val="000000"/>
                <w:sz w:val="32"/>
              </w:rPr>
              <w:t>35%</w:t>
            </w:r>
          </w:p>
        </w:tc>
        <w:tc>
          <w:tcPr>
            <w:tcW w:type="dxa" w:w="3118"/>
          </w:tcPr>
          <w:p>
            <w:pPr>
              <w:spacing w:lineRule="exact" w:line="600"/>
              <w:jc w:val="center"/>
            </w:pPr>
            <w:r/>
            <w:r>
              <w:rPr>
                <w:rFonts w:ascii="仿宋_GB2312" w:hAnsi="仿宋_GB2312" w:eastAsia="仿宋_GB2312"/>
                <w:b w:val="0"/>
                <w:color w:val="000000"/>
                <w:sz w:val="32"/>
              </w:rPr>
              <w:t>2025年预计45%</w:t>
            </w:r>
          </w:p>
        </w:tc>
      </w:tr>
    </w:tbl>
    <w:p>
      <w:pPr>
        <w:spacing w:lineRule="exact" w:line="600" w:before="120" w:after="120"/>
        <w:ind w:firstLine="420"/>
        <w:jc w:val="left"/>
      </w:pPr>
      <w:r>
        <w:rPr>
          <w:rFonts w:ascii="楷体_GB2312" w:hAnsi="楷体_GB2312" w:eastAsia="楷体_GB2312"/>
          <w:b w:val="0"/>
          <w:color w:val="000000"/>
          <w:sz w:val="32"/>
        </w:rPr>
        <w:t>（二）竞争格局与龙头地位</w:t>
      </w:r>
    </w:p>
    <w:p>
      <w:pPr>
        <w:spacing w:lineRule="exact" w:line="600" w:before="0" w:after="0"/>
        <w:ind w:firstLine="420"/>
        <w:jc w:val="both"/>
      </w:pPr>
      <w:r>
        <w:rPr>
          <w:rFonts w:ascii="仿宋_GB2312" w:hAnsi="仿宋_GB2312" w:eastAsia="仿宋_GB2312"/>
          <w:b w:val="0"/>
          <w:color w:val="000000"/>
          <w:sz w:val="32"/>
        </w:rPr>
        <w:t>龙口集群在航空交通铝材、轨道交通铝材两个细分领域均居全国第一。在汽车板领域，南山铝业是国内首家可稳定批量供货汽车内外板的企业，两期20万吨汽车板产线2022年起全面释放产能，三期20万吨项目建成后总产能达40万吨，将成为国内最大铝制轻量化汽车板供应商。在轨交铝型材领域，丛林铝业凭借万吨挤压机与国家科技进步一等奖技术长期占据国内高速列车车体材料供应主导地位。集群整体综合实力居全国同类产业集群首位，形成「龙头引领、梯队跟进」的竞争壁垒。</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细分领域</w:t>
            </w:r>
          </w:p>
        </w:tc>
        <w:tc>
          <w:tcPr>
            <w:tcW w:type="dxa" w:w="3402"/>
          </w:tcPr>
          <w:p>
            <w:pPr>
              <w:spacing w:lineRule="exact" w:line="600"/>
              <w:jc w:val="center"/>
            </w:pPr>
            <w:r/>
            <w:r>
              <w:rPr>
                <w:rFonts w:ascii="黑体" w:hAnsi="黑体" w:eastAsia="黑体"/>
                <w:b/>
                <w:color w:val="000000"/>
                <w:sz w:val="32"/>
              </w:rPr>
              <w:t>龙口地位</w:t>
            </w:r>
          </w:p>
        </w:tc>
        <w:tc>
          <w:tcPr>
            <w:tcW w:type="dxa" w:w="3118"/>
          </w:tcPr>
          <w:p>
            <w:pPr>
              <w:spacing w:lineRule="exact" w:line="600"/>
              <w:jc w:val="center"/>
            </w:pPr>
            <w:r/>
            <w:r>
              <w:rPr>
                <w:rFonts w:ascii="黑体" w:hAnsi="黑体" w:eastAsia="黑体"/>
                <w:b/>
                <w:color w:val="000000"/>
                <w:sz w:val="32"/>
              </w:rPr>
              <w:t>依据</w:t>
            </w:r>
          </w:p>
        </w:tc>
      </w:tr>
      <w:tr>
        <w:tc>
          <w:tcPr>
            <w:tcW w:type="dxa" w:w="2551"/>
          </w:tcPr>
          <w:p>
            <w:pPr>
              <w:spacing w:lineRule="exact" w:line="600"/>
              <w:jc w:val="center"/>
            </w:pPr>
            <w:r/>
            <w:r>
              <w:rPr>
                <w:rFonts w:ascii="仿宋_GB2312" w:hAnsi="仿宋_GB2312" w:eastAsia="仿宋_GB2312"/>
                <w:b w:val="0"/>
                <w:color w:val="000000"/>
                <w:sz w:val="32"/>
              </w:rPr>
              <w:t>航空交通铝材</w:t>
            </w:r>
          </w:p>
        </w:tc>
        <w:tc>
          <w:tcPr>
            <w:tcW w:type="dxa" w:w="3402"/>
          </w:tcPr>
          <w:p>
            <w:pPr>
              <w:spacing w:lineRule="exact" w:line="600"/>
              <w:jc w:val="center"/>
            </w:pPr>
            <w:r/>
            <w:r>
              <w:rPr>
                <w:rFonts w:ascii="仿宋_GB2312" w:hAnsi="仿宋_GB2312" w:eastAsia="仿宋_GB2312"/>
                <w:b w:val="0"/>
                <w:color w:val="000000"/>
                <w:sz w:val="32"/>
              </w:rPr>
              <w:t>全国第一</w:t>
            </w:r>
          </w:p>
        </w:tc>
        <w:tc>
          <w:tcPr>
            <w:tcW w:type="dxa" w:w="3118"/>
          </w:tcPr>
          <w:p>
            <w:pPr>
              <w:spacing w:lineRule="exact" w:line="600"/>
              <w:jc w:val="center"/>
            </w:pPr>
            <w:r/>
            <w:r>
              <w:rPr>
                <w:rFonts w:ascii="仿宋_GB2312" w:hAnsi="仿宋_GB2312" w:eastAsia="仿宋_GB2312"/>
                <w:b w:val="0"/>
                <w:color w:val="000000"/>
                <w:sz w:val="32"/>
              </w:rPr>
              <w:t>唯一批量供波音空客</w:t>
            </w:r>
          </w:p>
        </w:tc>
      </w:tr>
      <w:tr>
        <w:tc>
          <w:tcPr>
            <w:tcW w:type="dxa" w:w="2551"/>
          </w:tcPr>
          <w:p>
            <w:pPr>
              <w:spacing w:lineRule="exact" w:line="600"/>
              <w:jc w:val="center"/>
            </w:pPr>
            <w:r/>
            <w:r>
              <w:rPr>
                <w:rFonts w:ascii="仿宋_GB2312" w:hAnsi="仿宋_GB2312" w:eastAsia="仿宋_GB2312"/>
                <w:b w:val="0"/>
                <w:color w:val="000000"/>
                <w:sz w:val="32"/>
              </w:rPr>
              <w:t>轨道交通铝材</w:t>
            </w:r>
          </w:p>
        </w:tc>
        <w:tc>
          <w:tcPr>
            <w:tcW w:type="dxa" w:w="3402"/>
          </w:tcPr>
          <w:p>
            <w:pPr>
              <w:spacing w:lineRule="exact" w:line="600"/>
              <w:jc w:val="center"/>
            </w:pPr>
            <w:r/>
            <w:r>
              <w:rPr>
                <w:rFonts w:ascii="仿宋_GB2312" w:hAnsi="仿宋_GB2312" w:eastAsia="仿宋_GB2312"/>
                <w:b w:val="0"/>
                <w:color w:val="000000"/>
                <w:sz w:val="32"/>
              </w:rPr>
              <w:t>全国第一</w:t>
            </w:r>
          </w:p>
        </w:tc>
        <w:tc>
          <w:tcPr>
            <w:tcW w:type="dxa" w:w="3118"/>
          </w:tcPr>
          <w:p>
            <w:pPr>
              <w:spacing w:lineRule="exact" w:line="600"/>
              <w:jc w:val="center"/>
            </w:pPr>
            <w:r/>
            <w:r>
              <w:rPr>
                <w:rFonts w:ascii="仿宋_GB2312" w:hAnsi="仿宋_GB2312" w:eastAsia="仿宋_GB2312"/>
                <w:b w:val="0"/>
                <w:color w:val="000000"/>
                <w:sz w:val="32"/>
              </w:rPr>
              <w:t>CRH国产化材料主力</w:t>
            </w:r>
          </w:p>
        </w:tc>
      </w:tr>
      <w:tr>
        <w:tc>
          <w:tcPr>
            <w:tcW w:type="dxa" w:w="2551"/>
          </w:tcPr>
          <w:p>
            <w:pPr>
              <w:spacing w:lineRule="exact" w:line="600"/>
              <w:jc w:val="center"/>
            </w:pPr>
            <w:r/>
            <w:r>
              <w:rPr>
                <w:rFonts w:ascii="仿宋_GB2312" w:hAnsi="仿宋_GB2312" w:eastAsia="仿宋_GB2312"/>
                <w:b w:val="0"/>
                <w:color w:val="000000"/>
                <w:sz w:val="32"/>
              </w:rPr>
              <w:t>汽车板</w:t>
            </w:r>
          </w:p>
        </w:tc>
        <w:tc>
          <w:tcPr>
            <w:tcW w:type="dxa" w:w="3402"/>
          </w:tcPr>
          <w:p>
            <w:pPr>
              <w:spacing w:lineRule="exact" w:line="600"/>
              <w:jc w:val="center"/>
            </w:pPr>
            <w:r/>
            <w:r>
              <w:rPr>
                <w:rFonts w:ascii="仿宋_GB2312" w:hAnsi="仿宋_GB2312" w:eastAsia="仿宋_GB2312"/>
                <w:b w:val="0"/>
                <w:color w:val="000000"/>
                <w:sz w:val="32"/>
              </w:rPr>
              <w:t>国内最大供应商（在建）</w:t>
            </w:r>
          </w:p>
        </w:tc>
        <w:tc>
          <w:tcPr>
            <w:tcW w:type="dxa" w:w="3118"/>
          </w:tcPr>
          <w:p>
            <w:pPr>
              <w:spacing w:lineRule="exact" w:line="600"/>
              <w:jc w:val="center"/>
            </w:pPr>
            <w:r/>
            <w:r>
              <w:rPr>
                <w:rFonts w:ascii="仿宋_GB2312" w:hAnsi="仿宋_GB2312" w:eastAsia="仿宋_GB2312"/>
                <w:b w:val="0"/>
                <w:color w:val="000000"/>
                <w:sz w:val="32"/>
              </w:rPr>
              <w:t>三期达40万吨</w:t>
            </w:r>
          </w:p>
        </w:tc>
      </w:tr>
      <w:tr>
        <w:tc>
          <w:tcPr>
            <w:tcW w:type="dxa" w:w="2551"/>
          </w:tcPr>
          <w:p>
            <w:pPr>
              <w:spacing w:lineRule="exact" w:line="600"/>
              <w:jc w:val="center"/>
            </w:pPr>
            <w:r/>
            <w:r>
              <w:rPr>
                <w:rFonts w:ascii="仿宋_GB2312" w:hAnsi="仿宋_GB2312" w:eastAsia="仿宋_GB2312"/>
                <w:b w:val="0"/>
                <w:color w:val="000000"/>
                <w:sz w:val="32"/>
              </w:rPr>
              <w:t>集群综合实力</w:t>
            </w:r>
          </w:p>
        </w:tc>
        <w:tc>
          <w:tcPr>
            <w:tcW w:type="dxa" w:w="3402"/>
          </w:tcPr>
          <w:p>
            <w:pPr>
              <w:spacing w:lineRule="exact" w:line="600"/>
              <w:jc w:val="center"/>
            </w:pPr>
            <w:r/>
            <w:r>
              <w:rPr>
                <w:rFonts w:ascii="仿宋_GB2312" w:hAnsi="仿宋_GB2312" w:eastAsia="仿宋_GB2312"/>
                <w:b w:val="0"/>
                <w:color w:val="000000"/>
                <w:sz w:val="32"/>
              </w:rPr>
              <w:t>全国同类第一</w:t>
            </w:r>
          </w:p>
        </w:tc>
        <w:tc>
          <w:tcPr>
            <w:tcW w:type="dxa" w:w="3118"/>
          </w:tcPr>
          <w:p>
            <w:pPr>
              <w:spacing w:lineRule="exact" w:line="600"/>
              <w:jc w:val="center"/>
            </w:pPr>
            <w:r/>
            <w:r>
              <w:rPr>
                <w:rFonts w:ascii="仿宋_GB2312" w:hAnsi="仿宋_GB2312" w:eastAsia="仿宋_GB2312"/>
                <w:b w:val="0"/>
                <w:color w:val="000000"/>
                <w:sz w:val="32"/>
              </w:rPr>
              <w:t>山东省雁阵形集群</w:t>
            </w:r>
          </w:p>
        </w:tc>
      </w:tr>
    </w:tbl>
    <w:p>
      <w:pPr>
        <w:spacing w:lineRule="exact" w:line="600" w:before="120" w:after="120"/>
        <w:ind w:firstLine="420"/>
        <w:jc w:val="left"/>
      </w:pPr>
      <w:r>
        <w:rPr>
          <w:rFonts w:ascii="楷体_GB2312" w:hAnsi="楷体_GB2312" w:eastAsia="楷体_GB2312"/>
          <w:b w:val="0"/>
          <w:color w:val="000000"/>
          <w:sz w:val="32"/>
        </w:rPr>
        <w:t>（三）进出口与海外市场</w:t>
      </w:r>
    </w:p>
    <w:p>
      <w:pPr>
        <w:spacing w:lineRule="exact" w:line="600" w:before="0" w:after="0"/>
        <w:ind w:firstLine="420"/>
        <w:jc w:val="both"/>
      </w:pPr>
      <w:r>
        <w:rPr>
          <w:rFonts w:ascii="仿宋_GB2312" w:hAnsi="仿宋_GB2312" w:eastAsia="仿宋_GB2312"/>
          <w:b w:val="0"/>
          <w:color w:val="000000"/>
          <w:sz w:val="32"/>
        </w:rPr>
        <w:t>海外市场是龙口交通铝型材的重要增量。南山铝业推进「国内高端制造+海外走出去」两步走，在印尼建设200万吨氧化铝及25万吨电解铝项目，构建国内外双轮驱动；其航空板同时配套波音、空客、中国商飞，汽车板进入多家国际主机厂供应链。丛林铝业下属诺维科公司海外订单以地铁、城际列车、有轨电车等轨交车体材料及部件为主，产品应用于法国、西班牙、越南、墨西哥、坦桑尼亚等市场，在手订单排至2026年。需要注意的是，欧美对中国铝材出口整体趋弱，2023年全国铝材出口525.1万吨同比下降14.6%，高端产品出海更依赖认证突破。</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出海方向</w:t>
            </w:r>
          </w:p>
        </w:tc>
        <w:tc>
          <w:tcPr>
            <w:tcW w:type="dxa" w:w="3685"/>
          </w:tcPr>
          <w:p>
            <w:pPr>
              <w:spacing w:lineRule="exact" w:line="600"/>
              <w:jc w:val="center"/>
            </w:pPr>
            <w:r/>
            <w:r>
              <w:rPr>
                <w:rFonts w:ascii="黑体" w:hAnsi="黑体" w:eastAsia="黑体"/>
                <w:b/>
                <w:color w:val="000000"/>
                <w:sz w:val="32"/>
              </w:rPr>
              <w:t>进展</w:t>
            </w:r>
          </w:p>
        </w:tc>
        <w:tc>
          <w:tcPr>
            <w:tcW w:type="dxa" w:w="2835"/>
          </w:tcPr>
          <w:p>
            <w:pPr>
              <w:spacing w:lineRule="exact" w:line="600"/>
              <w:jc w:val="center"/>
            </w:pPr>
            <w:r/>
            <w:r>
              <w:rPr>
                <w:rFonts w:ascii="黑体" w:hAnsi="黑体" w:eastAsia="黑体"/>
                <w:b/>
                <w:color w:val="000000"/>
                <w:sz w:val="32"/>
              </w:rPr>
              <w:t>备注</w:t>
            </w:r>
          </w:p>
        </w:tc>
      </w:tr>
      <w:tr>
        <w:tc>
          <w:tcPr>
            <w:tcW w:type="dxa" w:w="2551"/>
          </w:tcPr>
          <w:p>
            <w:pPr>
              <w:spacing w:lineRule="exact" w:line="600"/>
              <w:jc w:val="center"/>
            </w:pPr>
            <w:r/>
            <w:r>
              <w:rPr>
                <w:rFonts w:ascii="仿宋_GB2312" w:hAnsi="仿宋_GB2312" w:eastAsia="仿宋_GB2312"/>
                <w:b w:val="0"/>
                <w:color w:val="000000"/>
                <w:sz w:val="32"/>
              </w:rPr>
              <w:t>印尼上游基地</w:t>
            </w:r>
          </w:p>
        </w:tc>
        <w:tc>
          <w:tcPr>
            <w:tcW w:type="dxa" w:w="3685"/>
          </w:tcPr>
          <w:p>
            <w:pPr>
              <w:spacing w:lineRule="exact" w:line="600"/>
              <w:jc w:val="center"/>
            </w:pPr>
            <w:r/>
            <w:r>
              <w:rPr>
                <w:rFonts w:ascii="仿宋_GB2312" w:hAnsi="仿宋_GB2312" w:eastAsia="仿宋_GB2312"/>
                <w:b w:val="0"/>
                <w:color w:val="000000"/>
                <w:sz w:val="32"/>
              </w:rPr>
              <w:t>200万吨氧化铝+25万吨电解铝</w:t>
            </w:r>
          </w:p>
        </w:tc>
        <w:tc>
          <w:tcPr>
            <w:tcW w:type="dxa" w:w="2835"/>
          </w:tcPr>
          <w:p>
            <w:pPr>
              <w:spacing w:lineRule="exact" w:line="600"/>
              <w:jc w:val="center"/>
            </w:pPr>
            <w:r/>
            <w:r>
              <w:rPr>
                <w:rFonts w:ascii="仿宋_GB2312" w:hAnsi="仿宋_GB2312" w:eastAsia="仿宋_GB2312"/>
                <w:b w:val="0"/>
                <w:color w:val="000000"/>
                <w:sz w:val="32"/>
              </w:rPr>
              <w:t>双轮驱动</w:t>
            </w:r>
          </w:p>
        </w:tc>
      </w:tr>
      <w:tr>
        <w:tc>
          <w:tcPr>
            <w:tcW w:type="dxa" w:w="2551"/>
          </w:tcPr>
          <w:p>
            <w:pPr>
              <w:spacing w:lineRule="exact" w:line="600"/>
              <w:jc w:val="center"/>
            </w:pPr>
            <w:r/>
            <w:r>
              <w:rPr>
                <w:rFonts w:ascii="仿宋_GB2312" w:hAnsi="仿宋_GB2312" w:eastAsia="仿宋_GB2312"/>
                <w:b w:val="0"/>
                <w:color w:val="000000"/>
                <w:sz w:val="32"/>
              </w:rPr>
              <w:t>航空铝材</w:t>
            </w:r>
          </w:p>
        </w:tc>
        <w:tc>
          <w:tcPr>
            <w:tcW w:type="dxa" w:w="3685"/>
          </w:tcPr>
          <w:p>
            <w:pPr>
              <w:spacing w:lineRule="exact" w:line="600"/>
              <w:jc w:val="center"/>
            </w:pPr>
            <w:r/>
            <w:r>
              <w:rPr>
                <w:rFonts w:ascii="仿宋_GB2312" w:hAnsi="仿宋_GB2312" w:eastAsia="仿宋_GB2312"/>
                <w:b w:val="0"/>
                <w:color w:val="000000"/>
                <w:sz w:val="32"/>
              </w:rPr>
              <w:t>波音/空客/商飞供货</w:t>
            </w:r>
          </w:p>
        </w:tc>
        <w:tc>
          <w:tcPr>
            <w:tcW w:type="dxa" w:w="2835"/>
          </w:tcPr>
          <w:p>
            <w:pPr>
              <w:spacing w:lineRule="exact" w:line="600"/>
              <w:jc w:val="center"/>
            </w:pPr>
            <w:r/>
            <w:r>
              <w:rPr>
                <w:rFonts w:ascii="仿宋_GB2312" w:hAnsi="仿宋_GB2312" w:eastAsia="仿宋_GB2312"/>
                <w:b w:val="0"/>
                <w:color w:val="000000"/>
                <w:sz w:val="32"/>
              </w:rPr>
              <w:t>国内唯一</w:t>
            </w:r>
          </w:p>
        </w:tc>
      </w:tr>
      <w:tr>
        <w:tc>
          <w:tcPr>
            <w:tcW w:type="dxa" w:w="2551"/>
          </w:tcPr>
          <w:p>
            <w:pPr>
              <w:spacing w:lineRule="exact" w:line="600"/>
              <w:jc w:val="center"/>
            </w:pPr>
            <w:r/>
            <w:r>
              <w:rPr>
                <w:rFonts w:ascii="仿宋_GB2312" w:hAnsi="仿宋_GB2312" w:eastAsia="仿宋_GB2312"/>
                <w:b w:val="0"/>
                <w:color w:val="000000"/>
                <w:sz w:val="32"/>
              </w:rPr>
              <w:t>轨交海外</w:t>
            </w:r>
          </w:p>
        </w:tc>
        <w:tc>
          <w:tcPr>
            <w:tcW w:type="dxa" w:w="3685"/>
          </w:tcPr>
          <w:p>
            <w:pPr>
              <w:spacing w:lineRule="exact" w:line="600"/>
              <w:jc w:val="center"/>
            </w:pPr>
            <w:r/>
            <w:r>
              <w:rPr>
                <w:rFonts w:ascii="仿宋_GB2312" w:hAnsi="仿宋_GB2312" w:eastAsia="仿宋_GB2312"/>
                <w:b w:val="0"/>
                <w:color w:val="000000"/>
                <w:sz w:val="32"/>
              </w:rPr>
              <w:t>订单排至2026年</w:t>
            </w:r>
          </w:p>
        </w:tc>
        <w:tc>
          <w:tcPr>
            <w:tcW w:type="dxa" w:w="2835"/>
          </w:tcPr>
          <w:p>
            <w:pPr>
              <w:spacing w:lineRule="exact" w:line="600"/>
              <w:jc w:val="center"/>
            </w:pPr>
            <w:r/>
            <w:r>
              <w:rPr>
                <w:rFonts w:ascii="仿宋_GB2312" w:hAnsi="仿宋_GB2312" w:eastAsia="仿宋_GB2312"/>
                <w:b w:val="0"/>
                <w:color w:val="000000"/>
                <w:sz w:val="32"/>
              </w:rPr>
              <w:t>诺维科</w:t>
            </w:r>
          </w:p>
        </w:tc>
      </w:tr>
      <w:tr>
        <w:tc>
          <w:tcPr>
            <w:tcW w:type="dxa" w:w="2551"/>
          </w:tcPr>
          <w:p>
            <w:pPr>
              <w:spacing w:lineRule="exact" w:line="600"/>
              <w:jc w:val="center"/>
            </w:pPr>
            <w:r/>
            <w:r>
              <w:rPr>
                <w:rFonts w:ascii="仿宋_GB2312" w:hAnsi="仿宋_GB2312" w:eastAsia="仿宋_GB2312"/>
                <w:b w:val="0"/>
                <w:color w:val="000000"/>
                <w:sz w:val="32"/>
              </w:rPr>
              <w:t>全国铝材出口</w:t>
            </w:r>
          </w:p>
        </w:tc>
        <w:tc>
          <w:tcPr>
            <w:tcW w:type="dxa" w:w="3685"/>
          </w:tcPr>
          <w:p>
            <w:pPr>
              <w:spacing w:lineRule="exact" w:line="600"/>
              <w:jc w:val="center"/>
            </w:pPr>
            <w:r/>
            <w:r>
              <w:rPr>
                <w:rFonts w:ascii="仿宋_GB2312" w:hAnsi="仿宋_GB2312" w:eastAsia="仿宋_GB2312"/>
                <w:b w:val="0"/>
                <w:color w:val="000000"/>
                <w:sz w:val="32"/>
              </w:rPr>
              <w:t>525.1万吨（同比-14.6%）</w:t>
            </w:r>
          </w:p>
        </w:tc>
        <w:tc>
          <w:tcPr>
            <w:tcW w:type="dxa" w:w="2835"/>
          </w:tcPr>
          <w:p>
            <w:pPr>
              <w:spacing w:lineRule="exact" w:line="600"/>
              <w:jc w:val="center"/>
            </w:pPr>
            <w:r/>
            <w:r>
              <w:rPr>
                <w:rFonts w:ascii="仿宋_GB2312" w:hAnsi="仿宋_GB2312" w:eastAsia="仿宋_GB2312"/>
                <w:b w:val="0"/>
                <w:color w:val="000000"/>
                <w:sz w:val="32"/>
              </w:rPr>
              <w:t>大环境承压</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（一）集群规模与集聚度</w:t>
      </w:r>
    </w:p>
    <w:p>
      <w:pPr>
        <w:spacing w:lineRule="exact" w:line="600" w:before="0" w:after="0"/>
        <w:ind w:firstLine="420"/>
        <w:jc w:val="both"/>
      </w:pPr>
      <w:r>
        <w:rPr>
          <w:rFonts w:ascii="仿宋_GB2312" w:hAnsi="仿宋_GB2312" w:eastAsia="仿宋_GB2312"/>
          <w:b w:val="0"/>
          <w:color w:val="000000"/>
          <w:sz w:val="32"/>
        </w:rPr>
        <w:t>龙口高端交通铝材集群以全球唯一同地区最完整铝加工产业链著称，覆盖热电、氧化铝、电解铝、熔铸、铝型材/热轧—冷轧—箔轧/锻压、废铝回收（再生利用）全环节。2024年集群总产值1189.9亿元，主导产业近3年平均增长率11.9%。集群内企业沿南山、东海、丛林三大工业园区集聚，形成「氧化铝—电解铝—高强度工业铝型材—高精度轻合金材料—铝合金终端产品」的清晰链条。龙口已带动域内博瑞特、丛林铝业等20多家骨干企业集聚式成长，形成千亿级铝加工产业生态。</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集聚指标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2024集群总产值</w:t>
            </w:r>
          </w:p>
        </w:tc>
        <w:tc>
          <w:tcPr>
            <w:tcW w:type="dxa" w:w="3118"/>
          </w:tcPr>
          <w:p>
            <w:pPr>
              <w:spacing w:lineRule="exact" w:line="600"/>
              <w:jc w:val="center"/>
            </w:pPr>
            <w:r/>
            <w:r>
              <w:rPr>
                <w:rFonts w:ascii="仿宋_GB2312" w:hAnsi="仿宋_GB2312" w:eastAsia="仿宋_GB2312"/>
                <w:b w:val="0"/>
                <w:color w:val="000000"/>
                <w:sz w:val="32"/>
              </w:rPr>
              <w:t>1189.9亿元</w:t>
            </w:r>
          </w:p>
        </w:tc>
        <w:tc>
          <w:tcPr>
            <w:tcW w:type="dxa" w:w="3118"/>
          </w:tcPr>
          <w:p>
            <w:pPr>
              <w:spacing w:lineRule="exact" w:line="600"/>
              <w:jc w:val="center"/>
            </w:pPr>
            <w:r/>
            <w:r>
              <w:rPr>
                <w:rFonts w:ascii="仿宋_GB2312" w:hAnsi="仿宋_GB2312" w:eastAsia="仿宋_GB2312"/>
                <w:b w:val="0"/>
                <w:color w:val="000000"/>
                <w:sz w:val="32"/>
              </w:rPr>
              <w:t>新华网</w:t>
            </w:r>
          </w:p>
        </w:tc>
      </w:tr>
      <w:tr>
        <w:tc>
          <w:tcPr>
            <w:tcW w:type="dxa" w:w="2835"/>
          </w:tcPr>
          <w:p>
            <w:pPr>
              <w:spacing w:lineRule="exact" w:line="600"/>
              <w:jc w:val="center"/>
            </w:pPr>
            <w:r/>
            <w:r>
              <w:rPr>
                <w:rFonts w:ascii="仿宋_GB2312" w:hAnsi="仿宋_GB2312" w:eastAsia="仿宋_GB2312"/>
                <w:b w:val="0"/>
                <w:color w:val="000000"/>
                <w:sz w:val="32"/>
              </w:rPr>
              <w:t>近3年平均增速</w:t>
            </w:r>
          </w:p>
        </w:tc>
        <w:tc>
          <w:tcPr>
            <w:tcW w:type="dxa" w:w="3118"/>
          </w:tcPr>
          <w:p>
            <w:pPr>
              <w:spacing w:lineRule="exact" w:line="600"/>
              <w:jc w:val="center"/>
            </w:pPr>
            <w:r/>
            <w:r>
              <w:rPr>
                <w:rFonts w:ascii="仿宋_GB2312" w:hAnsi="仿宋_GB2312" w:eastAsia="仿宋_GB2312"/>
                <w:b w:val="0"/>
                <w:color w:val="000000"/>
                <w:sz w:val="32"/>
              </w:rPr>
              <w:t>11.9%</w:t>
            </w:r>
          </w:p>
        </w:tc>
        <w:tc>
          <w:tcPr>
            <w:tcW w:type="dxa" w:w="3118"/>
          </w:tcPr>
          <w:p>
            <w:pPr>
              <w:spacing w:lineRule="exact" w:line="600"/>
              <w:jc w:val="center"/>
            </w:pPr>
            <w:r/>
            <w:r>
              <w:rPr>
                <w:rFonts w:ascii="仿宋_GB2312" w:hAnsi="仿宋_GB2312" w:eastAsia="仿宋_GB2312"/>
                <w:b w:val="0"/>
                <w:color w:val="000000"/>
                <w:sz w:val="32"/>
              </w:rPr>
              <w:t>新华网</w:t>
            </w:r>
          </w:p>
        </w:tc>
      </w:tr>
      <w:tr>
        <w:tc>
          <w:tcPr>
            <w:tcW w:type="dxa" w:w="2835"/>
          </w:tcPr>
          <w:p>
            <w:pPr>
              <w:spacing w:lineRule="exact" w:line="600"/>
              <w:jc w:val="center"/>
            </w:pPr>
            <w:r/>
            <w:r>
              <w:rPr>
                <w:rFonts w:ascii="仿宋_GB2312" w:hAnsi="仿宋_GB2312" w:eastAsia="仿宋_GB2312"/>
                <w:b w:val="0"/>
                <w:color w:val="000000"/>
                <w:sz w:val="32"/>
              </w:rPr>
              <w:t>核心工业园区</w:t>
            </w:r>
          </w:p>
        </w:tc>
        <w:tc>
          <w:tcPr>
            <w:tcW w:type="dxa" w:w="3118"/>
          </w:tcPr>
          <w:p>
            <w:pPr>
              <w:spacing w:lineRule="exact" w:line="600"/>
              <w:jc w:val="center"/>
            </w:pPr>
            <w:r/>
            <w:r>
              <w:rPr>
                <w:rFonts w:ascii="仿宋_GB2312" w:hAnsi="仿宋_GB2312" w:eastAsia="仿宋_GB2312"/>
                <w:b w:val="0"/>
                <w:color w:val="000000"/>
                <w:sz w:val="32"/>
              </w:rPr>
              <w:t>南山/东海/丛林三大园区</w:t>
            </w:r>
          </w:p>
        </w:tc>
        <w:tc>
          <w:tcPr>
            <w:tcW w:type="dxa" w:w="3118"/>
          </w:tcPr>
          <w:p>
            <w:pPr>
              <w:spacing w:lineRule="exact" w:line="600"/>
              <w:jc w:val="center"/>
            </w:pPr>
            <w:r/>
            <w:r>
              <w:rPr>
                <w:rFonts w:ascii="仿宋_GB2312" w:hAnsi="仿宋_GB2312" w:eastAsia="仿宋_GB2312"/>
                <w:b w:val="0"/>
                <w:color w:val="000000"/>
                <w:sz w:val="32"/>
              </w:rPr>
              <w:t>龙口报道</w:t>
            </w:r>
          </w:p>
        </w:tc>
      </w:tr>
      <w:tr>
        <w:tc>
          <w:tcPr>
            <w:tcW w:type="dxa" w:w="2835"/>
          </w:tcPr>
          <w:p>
            <w:pPr>
              <w:spacing w:lineRule="exact" w:line="600"/>
              <w:jc w:val="center"/>
            </w:pPr>
            <w:r/>
            <w:r>
              <w:rPr>
                <w:rFonts w:ascii="仿宋_GB2312" w:hAnsi="仿宋_GB2312" w:eastAsia="仿宋_GB2312"/>
                <w:b w:val="0"/>
                <w:color w:val="000000"/>
                <w:sz w:val="32"/>
              </w:rPr>
              <w:t>带动骨干企业</w:t>
            </w:r>
          </w:p>
        </w:tc>
        <w:tc>
          <w:tcPr>
            <w:tcW w:type="dxa" w:w="3118"/>
          </w:tcPr>
          <w:p>
            <w:pPr>
              <w:spacing w:lineRule="exact" w:line="600"/>
              <w:jc w:val="center"/>
            </w:pPr>
            <w:r/>
            <w:r>
              <w:rPr>
                <w:rFonts w:ascii="仿宋_GB2312" w:hAnsi="仿宋_GB2312" w:eastAsia="仿宋_GB2312"/>
                <w:b w:val="0"/>
                <w:color w:val="000000"/>
                <w:sz w:val="32"/>
              </w:rPr>
              <w:t>20多家</w:t>
            </w:r>
          </w:p>
        </w:tc>
        <w:tc>
          <w:tcPr>
            <w:tcW w:type="dxa" w:w="3118"/>
          </w:tcPr>
          <w:p>
            <w:pPr>
              <w:spacing w:lineRule="exact" w:line="600"/>
              <w:jc w:val="center"/>
            </w:pPr>
            <w:r/>
            <w:r>
              <w:rPr>
                <w:rFonts w:ascii="仿宋_GB2312" w:hAnsi="仿宋_GB2312" w:eastAsia="仿宋_GB2312"/>
                <w:b w:val="0"/>
                <w:color w:val="000000"/>
                <w:sz w:val="32"/>
              </w:rPr>
              <w:t>龙口工信</w:t>
            </w:r>
          </w:p>
        </w:tc>
      </w:tr>
      <w:tr>
        <w:tc>
          <w:tcPr>
            <w:tcW w:type="dxa" w:w="2835"/>
          </w:tcPr>
          <w:p>
            <w:pPr>
              <w:spacing w:lineRule="exact" w:line="600"/>
              <w:jc w:val="center"/>
            </w:pPr>
            <w:r/>
            <w:r>
              <w:rPr>
                <w:rFonts w:ascii="仿宋_GB2312" w:hAnsi="仿宋_GB2312" w:eastAsia="仿宋_GB2312"/>
                <w:b w:val="0"/>
                <w:color w:val="000000"/>
                <w:sz w:val="32"/>
              </w:rPr>
              <w:t>产业链完整度</w:t>
            </w:r>
          </w:p>
        </w:tc>
        <w:tc>
          <w:tcPr>
            <w:tcW w:type="dxa" w:w="3118"/>
          </w:tcPr>
          <w:p>
            <w:pPr>
              <w:spacing w:lineRule="exact" w:line="600"/>
              <w:jc w:val="center"/>
            </w:pPr>
            <w:r/>
            <w:r>
              <w:rPr>
                <w:rFonts w:ascii="仿宋_GB2312" w:hAnsi="仿宋_GB2312" w:eastAsia="仿宋_GB2312"/>
                <w:b w:val="0"/>
                <w:color w:val="000000"/>
                <w:sz w:val="32"/>
              </w:rPr>
              <w:t>全球唯一同地区最完整</w:t>
            </w:r>
          </w:p>
        </w:tc>
        <w:tc>
          <w:tcPr>
            <w:tcW w:type="dxa" w:w="3118"/>
          </w:tcPr>
          <w:p>
            <w:pPr>
              <w:spacing w:lineRule="exact" w:line="600"/>
              <w:jc w:val="center"/>
            </w:pPr>
            <w:r/>
            <w:r>
              <w:rPr>
                <w:rFonts w:ascii="仿宋_GB2312" w:hAnsi="仿宋_GB2312" w:eastAsia="仿宋_GB2312"/>
                <w:b w:val="0"/>
                <w:color w:val="000000"/>
                <w:sz w:val="32"/>
              </w:rPr>
              <w:t>albiz报道</w:t>
            </w:r>
          </w:p>
        </w:tc>
      </w:tr>
    </w:tbl>
    <w:p>
      <w:pPr>
        <w:spacing w:lineRule="exact" w:line="600" w:before="120" w:after="120"/>
        <w:ind w:firstLine="420"/>
        <w:jc w:val="left"/>
      </w:pPr>
      <w:r>
        <w:rPr>
          <w:rFonts w:ascii="楷体_GB2312" w:hAnsi="楷体_GB2312" w:eastAsia="楷体_GB2312"/>
          <w:b w:val="0"/>
          <w:color w:val="000000"/>
          <w:sz w:val="32"/>
        </w:rPr>
        <w:t>（二）链主企业与配套体系</w:t>
      </w:r>
    </w:p>
    <w:p>
      <w:pPr>
        <w:spacing w:lineRule="exact" w:line="600" w:before="0" w:after="0"/>
        <w:ind w:firstLine="420"/>
        <w:jc w:val="both"/>
      </w:pPr>
      <w:r>
        <w:rPr>
          <w:rFonts w:ascii="仿宋_GB2312" w:hAnsi="仿宋_GB2312" w:eastAsia="仿宋_GB2312"/>
          <w:b w:val="0"/>
          <w:color w:val="000000"/>
          <w:sz w:val="32"/>
        </w:rPr>
        <w:t>集群以南山铝业为链主龙头，丛林铝业为高端工业铝型材骨干，配套奥瑞金、三元铝材、博瑞特等一大批中下游企业。南山铝业2023年营业收入288.44亿元，是大型上市铝加工企业；丛林铝业拥有5家子公司、1200余名员工、100项国家发明专利及行业标准，是「中国工业铝挤压材十强企业」。下游博瑞特为红牛、旺旺、养元等供应易拉盖面盖和底盖，年产值6亿多元，2024年达产后年产值可达7.6亿元，体现了「龙头—配套」协同降本的典型模式。</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企业角色</w:t>
            </w:r>
          </w:p>
        </w:tc>
        <w:tc>
          <w:tcPr>
            <w:tcW w:type="dxa" w:w="3118"/>
          </w:tcPr>
          <w:p>
            <w:pPr>
              <w:spacing w:lineRule="exact" w:line="600"/>
              <w:jc w:val="center"/>
            </w:pPr>
            <w:r/>
            <w:r>
              <w:rPr>
                <w:rFonts w:ascii="黑体" w:hAnsi="黑体" w:eastAsia="黑体"/>
                <w:b/>
                <w:color w:val="000000"/>
                <w:sz w:val="32"/>
              </w:rPr>
              <w:t>代表企业</w:t>
            </w:r>
          </w:p>
        </w:tc>
        <w:tc>
          <w:tcPr>
            <w:tcW w:type="dxa" w:w="3402"/>
          </w:tcPr>
          <w:p>
            <w:pPr>
              <w:spacing w:lineRule="exact" w:line="600"/>
              <w:jc w:val="center"/>
            </w:pPr>
            <w:r/>
            <w:r>
              <w:rPr>
                <w:rFonts w:ascii="黑体" w:hAnsi="黑体" w:eastAsia="黑体"/>
                <w:b/>
                <w:color w:val="000000"/>
                <w:sz w:val="32"/>
              </w:rPr>
              <w:t>关键数据</w:t>
            </w:r>
          </w:p>
        </w:tc>
      </w:tr>
      <w:tr>
        <w:tc>
          <w:tcPr>
            <w:tcW w:type="dxa" w:w="2551"/>
          </w:tcPr>
          <w:p>
            <w:pPr>
              <w:spacing w:lineRule="exact" w:line="600"/>
              <w:jc w:val="center"/>
            </w:pPr>
            <w:r/>
            <w:r>
              <w:rPr>
                <w:rFonts w:ascii="仿宋_GB2312" w:hAnsi="仿宋_GB2312" w:eastAsia="仿宋_GB2312"/>
                <w:b w:val="0"/>
                <w:color w:val="000000"/>
                <w:sz w:val="32"/>
              </w:rPr>
              <w:t>链主龙头</w:t>
            </w:r>
          </w:p>
        </w:tc>
        <w:tc>
          <w:tcPr>
            <w:tcW w:type="dxa" w:w="3118"/>
          </w:tcPr>
          <w:p>
            <w:pPr>
              <w:spacing w:lineRule="exact" w:line="600"/>
              <w:jc w:val="center"/>
            </w:pPr>
            <w:r/>
            <w:r>
              <w:rPr>
                <w:rFonts w:ascii="仿宋_GB2312" w:hAnsi="仿宋_GB2312" w:eastAsia="仿宋_GB2312"/>
                <w:b w:val="0"/>
                <w:color w:val="000000"/>
                <w:sz w:val="32"/>
              </w:rPr>
              <w:t>南山铝业</w:t>
            </w:r>
          </w:p>
        </w:tc>
        <w:tc>
          <w:tcPr>
            <w:tcW w:type="dxa" w:w="3402"/>
          </w:tcPr>
          <w:p>
            <w:pPr>
              <w:spacing w:lineRule="exact" w:line="600"/>
              <w:jc w:val="center"/>
            </w:pPr>
            <w:r/>
            <w:r>
              <w:rPr>
                <w:rFonts w:ascii="仿宋_GB2312" w:hAnsi="仿宋_GB2312" w:eastAsia="仿宋_GB2312"/>
                <w:b w:val="0"/>
                <w:color w:val="000000"/>
                <w:sz w:val="32"/>
              </w:rPr>
              <w:t>2023营收288.44亿元</w:t>
            </w:r>
          </w:p>
        </w:tc>
      </w:tr>
      <w:tr>
        <w:tc>
          <w:tcPr>
            <w:tcW w:type="dxa" w:w="2551"/>
          </w:tcPr>
          <w:p>
            <w:pPr>
              <w:spacing w:lineRule="exact" w:line="600"/>
              <w:jc w:val="center"/>
            </w:pPr>
            <w:r/>
            <w:r>
              <w:rPr>
                <w:rFonts w:ascii="仿宋_GB2312" w:hAnsi="仿宋_GB2312" w:eastAsia="仿宋_GB2312"/>
                <w:b w:val="0"/>
                <w:color w:val="000000"/>
                <w:sz w:val="32"/>
              </w:rPr>
              <w:t>工业型材骨干</w:t>
            </w:r>
          </w:p>
        </w:tc>
        <w:tc>
          <w:tcPr>
            <w:tcW w:type="dxa" w:w="3118"/>
          </w:tcPr>
          <w:p>
            <w:pPr>
              <w:spacing w:lineRule="exact" w:line="600"/>
              <w:jc w:val="center"/>
            </w:pPr>
            <w:r/>
            <w:r>
              <w:rPr>
                <w:rFonts w:ascii="仿宋_GB2312" w:hAnsi="仿宋_GB2312" w:eastAsia="仿宋_GB2312"/>
                <w:b w:val="0"/>
                <w:color w:val="000000"/>
                <w:sz w:val="32"/>
              </w:rPr>
              <w:t>丛林铝业</w:t>
            </w:r>
          </w:p>
        </w:tc>
        <w:tc>
          <w:tcPr>
            <w:tcW w:type="dxa" w:w="3402"/>
          </w:tcPr>
          <w:p>
            <w:pPr>
              <w:spacing w:lineRule="exact" w:line="600"/>
              <w:jc w:val="center"/>
            </w:pPr>
            <w:r/>
            <w:r>
              <w:rPr>
                <w:rFonts w:ascii="仿宋_GB2312" w:hAnsi="仿宋_GB2312" w:eastAsia="仿宋_GB2312"/>
                <w:b w:val="0"/>
                <w:color w:val="000000"/>
                <w:sz w:val="32"/>
              </w:rPr>
              <w:t>1200人/100项专利</w:t>
            </w:r>
          </w:p>
        </w:tc>
      </w:tr>
      <w:tr>
        <w:tc>
          <w:tcPr>
            <w:tcW w:type="dxa" w:w="2551"/>
          </w:tcPr>
          <w:p>
            <w:pPr>
              <w:spacing w:lineRule="exact" w:line="600"/>
              <w:jc w:val="center"/>
            </w:pPr>
            <w:r/>
            <w:r>
              <w:rPr>
                <w:rFonts w:ascii="仿宋_GB2312" w:hAnsi="仿宋_GB2312" w:eastAsia="仿宋_GB2312"/>
                <w:b w:val="0"/>
                <w:color w:val="000000"/>
                <w:sz w:val="32"/>
              </w:rPr>
              <w:t>包装配套</w:t>
            </w:r>
          </w:p>
        </w:tc>
        <w:tc>
          <w:tcPr>
            <w:tcW w:type="dxa" w:w="3118"/>
          </w:tcPr>
          <w:p>
            <w:pPr>
              <w:spacing w:lineRule="exact" w:line="600"/>
              <w:jc w:val="center"/>
            </w:pPr>
            <w:r/>
            <w:r>
              <w:rPr>
                <w:rFonts w:ascii="仿宋_GB2312" w:hAnsi="仿宋_GB2312" w:eastAsia="仿宋_GB2312"/>
                <w:b w:val="0"/>
                <w:color w:val="000000"/>
                <w:sz w:val="32"/>
              </w:rPr>
              <w:t>博瑞特</w:t>
            </w:r>
          </w:p>
        </w:tc>
        <w:tc>
          <w:tcPr>
            <w:tcW w:type="dxa" w:w="3402"/>
          </w:tcPr>
          <w:p>
            <w:pPr>
              <w:spacing w:lineRule="exact" w:line="600"/>
              <w:jc w:val="center"/>
            </w:pPr>
            <w:r/>
            <w:r>
              <w:rPr>
                <w:rFonts w:ascii="仿宋_GB2312" w:hAnsi="仿宋_GB2312" w:eastAsia="仿宋_GB2312"/>
                <w:b w:val="0"/>
                <w:color w:val="000000"/>
                <w:sz w:val="32"/>
              </w:rPr>
              <w:t>年产值6亿多元</w:t>
            </w:r>
          </w:p>
        </w:tc>
      </w:tr>
      <w:tr>
        <w:tc>
          <w:tcPr>
            <w:tcW w:type="dxa" w:w="2551"/>
          </w:tcPr>
          <w:p>
            <w:pPr>
              <w:spacing w:lineRule="exact" w:line="600"/>
              <w:jc w:val="center"/>
            </w:pPr>
            <w:r/>
            <w:r>
              <w:rPr>
                <w:rFonts w:ascii="仿宋_GB2312" w:hAnsi="仿宋_GB2312" w:eastAsia="仿宋_GB2312"/>
                <w:b w:val="0"/>
                <w:color w:val="000000"/>
                <w:sz w:val="32"/>
              </w:rPr>
              <w:t>专精特新</w:t>
            </w:r>
          </w:p>
        </w:tc>
        <w:tc>
          <w:tcPr>
            <w:tcW w:type="dxa" w:w="3118"/>
          </w:tcPr>
          <w:p>
            <w:pPr>
              <w:spacing w:lineRule="exact" w:line="600"/>
              <w:jc w:val="center"/>
            </w:pPr>
            <w:r/>
            <w:r>
              <w:rPr>
                <w:rFonts w:ascii="仿宋_GB2312" w:hAnsi="仿宋_GB2312" w:eastAsia="仿宋_GB2312"/>
                <w:b w:val="0"/>
                <w:color w:val="000000"/>
                <w:sz w:val="32"/>
              </w:rPr>
              <w:t>58家</w:t>
            </w:r>
          </w:p>
        </w:tc>
        <w:tc>
          <w:tcPr>
            <w:tcW w:type="dxa" w:w="3402"/>
          </w:tcPr>
          <w:p>
            <w:pPr>
              <w:spacing w:lineRule="exact" w:line="600"/>
              <w:jc w:val="center"/>
            </w:pPr>
            <w:r/>
            <w:r>
              <w:rPr>
                <w:rFonts w:ascii="仿宋_GB2312" w:hAnsi="仿宋_GB2312" w:eastAsia="仿宋_GB2312"/>
                <w:b w:val="0"/>
                <w:color w:val="000000"/>
                <w:sz w:val="32"/>
              </w:rPr>
              <w:t>集群配套</w:t>
            </w:r>
          </w:p>
        </w:tc>
      </w:tr>
    </w:tbl>
    <w:p>
      <w:pPr>
        <w:spacing w:lineRule="exact" w:line="600" w:before="120" w:after="120"/>
        <w:ind w:firstLine="420"/>
        <w:jc w:val="left"/>
      </w:pPr>
      <w:r>
        <w:rPr>
          <w:rFonts w:ascii="楷体_GB2312" w:hAnsi="楷体_GB2312" w:eastAsia="楷体_GB2312"/>
          <w:b w:val="0"/>
          <w:color w:val="000000"/>
          <w:sz w:val="32"/>
        </w:rPr>
        <w:t>（三）企业培育梯队</w:t>
      </w:r>
    </w:p>
    <w:p>
      <w:pPr>
        <w:spacing w:lineRule="exact" w:line="600" w:before="0" w:after="0"/>
        <w:ind w:firstLine="420"/>
        <w:jc w:val="both"/>
      </w:pPr>
      <w:r>
        <w:rPr>
          <w:rFonts w:ascii="仿宋_GB2312" w:hAnsi="仿宋_GB2312" w:eastAsia="仿宋_GB2312"/>
          <w:b w:val="0"/>
          <w:color w:val="000000"/>
          <w:sz w:val="32"/>
        </w:rPr>
        <w:t>龙口市构建优质中小企业梯度培育动态数据库，以梯度培育模式激活企业成长活力。全市拥有国家级制造业单项冠军企业（产品）6家，专精特新「小巨人」企业13家（重点支持4家），省级制造业单项冠军企业19家、瞪羚企业21家、「专精特新」中小企业134家、创新型中小企业148家，相关企业数量位居山东县域前列。其中高端铝材领域拥有省级高端铝合金材料制造业创新中心1家，为集群持续输送「专精特新」与单项冠军企业。</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企业培育层级</w:t>
            </w:r>
          </w:p>
        </w:tc>
        <w:tc>
          <w:tcPr>
            <w:tcW w:type="dxa" w:w="2268"/>
          </w:tcPr>
          <w:p>
            <w:pPr>
              <w:spacing w:lineRule="exact" w:line="600"/>
              <w:jc w:val="center"/>
            </w:pPr>
            <w:r/>
            <w:r>
              <w:rPr>
                <w:rFonts w:ascii="黑体" w:hAnsi="黑体" w:eastAsia="黑体"/>
                <w:b/>
                <w:color w:val="000000"/>
                <w:sz w:val="32"/>
              </w:rPr>
              <w:t>数量</w:t>
            </w:r>
          </w:p>
        </w:tc>
        <w:tc>
          <w:tcPr>
            <w:tcW w:type="dxa" w:w="3685"/>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国家级制造业单项冠军</w:t>
            </w:r>
          </w:p>
        </w:tc>
        <w:tc>
          <w:tcPr>
            <w:tcW w:type="dxa" w:w="2268"/>
          </w:tcPr>
          <w:p>
            <w:pPr>
              <w:spacing w:lineRule="exact" w:line="600"/>
              <w:jc w:val="center"/>
            </w:pPr>
            <w:r/>
            <w:r>
              <w:rPr>
                <w:rFonts w:ascii="仿宋_GB2312" w:hAnsi="仿宋_GB2312" w:eastAsia="仿宋_GB2312"/>
                <w:b w:val="0"/>
                <w:color w:val="000000"/>
                <w:sz w:val="32"/>
              </w:rPr>
              <w:t>6家</w:t>
            </w:r>
          </w:p>
        </w:tc>
        <w:tc>
          <w:tcPr>
            <w:tcW w:type="dxa" w:w="3685"/>
          </w:tcPr>
          <w:p>
            <w:pPr>
              <w:spacing w:lineRule="exact" w:line="600"/>
              <w:jc w:val="center"/>
            </w:pPr>
            <w:r/>
            <w:r>
              <w:rPr>
                <w:rFonts w:ascii="仿宋_GB2312" w:hAnsi="仿宋_GB2312" w:eastAsia="仿宋_GB2312"/>
                <w:b w:val="0"/>
                <w:color w:val="000000"/>
                <w:sz w:val="32"/>
              </w:rPr>
              <w:t>含铝材领域</w:t>
            </w:r>
          </w:p>
        </w:tc>
      </w:tr>
      <w:tr>
        <w:tc>
          <w:tcPr>
            <w:tcW w:type="dxa" w:w="3118"/>
          </w:tcPr>
          <w:p>
            <w:pPr>
              <w:spacing w:lineRule="exact" w:line="600"/>
              <w:jc w:val="center"/>
            </w:pPr>
            <w:r/>
            <w:r>
              <w:rPr>
                <w:rFonts w:ascii="仿宋_GB2312" w:hAnsi="仿宋_GB2312" w:eastAsia="仿宋_GB2312"/>
                <w:b w:val="0"/>
                <w:color w:val="000000"/>
                <w:sz w:val="32"/>
              </w:rPr>
              <w:t>专精特新小巨人</w:t>
            </w:r>
          </w:p>
        </w:tc>
        <w:tc>
          <w:tcPr>
            <w:tcW w:type="dxa" w:w="2268"/>
          </w:tcPr>
          <w:p>
            <w:pPr>
              <w:spacing w:lineRule="exact" w:line="600"/>
              <w:jc w:val="center"/>
            </w:pPr>
            <w:r/>
            <w:r>
              <w:rPr>
                <w:rFonts w:ascii="仿宋_GB2312" w:hAnsi="仿宋_GB2312" w:eastAsia="仿宋_GB2312"/>
                <w:b w:val="0"/>
                <w:color w:val="000000"/>
                <w:sz w:val="32"/>
              </w:rPr>
              <w:t>13家</w:t>
            </w:r>
          </w:p>
        </w:tc>
        <w:tc>
          <w:tcPr>
            <w:tcW w:type="dxa" w:w="3685"/>
          </w:tcPr>
          <w:p>
            <w:pPr>
              <w:spacing w:lineRule="exact" w:line="600"/>
              <w:jc w:val="center"/>
            </w:pPr>
            <w:r/>
            <w:r>
              <w:rPr>
                <w:rFonts w:ascii="仿宋_GB2312" w:hAnsi="仿宋_GB2312" w:eastAsia="仿宋_GB2312"/>
                <w:b w:val="0"/>
                <w:color w:val="000000"/>
                <w:sz w:val="32"/>
              </w:rPr>
              <w:t>重点支持4家</w:t>
            </w:r>
          </w:p>
        </w:tc>
      </w:tr>
      <w:tr>
        <w:tc>
          <w:tcPr>
            <w:tcW w:type="dxa" w:w="3118"/>
          </w:tcPr>
          <w:p>
            <w:pPr>
              <w:spacing w:lineRule="exact" w:line="600"/>
              <w:jc w:val="center"/>
            </w:pPr>
            <w:r/>
            <w:r>
              <w:rPr>
                <w:rFonts w:ascii="仿宋_GB2312" w:hAnsi="仿宋_GB2312" w:eastAsia="仿宋_GB2312"/>
                <w:b w:val="0"/>
                <w:color w:val="000000"/>
                <w:sz w:val="32"/>
              </w:rPr>
              <w:t>省级制造业单项冠军</w:t>
            </w:r>
          </w:p>
        </w:tc>
        <w:tc>
          <w:tcPr>
            <w:tcW w:type="dxa" w:w="2268"/>
          </w:tcPr>
          <w:p>
            <w:pPr>
              <w:spacing w:lineRule="exact" w:line="600"/>
              <w:jc w:val="center"/>
            </w:pPr>
            <w:r/>
            <w:r>
              <w:rPr>
                <w:rFonts w:ascii="仿宋_GB2312" w:hAnsi="仿宋_GB2312" w:eastAsia="仿宋_GB2312"/>
                <w:b w:val="0"/>
                <w:color w:val="000000"/>
                <w:sz w:val="32"/>
              </w:rPr>
              <w:t>19家</w:t>
            </w:r>
          </w:p>
        </w:tc>
        <w:tc>
          <w:tcPr>
            <w:tcW w:type="dxa" w:w="3685"/>
          </w:tcPr>
          <w:p>
            <w:pPr>
              <w:spacing w:lineRule="exact" w:line="600"/>
              <w:jc w:val="center"/>
            </w:pPr>
            <w:r/>
            <w:r>
              <w:rPr>
                <w:rFonts w:ascii="仿宋_GB2312" w:hAnsi="仿宋_GB2312" w:eastAsia="仿宋_GB2312"/>
                <w:b w:val="0"/>
                <w:color w:val="000000"/>
                <w:sz w:val="32"/>
              </w:rPr>
              <w:t>铝材相关</w:t>
            </w:r>
          </w:p>
        </w:tc>
      </w:tr>
      <w:tr>
        <w:tc>
          <w:tcPr>
            <w:tcW w:type="dxa" w:w="3118"/>
          </w:tcPr>
          <w:p>
            <w:pPr>
              <w:spacing w:lineRule="exact" w:line="600"/>
              <w:jc w:val="center"/>
            </w:pPr>
            <w:r/>
            <w:r>
              <w:rPr>
                <w:rFonts w:ascii="仿宋_GB2312" w:hAnsi="仿宋_GB2312" w:eastAsia="仿宋_GB2312"/>
                <w:b w:val="0"/>
                <w:color w:val="000000"/>
                <w:sz w:val="32"/>
              </w:rPr>
              <w:t>省级专精特新中小企业</w:t>
            </w:r>
          </w:p>
        </w:tc>
        <w:tc>
          <w:tcPr>
            <w:tcW w:type="dxa" w:w="2268"/>
          </w:tcPr>
          <w:p>
            <w:pPr>
              <w:spacing w:lineRule="exact" w:line="600"/>
              <w:jc w:val="center"/>
            </w:pPr>
            <w:r/>
            <w:r>
              <w:rPr>
                <w:rFonts w:ascii="仿宋_GB2312" w:hAnsi="仿宋_GB2312" w:eastAsia="仿宋_GB2312"/>
                <w:b w:val="0"/>
                <w:color w:val="000000"/>
                <w:sz w:val="32"/>
              </w:rPr>
              <w:t>134家</w:t>
            </w:r>
          </w:p>
        </w:tc>
        <w:tc>
          <w:tcPr>
            <w:tcW w:type="dxa" w:w="3685"/>
          </w:tcPr>
          <w:p>
            <w:pPr>
              <w:spacing w:lineRule="exact" w:line="600"/>
              <w:jc w:val="center"/>
            </w:pPr>
            <w:r/>
            <w:r>
              <w:rPr>
                <w:rFonts w:ascii="仿宋_GB2312" w:hAnsi="仿宋_GB2312" w:eastAsia="仿宋_GB2312"/>
                <w:b w:val="0"/>
                <w:color w:val="000000"/>
                <w:sz w:val="32"/>
              </w:rPr>
              <w:t>县域前列</w:t>
            </w:r>
          </w:p>
        </w:tc>
      </w:tr>
      <w:tr>
        <w:tc>
          <w:tcPr>
            <w:tcW w:type="dxa" w:w="3118"/>
          </w:tcPr>
          <w:p>
            <w:pPr>
              <w:spacing w:lineRule="exact" w:line="600"/>
              <w:jc w:val="center"/>
            </w:pPr>
            <w:r/>
            <w:r>
              <w:rPr>
                <w:rFonts w:ascii="仿宋_GB2312" w:hAnsi="仿宋_GB2312" w:eastAsia="仿宋_GB2312"/>
                <w:b w:val="0"/>
                <w:color w:val="000000"/>
                <w:sz w:val="32"/>
              </w:rPr>
              <w:t>创新型中小企业</w:t>
            </w:r>
          </w:p>
        </w:tc>
        <w:tc>
          <w:tcPr>
            <w:tcW w:type="dxa" w:w="2268"/>
          </w:tcPr>
          <w:p>
            <w:pPr>
              <w:spacing w:lineRule="exact" w:line="600"/>
              <w:jc w:val="center"/>
            </w:pPr>
            <w:r/>
            <w:r>
              <w:rPr>
                <w:rFonts w:ascii="仿宋_GB2312" w:hAnsi="仿宋_GB2312" w:eastAsia="仿宋_GB2312"/>
                <w:b w:val="0"/>
                <w:color w:val="000000"/>
                <w:sz w:val="32"/>
              </w:rPr>
              <w:t>148家</w:t>
            </w:r>
          </w:p>
        </w:tc>
        <w:tc>
          <w:tcPr>
            <w:tcW w:type="dxa" w:w="3685"/>
          </w:tcPr>
          <w:p>
            <w:pPr>
              <w:spacing w:lineRule="exact" w:line="600"/>
              <w:jc w:val="center"/>
            </w:pPr>
            <w:r/>
            <w:r>
              <w:rPr>
                <w:rFonts w:ascii="仿宋_GB2312" w:hAnsi="仿宋_GB2312" w:eastAsia="仿宋_GB2312"/>
                <w:b w:val="0"/>
                <w:color w:val="000000"/>
                <w:sz w:val="32"/>
              </w:rPr>
              <w:t>梯度培育</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（一）核心装备与工艺突破</w:t>
      </w:r>
    </w:p>
    <w:p>
      <w:pPr>
        <w:spacing w:lineRule="exact" w:line="600" w:before="0" w:after="0"/>
        <w:ind w:firstLine="420"/>
        <w:jc w:val="both"/>
      </w:pPr>
      <w:r>
        <w:rPr>
          <w:rFonts w:ascii="仿宋_GB2312" w:hAnsi="仿宋_GB2312" w:eastAsia="仿宋_GB2312"/>
          <w:b w:val="0"/>
          <w:color w:val="000000"/>
          <w:sz w:val="32"/>
        </w:rPr>
        <w:t>龙口集群在重大装备与工艺上屡获国家级突破。丛林铝业2002年研制成功世界首台万吨油压双动铝挤压机，2005年获国家科技进步一等奖；其「铝液短流程合金化及塑性成型加工关键技术」列入国家科技支撑计划。南山铝业自2017年3月起参与国产大飞机C919研发，成功突破国内航空机翼长桁用铝型材核心关键技术，7系铝合金厚板已应用于C919、ARJ21等机型，并通过空客和中国商飞机翼长桁用铝型材认证、2019年起逐步供货。2019年3月中国商飞上飞院与南山铝业共建「民机铝合金材料联合研究中心」。</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技术成果</w:t>
            </w:r>
          </w:p>
        </w:tc>
        <w:tc>
          <w:tcPr>
            <w:tcW w:type="dxa" w:w="3402"/>
          </w:tcPr>
          <w:p>
            <w:pPr>
              <w:spacing w:lineRule="exact" w:line="600"/>
              <w:jc w:val="center"/>
            </w:pPr>
            <w:r/>
            <w:r>
              <w:rPr>
                <w:rFonts w:ascii="黑体" w:hAnsi="黑体" w:eastAsia="黑体"/>
                <w:b/>
                <w:color w:val="000000"/>
                <w:sz w:val="32"/>
              </w:rPr>
              <w:t>奖项/认证</w:t>
            </w:r>
          </w:p>
        </w:tc>
        <w:tc>
          <w:tcPr>
            <w:tcW w:type="dxa" w:w="3118"/>
          </w:tcPr>
          <w:p>
            <w:pPr>
              <w:spacing w:lineRule="exact" w:line="600"/>
              <w:jc w:val="center"/>
            </w:pPr>
            <w:r/>
            <w:r>
              <w:rPr>
                <w:rFonts w:ascii="黑体" w:hAnsi="黑体" w:eastAsia="黑体"/>
                <w:b/>
                <w:color w:val="000000"/>
                <w:sz w:val="32"/>
              </w:rPr>
              <w:t>主体</w:t>
            </w:r>
          </w:p>
        </w:tc>
      </w:tr>
      <w:tr>
        <w:tc>
          <w:tcPr>
            <w:tcW w:type="dxa" w:w="3118"/>
          </w:tcPr>
          <w:p>
            <w:pPr>
              <w:spacing w:lineRule="exact" w:line="600"/>
              <w:jc w:val="center"/>
            </w:pPr>
            <w:r/>
            <w:r>
              <w:rPr>
                <w:rFonts w:ascii="仿宋_GB2312" w:hAnsi="仿宋_GB2312" w:eastAsia="仿宋_GB2312"/>
                <w:b w:val="0"/>
                <w:color w:val="000000"/>
                <w:sz w:val="32"/>
              </w:rPr>
              <w:t>万吨油压双动铝挤压机</w:t>
            </w:r>
          </w:p>
        </w:tc>
        <w:tc>
          <w:tcPr>
            <w:tcW w:type="dxa" w:w="3402"/>
          </w:tcPr>
          <w:p>
            <w:pPr>
              <w:spacing w:lineRule="exact" w:line="600"/>
              <w:jc w:val="center"/>
            </w:pPr>
            <w:r/>
            <w:r>
              <w:rPr>
                <w:rFonts w:ascii="仿宋_GB2312" w:hAnsi="仿宋_GB2312" w:eastAsia="仿宋_GB2312"/>
                <w:b w:val="0"/>
                <w:color w:val="000000"/>
                <w:sz w:val="32"/>
              </w:rPr>
              <w:t>国家科技进步一等奖（2005）</w:t>
            </w:r>
          </w:p>
        </w:tc>
        <w:tc>
          <w:tcPr>
            <w:tcW w:type="dxa" w:w="3118"/>
          </w:tcPr>
          <w:p>
            <w:pPr>
              <w:spacing w:lineRule="exact" w:line="600"/>
              <w:jc w:val="center"/>
            </w:pPr>
            <w:r/>
            <w:r>
              <w:rPr>
                <w:rFonts w:ascii="仿宋_GB2312" w:hAnsi="仿宋_GB2312" w:eastAsia="仿宋_GB2312"/>
                <w:b w:val="0"/>
                <w:color w:val="000000"/>
                <w:sz w:val="32"/>
              </w:rPr>
              <w:t>丛林铝业</w:t>
            </w:r>
          </w:p>
        </w:tc>
      </w:tr>
      <w:tr>
        <w:tc>
          <w:tcPr>
            <w:tcW w:type="dxa" w:w="3118"/>
          </w:tcPr>
          <w:p>
            <w:pPr>
              <w:spacing w:lineRule="exact" w:line="600"/>
              <w:jc w:val="center"/>
            </w:pPr>
            <w:r/>
            <w:r>
              <w:rPr>
                <w:rFonts w:ascii="仿宋_GB2312" w:hAnsi="仿宋_GB2312" w:eastAsia="仿宋_GB2312"/>
                <w:b w:val="0"/>
                <w:color w:val="000000"/>
                <w:sz w:val="32"/>
              </w:rPr>
              <w:t>C919机翼长桁铝型材</w:t>
            </w:r>
          </w:p>
        </w:tc>
        <w:tc>
          <w:tcPr>
            <w:tcW w:type="dxa" w:w="3402"/>
          </w:tcPr>
          <w:p>
            <w:pPr>
              <w:spacing w:lineRule="exact" w:line="600"/>
              <w:jc w:val="center"/>
            </w:pPr>
            <w:r/>
            <w:r>
              <w:rPr>
                <w:rFonts w:ascii="仿宋_GB2312" w:hAnsi="仿宋_GB2312" w:eastAsia="仿宋_GB2312"/>
                <w:b w:val="0"/>
                <w:color w:val="000000"/>
                <w:sz w:val="32"/>
              </w:rPr>
              <w:t>核心关键技术突破</w:t>
            </w:r>
          </w:p>
        </w:tc>
        <w:tc>
          <w:tcPr>
            <w:tcW w:type="dxa" w:w="3118"/>
          </w:tcPr>
          <w:p>
            <w:pPr>
              <w:spacing w:lineRule="exact" w:line="600"/>
              <w:jc w:val="center"/>
            </w:pPr>
            <w:r/>
            <w:r>
              <w:rPr>
                <w:rFonts w:ascii="仿宋_GB2312" w:hAnsi="仿宋_GB2312" w:eastAsia="仿宋_GB2312"/>
                <w:b w:val="0"/>
                <w:color w:val="000000"/>
                <w:sz w:val="32"/>
              </w:rPr>
              <w:t>南山铝业</w:t>
            </w:r>
          </w:p>
        </w:tc>
      </w:tr>
      <w:tr>
        <w:tc>
          <w:tcPr>
            <w:tcW w:type="dxa" w:w="3118"/>
          </w:tcPr>
          <w:p>
            <w:pPr>
              <w:spacing w:lineRule="exact" w:line="600"/>
              <w:jc w:val="center"/>
            </w:pPr>
            <w:r/>
            <w:r>
              <w:rPr>
                <w:rFonts w:ascii="仿宋_GB2312" w:hAnsi="仿宋_GB2312" w:eastAsia="仿宋_GB2312"/>
                <w:b w:val="0"/>
                <w:color w:val="000000"/>
                <w:sz w:val="32"/>
              </w:rPr>
              <w:t>民机铝合金材料联合研究中心</w:t>
            </w:r>
          </w:p>
        </w:tc>
        <w:tc>
          <w:tcPr>
            <w:tcW w:type="dxa" w:w="3402"/>
          </w:tcPr>
          <w:p>
            <w:pPr>
              <w:spacing w:lineRule="exact" w:line="600"/>
              <w:jc w:val="center"/>
            </w:pPr>
            <w:r/>
            <w:r>
              <w:rPr>
                <w:rFonts w:ascii="仿宋_GB2312" w:hAnsi="仿宋_GB2312" w:eastAsia="仿宋_GB2312"/>
                <w:b w:val="0"/>
                <w:color w:val="000000"/>
                <w:sz w:val="32"/>
              </w:rPr>
              <w:t>2019共建</w:t>
            </w:r>
          </w:p>
        </w:tc>
        <w:tc>
          <w:tcPr>
            <w:tcW w:type="dxa" w:w="3118"/>
          </w:tcPr>
          <w:p>
            <w:pPr>
              <w:spacing w:lineRule="exact" w:line="600"/>
              <w:jc w:val="center"/>
            </w:pPr>
            <w:r/>
            <w:r>
              <w:rPr>
                <w:rFonts w:ascii="仿宋_GB2312" w:hAnsi="仿宋_GB2312" w:eastAsia="仿宋_GB2312"/>
                <w:b w:val="0"/>
                <w:color w:val="000000"/>
                <w:sz w:val="32"/>
              </w:rPr>
              <w:t>南山+商飞</w:t>
            </w:r>
          </w:p>
        </w:tc>
      </w:tr>
      <w:tr>
        <w:tc>
          <w:tcPr>
            <w:tcW w:type="dxa" w:w="3118"/>
          </w:tcPr>
          <w:p>
            <w:pPr>
              <w:spacing w:lineRule="exact" w:line="600"/>
              <w:jc w:val="center"/>
            </w:pPr>
            <w:r/>
            <w:r>
              <w:rPr>
                <w:rFonts w:ascii="仿宋_GB2312" w:hAnsi="仿宋_GB2312" w:eastAsia="仿宋_GB2312"/>
                <w:b w:val="0"/>
                <w:color w:val="000000"/>
                <w:sz w:val="32"/>
              </w:rPr>
              <w:t>铝液短流程合金化技术</w:t>
            </w:r>
          </w:p>
        </w:tc>
        <w:tc>
          <w:tcPr>
            <w:tcW w:type="dxa" w:w="3402"/>
          </w:tcPr>
          <w:p>
            <w:pPr>
              <w:spacing w:lineRule="exact" w:line="600"/>
              <w:jc w:val="center"/>
            </w:pPr>
            <w:r/>
            <w:r>
              <w:rPr>
                <w:rFonts w:ascii="仿宋_GB2312" w:hAnsi="仿宋_GB2312" w:eastAsia="仿宋_GB2312"/>
                <w:b w:val="0"/>
                <w:color w:val="000000"/>
                <w:sz w:val="32"/>
              </w:rPr>
              <w:t>国家科技支撑计划</w:t>
            </w:r>
          </w:p>
        </w:tc>
        <w:tc>
          <w:tcPr>
            <w:tcW w:type="dxa" w:w="3118"/>
          </w:tcPr>
          <w:p>
            <w:pPr>
              <w:spacing w:lineRule="exact" w:line="600"/>
              <w:jc w:val="center"/>
            </w:pPr>
            <w:r/>
            <w:r>
              <w:rPr>
                <w:rFonts w:ascii="仿宋_GB2312" w:hAnsi="仿宋_GB2312" w:eastAsia="仿宋_GB2312"/>
                <w:b w:val="0"/>
                <w:color w:val="000000"/>
                <w:sz w:val="32"/>
              </w:rPr>
              <w:t>龙口集群</w:t>
            </w:r>
          </w:p>
        </w:tc>
      </w:tr>
    </w:tbl>
    <w:p>
      <w:pPr>
        <w:spacing w:lineRule="exact" w:line="600" w:before="120" w:after="120"/>
        <w:ind w:firstLine="420"/>
        <w:jc w:val="left"/>
      </w:pPr>
      <w:r>
        <w:rPr>
          <w:rFonts w:ascii="楷体_GB2312" w:hAnsi="楷体_GB2312" w:eastAsia="楷体_GB2312"/>
          <w:b w:val="0"/>
          <w:color w:val="000000"/>
          <w:sz w:val="32"/>
        </w:rPr>
        <w:t>（二）创新平台与产学研</w:t>
      </w:r>
    </w:p>
    <w:p>
      <w:pPr>
        <w:spacing w:lineRule="exact" w:line="600" w:before="0" w:after="0"/>
        <w:ind w:firstLine="420"/>
        <w:jc w:val="both"/>
      </w:pPr>
      <w:r>
        <w:rPr>
          <w:rFonts w:ascii="仿宋_GB2312" w:hAnsi="仿宋_GB2312" w:eastAsia="仿宋_GB2312"/>
          <w:b w:val="0"/>
          <w:color w:val="000000"/>
          <w:sz w:val="32"/>
        </w:rPr>
        <w:t>集群深化「产学研政」合作，与国内外知名科研院所、企业建立战略合作关系。南山铝业设立国家级企业技术中心，拥有山东省高端铝合金材料制造业创新中心；与中南大学、北京航空材料研究院等机构联合攻关。丛林铝业拥有博士后科研工作站、山东省唯一的工业铝型材工程技术研究中心。依托华为一体一园数字赋能，龙口构建面向环渤海的云计算、大数据人才培养基地，聚焦5G、人工智能、物联网，推进集群数字化升级。集群累计获国家级荣誉多项，授权专利超百项。</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创新平台</w:t>
            </w:r>
          </w:p>
        </w:tc>
        <w:tc>
          <w:tcPr>
            <w:tcW w:type="dxa" w:w="3118"/>
          </w:tcPr>
          <w:p>
            <w:pPr>
              <w:spacing w:lineRule="exact" w:line="600"/>
              <w:jc w:val="center"/>
            </w:pPr>
            <w:r/>
            <w:r>
              <w:rPr>
                <w:rFonts w:ascii="黑体" w:hAnsi="黑体" w:eastAsia="黑体"/>
                <w:b/>
                <w:color w:val="000000"/>
                <w:sz w:val="32"/>
              </w:rPr>
              <w:t>级别/依托</w:t>
            </w:r>
          </w:p>
        </w:tc>
        <w:tc>
          <w:tcPr>
            <w:tcW w:type="dxa" w:w="3118"/>
          </w:tcPr>
          <w:p>
            <w:pPr>
              <w:spacing w:lineRule="exact" w:line="600"/>
              <w:jc w:val="center"/>
            </w:pPr>
            <w:r/>
            <w:r>
              <w:rPr>
                <w:rFonts w:ascii="黑体" w:hAnsi="黑体" w:eastAsia="黑体"/>
                <w:b/>
                <w:color w:val="000000"/>
                <w:sz w:val="32"/>
              </w:rPr>
              <w:t>功能</w:t>
            </w:r>
          </w:p>
        </w:tc>
      </w:tr>
      <w:tr>
        <w:tc>
          <w:tcPr>
            <w:tcW w:type="dxa" w:w="3118"/>
          </w:tcPr>
          <w:p>
            <w:pPr>
              <w:spacing w:lineRule="exact" w:line="600"/>
              <w:jc w:val="center"/>
            </w:pPr>
            <w:r/>
            <w:r>
              <w:rPr>
                <w:rFonts w:ascii="仿宋_GB2312" w:hAnsi="仿宋_GB2312" w:eastAsia="仿宋_GB2312"/>
                <w:b w:val="0"/>
                <w:color w:val="000000"/>
                <w:sz w:val="32"/>
              </w:rPr>
              <w:t>国家级企业技术中心</w:t>
            </w:r>
          </w:p>
        </w:tc>
        <w:tc>
          <w:tcPr>
            <w:tcW w:type="dxa" w:w="3118"/>
          </w:tcPr>
          <w:p>
            <w:pPr>
              <w:spacing w:lineRule="exact" w:line="600"/>
              <w:jc w:val="center"/>
            </w:pPr>
            <w:r/>
            <w:r>
              <w:rPr>
                <w:rFonts w:ascii="仿宋_GB2312" w:hAnsi="仿宋_GB2312" w:eastAsia="仿宋_GB2312"/>
                <w:b w:val="0"/>
                <w:color w:val="000000"/>
                <w:sz w:val="32"/>
              </w:rPr>
              <w:t>国家级</w:t>
            </w:r>
          </w:p>
        </w:tc>
        <w:tc>
          <w:tcPr>
            <w:tcW w:type="dxa" w:w="3118"/>
          </w:tcPr>
          <w:p>
            <w:pPr>
              <w:spacing w:lineRule="exact" w:line="600"/>
              <w:jc w:val="center"/>
            </w:pPr>
            <w:r/>
            <w:r>
              <w:rPr>
                <w:rFonts w:ascii="仿宋_GB2312" w:hAnsi="仿宋_GB2312" w:eastAsia="仿宋_GB2312"/>
                <w:b w:val="0"/>
                <w:color w:val="000000"/>
                <w:sz w:val="32"/>
              </w:rPr>
              <w:t>南山铝业</w:t>
            </w:r>
          </w:p>
        </w:tc>
      </w:tr>
      <w:tr>
        <w:tc>
          <w:tcPr>
            <w:tcW w:type="dxa" w:w="3118"/>
          </w:tcPr>
          <w:p>
            <w:pPr>
              <w:spacing w:lineRule="exact" w:line="600"/>
              <w:jc w:val="center"/>
            </w:pPr>
            <w:r/>
            <w:r>
              <w:rPr>
                <w:rFonts w:ascii="仿宋_GB2312" w:hAnsi="仿宋_GB2312" w:eastAsia="仿宋_GB2312"/>
                <w:b w:val="0"/>
                <w:color w:val="000000"/>
                <w:sz w:val="32"/>
              </w:rPr>
              <w:t>省级高端铝合金材料创新中心</w:t>
            </w:r>
          </w:p>
        </w:tc>
        <w:tc>
          <w:tcPr>
            <w:tcW w:type="dxa" w:w="3118"/>
          </w:tcPr>
          <w:p>
            <w:pPr>
              <w:spacing w:lineRule="exact" w:line="600"/>
              <w:jc w:val="center"/>
            </w:pPr>
            <w:r/>
            <w:r>
              <w:rPr>
                <w:rFonts w:ascii="仿宋_GB2312" w:hAnsi="仿宋_GB2312" w:eastAsia="仿宋_GB2312"/>
                <w:b w:val="0"/>
                <w:color w:val="000000"/>
                <w:sz w:val="32"/>
              </w:rPr>
              <w:t>省级</w:t>
            </w:r>
          </w:p>
        </w:tc>
        <w:tc>
          <w:tcPr>
            <w:tcW w:type="dxa" w:w="3118"/>
          </w:tcPr>
          <w:p>
            <w:pPr>
              <w:spacing w:lineRule="exact" w:line="600"/>
              <w:jc w:val="center"/>
            </w:pPr>
            <w:r/>
            <w:r>
              <w:rPr>
                <w:rFonts w:ascii="仿宋_GB2312" w:hAnsi="仿宋_GB2312" w:eastAsia="仿宋_GB2312"/>
                <w:b w:val="0"/>
                <w:color w:val="000000"/>
                <w:sz w:val="32"/>
              </w:rPr>
              <w:t>龙口集群</w:t>
            </w:r>
          </w:p>
        </w:tc>
      </w:tr>
      <w:tr>
        <w:tc>
          <w:tcPr>
            <w:tcW w:type="dxa" w:w="3118"/>
          </w:tcPr>
          <w:p>
            <w:pPr>
              <w:spacing w:lineRule="exact" w:line="600"/>
              <w:jc w:val="center"/>
            </w:pPr>
            <w:r/>
            <w:r>
              <w:rPr>
                <w:rFonts w:ascii="仿宋_GB2312" w:hAnsi="仿宋_GB2312" w:eastAsia="仿宋_GB2312"/>
                <w:b w:val="0"/>
                <w:color w:val="000000"/>
                <w:sz w:val="32"/>
              </w:rPr>
              <w:t>工业铝型材工程技术研究中心</w:t>
            </w:r>
          </w:p>
        </w:tc>
        <w:tc>
          <w:tcPr>
            <w:tcW w:type="dxa" w:w="3118"/>
          </w:tcPr>
          <w:p>
            <w:pPr>
              <w:spacing w:lineRule="exact" w:line="600"/>
              <w:jc w:val="center"/>
            </w:pPr>
            <w:r/>
            <w:r>
              <w:rPr>
                <w:rFonts w:ascii="仿宋_GB2312" w:hAnsi="仿宋_GB2312" w:eastAsia="仿宋_GB2312"/>
                <w:b w:val="0"/>
                <w:color w:val="000000"/>
                <w:sz w:val="32"/>
              </w:rPr>
              <w:t>省级（唯一）</w:t>
            </w:r>
          </w:p>
        </w:tc>
        <w:tc>
          <w:tcPr>
            <w:tcW w:type="dxa" w:w="3118"/>
          </w:tcPr>
          <w:p>
            <w:pPr>
              <w:spacing w:lineRule="exact" w:line="600"/>
              <w:jc w:val="center"/>
            </w:pPr>
            <w:r/>
            <w:r>
              <w:rPr>
                <w:rFonts w:ascii="仿宋_GB2312" w:hAnsi="仿宋_GB2312" w:eastAsia="仿宋_GB2312"/>
                <w:b w:val="0"/>
                <w:color w:val="000000"/>
                <w:sz w:val="32"/>
              </w:rPr>
              <w:t>丛林铝业</w:t>
            </w:r>
          </w:p>
        </w:tc>
      </w:tr>
      <w:tr>
        <w:tc>
          <w:tcPr>
            <w:tcW w:type="dxa" w:w="3118"/>
          </w:tcPr>
          <w:p>
            <w:pPr>
              <w:spacing w:lineRule="exact" w:line="600"/>
              <w:jc w:val="center"/>
            </w:pPr>
            <w:r/>
            <w:r>
              <w:rPr>
                <w:rFonts w:ascii="仿宋_GB2312" w:hAnsi="仿宋_GB2312" w:eastAsia="仿宋_GB2312"/>
                <w:b w:val="0"/>
                <w:color w:val="000000"/>
                <w:sz w:val="32"/>
              </w:rPr>
              <w:t>民机铝合金材料联合研究中心</w:t>
            </w:r>
          </w:p>
        </w:tc>
        <w:tc>
          <w:tcPr>
            <w:tcW w:type="dxa" w:w="3118"/>
          </w:tcPr>
          <w:p>
            <w:pPr>
              <w:spacing w:lineRule="exact" w:line="600"/>
              <w:jc w:val="center"/>
            </w:pPr>
            <w:r/>
            <w:r>
              <w:rPr>
                <w:rFonts w:ascii="仿宋_GB2312" w:hAnsi="仿宋_GB2312" w:eastAsia="仿宋_GB2312"/>
                <w:b w:val="0"/>
                <w:color w:val="000000"/>
                <w:sz w:val="32"/>
              </w:rPr>
              <w:t>校企共建</w:t>
            </w:r>
          </w:p>
        </w:tc>
        <w:tc>
          <w:tcPr>
            <w:tcW w:type="dxa" w:w="3118"/>
          </w:tcPr>
          <w:p>
            <w:pPr>
              <w:spacing w:lineRule="exact" w:line="600"/>
              <w:jc w:val="center"/>
            </w:pPr>
            <w:r/>
            <w:r>
              <w:rPr>
                <w:rFonts w:ascii="仿宋_GB2312" w:hAnsi="仿宋_GB2312" w:eastAsia="仿宋_GB2312"/>
                <w:b w:val="0"/>
                <w:color w:val="000000"/>
                <w:sz w:val="32"/>
              </w:rPr>
              <w:t>C919材料</w:t>
            </w:r>
          </w:p>
        </w:tc>
      </w:tr>
    </w:tbl>
    <w:p>
      <w:pPr>
        <w:spacing w:lineRule="exact" w:line="600" w:before="120" w:after="120"/>
        <w:ind w:firstLine="420"/>
        <w:jc w:val="left"/>
      </w:pPr>
      <w:r>
        <w:rPr>
          <w:rFonts w:ascii="楷体_GB2312" w:hAnsi="楷体_GB2312" w:eastAsia="楷体_GB2312"/>
          <w:b w:val="0"/>
          <w:color w:val="000000"/>
          <w:sz w:val="32"/>
        </w:rPr>
        <w:t>（三）数智化与绿色制造</w:t>
      </w:r>
    </w:p>
    <w:p>
      <w:pPr>
        <w:spacing w:lineRule="exact" w:line="600" w:before="0" w:after="0"/>
        <w:ind w:firstLine="420"/>
        <w:jc w:val="both"/>
      </w:pPr>
      <w:r>
        <w:rPr>
          <w:rFonts w:ascii="仿宋_GB2312" w:hAnsi="仿宋_GB2312" w:eastAsia="仿宋_GB2312"/>
          <w:b w:val="0"/>
          <w:color w:val="000000"/>
          <w:sz w:val="32"/>
        </w:rPr>
        <w:t>龙口近两年来以数智化为刃重塑传统产业，集群内187家重点中小企业中已有35家开启数字化转型，依据《烟台市中小企业数字化转型城市试点工作专项资金实施细则》给予配套补助。和义机械等企业通过智能车间将质检综合检出率提升至97%、精度提高至0.1毫米。绿色低碳方面，南山铝业推进再生铝项目，部分产能进入试生产；集群依托科技创新发展再生铝循环利用，响应电解铝能效与减碳要求，向「绿色智造」转型。</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数智/绿色指标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3118"/>
          </w:tcPr>
          <w:p>
            <w:pPr>
              <w:spacing w:lineRule="exact" w:line="600"/>
              <w:jc w:val="center"/>
            </w:pPr>
            <w:r/>
            <w:r>
              <w:rPr>
                <w:rFonts w:ascii="仿宋_GB2312" w:hAnsi="仿宋_GB2312" w:eastAsia="仿宋_GB2312"/>
                <w:b w:val="0"/>
                <w:color w:val="000000"/>
                <w:sz w:val="32"/>
              </w:rPr>
              <w:t>集群重点中小企业</w:t>
            </w:r>
          </w:p>
        </w:tc>
        <w:tc>
          <w:tcPr>
            <w:tcW w:type="dxa" w:w="2835"/>
          </w:tcPr>
          <w:p>
            <w:pPr>
              <w:spacing w:lineRule="exact" w:line="600"/>
              <w:jc w:val="center"/>
            </w:pPr>
            <w:r/>
            <w:r>
              <w:rPr>
                <w:rFonts w:ascii="仿宋_GB2312" w:hAnsi="仿宋_GB2312" w:eastAsia="仿宋_GB2312"/>
                <w:b w:val="0"/>
                <w:color w:val="000000"/>
                <w:sz w:val="32"/>
              </w:rPr>
              <w:t>187家</w:t>
            </w:r>
          </w:p>
        </w:tc>
        <w:tc>
          <w:tcPr>
            <w:tcW w:type="dxa" w:w="3118"/>
          </w:tcPr>
          <w:p>
            <w:pPr>
              <w:spacing w:lineRule="exact" w:line="600"/>
              <w:jc w:val="center"/>
            </w:pPr>
            <w:r/>
            <w:r>
              <w:rPr>
                <w:rFonts w:ascii="仿宋_GB2312" w:hAnsi="仿宋_GB2312" w:eastAsia="仿宋_GB2312"/>
                <w:b w:val="0"/>
                <w:color w:val="000000"/>
                <w:sz w:val="32"/>
              </w:rPr>
              <w:t>新华网</w:t>
            </w:r>
          </w:p>
        </w:tc>
      </w:tr>
      <w:tr>
        <w:tc>
          <w:tcPr>
            <w:tcW w:type="dxa" w:w="3118"/>
          </w:tcPr>
          <w:p>
            <w:pPr>
              <w:spacing w:lineRule="exact" w:line="600"/>
              <w:jc w:val="center"/>
            </w:pPr>
            <w:r/>
            <w:r>
              <w:rPr>
                <w:rFonts w:ascii="仿宋_GB2312" w:hAnsi="仿宋_GB2312" w:eastAsia="仿宋_GB2312"/>
                <w:b w:val="0"/>
                <w:color w:val="000000"/>
                <w:sz w:val="32"/>
              </w:rPr>
              <w:t>已启动数字化转型</w:t>
            </w:r>
          </w:p>
        </w:tc>
        <w:tc>
          <w:tcPr>
            <w:tcW w:type="dxa" w:w="2835"/>
          </w:tcPr>
          <w:p>
            <w:pPr>
              <w:spacing w:lineRule="exact" w:line="600"/>
              <w:jc w:val="center"/>
            </w:pPr>
            <w:r/>
            <w:r>
              <w:rPr>
                <w:rFonts w:ascii="仿宋_GB2312" w:hAnsi="仿宋_GB2312" w:eastAsia="仿宋_GB2312"/>
                <w:b w:val="0"/>
                <w:color w:val="000000"/>
                <w:sz w:val="32"/>
              </w:rPr>
              <w:t>35家</w:t>
            </w:r>
          </w:p>
        </w:tc>
        <w:tc>
          <w:tcPr>
            <w:tcW w:type="dxa" w:w="3118"/>
          </w:tcPr>
          <w:p>
            <w:pPr>
              <w:spacing w:lineRule="exact" w:line="600"/>
              <w:jc w:val="center"/>
            </w:pPr>
            <w:r/>
            <w:r>
              <w:rPr>
                <w:rFonts w:ascii="仿宋_GB2312" w:hAnsi="仿宋_GB2312" w:eastAsia="仿宋_GB2312"/>
                <w:b w:val="0"/>
                <w:color w:val="000000"/>
                <w:sz w:val="32"/>
              </w:rPr>
              <w:t>龙口工信</w:t>
            </w:r>
          </w:p>
        </w:tc>
      </w:tr>
      <w:tr>
        <w:tc>
          <w:tcPr>
            <w:tcW w:type="dxa" w:w="3118"/>
          </w:tcPr>
          <w:p>
            <w:pPr>
              <w:spacing w:lineRule="exact" w:line="600"/>
              <w:jc w:val="center"/>
            </w:pPr>
            <w:r/>
            <w:r>
              <w:rPr>
                <w:rFonts w:ascii="仿宋_GB2312" w:hAnsi="仿宋_GB2312" w:eastAsia="仿宋_GB2312"/>
                <w:b w:val="0"/>
                <w:color w:val="000000"/>
                <w:sz w:val="32"/>
              </w:rPr>
              <w:t>智能质检检出率</w:t>
            </w:r>
          </w:p>
        </w:tc>
        <w:tc>
          <w:tcPr>
            <w:tcW w:type="dxa" w:w="2835"/>
          </w:tcPr>
          <w:p>
            <w:pPr>
              <w:spacing w:lineRule="exact" w:line="600"/>
              <w:jc w:val="center"/>
            </w:pPr>
            <w:r/>
            <w:r>
              <w:rPr>
                <w:rFonts w:ascii="仿宋_GB2312" w:hAnsi="仿宋_GB2312" w:eastAsia="仿宋_GB2312"/>
                <w:b w:val="0"/>
                <w:color w:val="000000"/>
                <w:sz w:val="32"/>
              </w:rPr>
              <w:t>97%</w:t>
            </w:r>
          </w:p>
        </w:tc>
        <w:tc>
          <w:tcPr>
            <w:tcW w:type="dxa" w:w="3118"/>
          </w:tcPr>
          <w:p>
            <w:pPr>
              <w:spacing w:lineRule="exact" w:line="600"/>
              <w:jc w:val="center"/>
            </w:pPr>
            <w:r/>
            <w:r>
              <w:rPr>
                <w:rFonts w:ascii="仿宋_GB2312" w:hAnsi="仿宋_GB2312" w:eastAsia="仿宋_GB2312"/>
                <w:b w:val="0"/>
                <w:color w:val="000000"/>
                <w:sz w:val="32"/>
              </w:rPr>
              <w:t>和义机械案例</w:t>
            </w:r>
          </w:p>
        </w:tc>
      </w:tr>
      <w:tr>
        <w:tc>
          <w:tcPr>
            <w:tcW w:type="dxa" w:w="3118"/>
          </w:tcPr>
          <w:p>
            <w:pPr>
              <w:spacing w:lineRule="exact" w:line="600"/>
              <w:jc w:val="center"/>
            </w:pPr>
            <w:r/>
            <w:r>
              <w:rPr>
                <w:rFonts w:ascii="仿宋_GB2312" w:hAnsi="仿宋_GB2312" w:eastAsia="仿宋_GB2312"/>
                <w:b w:val="0"/>
                <w:color w:val="000000"/>
                <w:sz w:val="32"/>
              </w:rPr>
              <w:t>质检精度</w:t>
            </w:r>
          </w:p>
        </w:tc>
        <w:tc>
          <w:tcPr>
            <w:tcW w:type="dxa" w:w="2835"/>
          </w:tcPr>
          <w:p>
            <w:pPr>
              <w:spacing w:lineRule="exact" w:line="600"/>
              <w:jc w:val="center"/>
            </w:pPr>
            <w:r/>
            <w:r>
              <w:rPr>
                <w:rFonts w:ascii="仿宋_GB2312" w:hAnsi="仿宋_GB2312" w:eastAsia="仿宋_GB2312"/>
                <w:b w:val="0"/>
                <w:color w:val="000000"/>
                <w:sz w:val="32"/>
              </w:rPr>
              <w:t>0.1毫米</w:t>
            </w:r>
          </w:p>
        </w:tc>
        <w:tc>
          <w:tcPr>
            <w:tcW w:type="dxa" w:w="3118"/>
          </w:tcPr>
          <w:p>
            <w:pPr>
              <w:spacing w:lineRule="exact" w:line="600"/>
              <w:jc w:val="center"/>
            </w:pPr>
            <w:r/>
            <w:r>
              <w:rPr>
                <w:rFonts w:ascii="仿宋_GB2312" w:hAnsi="仿宋_GB2312" w:eastAsia="仿宋_GB2312"/>
                <w:b w:val="0"/>
                <w:color w:val="000000"/>
                <w:sz w:val="32"/>
              </w:rPr>
              <w:t>和义机械案例</w:t>
            </w:r>
          </w:p>
        </w:tc>
      </w:tr>
      <w:tr>
        <w:tc>
          <w:tcPr>
            <w:tcW w:type="dxa" w:w="3118"/>
          </w:tcPr>
          <w:p>
            <w:pPr>
              <w:spacing w:lineRule="exact" w:line="600"/>
              <w:jc w:val="center"/>
            </w:pPr>
            <w:r/>
            <w:r>
              <w:rPr>
                <w:rFonts w:ascii="仿宋_GB2312" w:hAnsi="仿宋_GB2312" w:eastAsia="仿宋_GB2312"/>
                <w:b w:val="0"/>
                <w:color w:val="000000"/>
                <w:sz w:val="32"/>
              </w:rPr>
              <w:t>再生铝产能</w:t>
            </w:r>
          </w:p>
        </w:tc>
        <w:tc>
          <w:tcPr>
            <w:tcW w:type="dxa" w:w="2835"/>
          </w:tcPr>
          <w:p>
            <w:pPr>
              <w:spacing w:lineRule="exact" w:line="600"/>
              <w:jc w:val="center"/>
            </w:pPr>
            <w:r/>
            <w:r>
              <w:rPr>
                <w:rFonts w:ascii="仿宋_GB2312" w:hAnsi="仿宋_GB2312" w:eastAsia="仿宋_GB2312"/>
                <w:b w:val="0"/>
                <w:color w:val="000000"/>
                <w:sz w:val="32"/>
              </w:rPr>
              <w:t>10万吨</w:t>
            </w:r>
          </w:p>
        </w:tc>
        <w:tc>
          <w:tcPr>
            <w:tcW w:type="dxa" w:w="3118"/>
          </w:tcPr>
          <w:p>
            <w:pPr>
              <w:spacing w:lineRule="exact" w:line="600"/>
              <w:jc w:val="center"/>
            </w:pPr>
            <w:r/>
            <w:r>
              <w:rPr>
                <w:rFonts w:ascii="仿宋_GB2312" w:hAnsi="仿宋_GB2312" w:eastAsia="仿宋_GB2312"/>
                <w:b w:val="0"/>
                <w:color w:val="000000"/>
                <w:sz w:val="32"/>
              </w:rPr>
              <w:t>南山铝业</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（一）成本结构与原铝价格</w:t>
      </w:r>
    </w:p>
    <w:p>
      <w:pPr>
        <w:spacing w:lineRule="exact" w:line="600" w:before="0" w:after="0"/>
        <w:ind w:firstLine="420"/>
        <w:jc w:val="both"/>
      </w:pPr>
      <w:r>
        <w:rPr>
          <w:rFonts w:ascii="仿宋_GB2312" w:hAnsi="仿宋_GB2312" w:eastAsia="仿宋_GB2312"/>
          <w:b w:val="0"/>
          <w:color w:val="000000"/>
          <w:sz w:val="32"/>
        </w:rPr>
        <w:t>交通铝型材成本以铝锭为主，定价模式通常为「A00铝锭价+加工费」。2023年原铝（SHFE铝）均价约18690元/吨，同比下降6%；氧化铝国内均价约2897元/吨（同比-2%），进口氧化铝均价345美元/吨（同比-5%）。铝价震荡下行缓解了部分成本压力，但火电成本高企、能效与减碳约束使电解铝环节承压，南山铝业因此2023年决定削减电解铝产能并转让33.6万吨指标，获取处置收益7.55亿元，占当期归母净利润21.73%，反映上游成本结构对盈利的显著影响。</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成本要素</w:t>
            </w:r>
          </w:p>
        </w:tc>
        <w:tc>
          <w:tcPr>
            <w:tcW w:type="dxa" w:w="3118"/>
          </w:tcPr>
          <w:p>
            <w:pPr>
              <w:spacing w:lineRule="exact" w:line="600"/>
              <w:jc w:val="center"/>
            </w:pPr>
            <w:r/>
            <w:r>
              <w:rPr>
                <w:rFonts w:ascii="黑体" w:hAnsi="黑体" w:eastAsia="黑体"/>
                <w:b/>
                <w:color w:val="000000"/>
                <w:sz w:val="32"/>
              </w:rPr>
              <w:t>2023均价</w:t>
            </w:r>
          </w:p>
        </w:tc>
        <w:tc>
          <w:tcPr>
            <w:tcW w:type="dxa" w:w="3118"/>
          </w:tcPr>
          <w:p>
            <w:pPr>
              <w:spacing w:lineRule="exact" w:line="600"/>
              <w:jc w:val="center"/>
            </w:pPr>
            <w:r/>
            <w:r>
              <w:rPr>
                <w:rFonts w:ascii="黑体" w:hAnsi="黑体" w:eastAsia="黑体"/>
                <w:b/>
                <w:color w:val="000000"/>
                <w:sz w:val="32"/>
              </w:rPr>
              <w:t>同比</w:t>
            </w:r>
          </w:p>
        </w:tc>
      </w:tr>
      <w:tr>
        <w:tc>
          <w:tcPr>
            <w:tcW w:type="dxa" w:w="2835"/>
          </w:tcPr>
          <w:p>
            <w:pPr>
              <w:spacing w:lineRule="exact" w:line="600"/>
              <w:jc w:val="center"/>
            </w:pPr>
            <w:r/>
            <w:r>
              <w:rPr>
                <w:rFonts w:ascii="仿宋_GB2312" w:hAnsi="仿宋_GB2312" w:eastAsia="仿宋_GB2312"/>
                <w:b w:val="0"/>
                <w:color w:val="000000"/>
                <w:sz w:val="32"/>
              </w:rPr>
              <w:t>原铝（SHFE铝）</w:t>
            </w:r>
          </w:p>
        </w:tc>
        <w:tc>
          <w:tcPr>
            <w:tcW w:type="dxa" w:w="3118"/>
          </w:tcPr>
          <w:p>
            <w:pPr>
              <w:spacing w:lineRule="exact" w:line="600"/>
              <w:jc w:val="center"/>
            </w:pPr>
            <w:r/>
            <w:r>
              <w:rPr>
                <w:rFonts w:ascii="仿宋_GB2312" w:hAnsi="仿宋_GB2312" w:eastAsia="仿宋_GB2312"/>
                <w:b w:val="0"/>
                <w:color w:val="000000"/>
                <w:sz w:val="32"/>
              </w:rPr>
              <w:t>约18690元/吨</w:t>
            </w:r>
          </w:p>
        </w:tc>
        <w:tc>
          <w:tcPr>
            <w:tcW w:type="dxa" w:w="3118"/>
          </w:tcPr>
          <w:p>
            <w:pPr>
              <w:spacing w:lineRule="exact" w:line="600"/>
              <w:jc w:val="center"/>
            </w:pPr>
            <w:r/>
            <w:r>
              <w:rPr>
                <w:rFonts w:ascii="仿宋_GB2312" w:hAnsi="仿宋_GB2312" w:eastAsia="仿宋_GB2312"/>
                <w:b w:val="0"/>
                <w:color w:val="000000"/>
                <w:sz w:val="32"/>
              </w:rPr>
              <w:t>-6%</w:t>
            </w:r>
          </w:p>
        </w:tc>
      </w:tr>
      <w:tr>
        <w:tc>
          <w:tcPr>
            <w:tcW w:type="dxa" w:w="2835"/>
          </w:tcPr>
          <w:p>
            <w:pPr>
              <w:spacing w:lineRule="exact" w:line="600"/>
              <w:jc w:val="center"/>
            </w:pPr>
            <w:r/>
            <w:r>
              <w:rPr>
                <w:rFonts w:ascii="仿宋_GB2312" w:hAnsi="仿宋_GB2312" w:eastAsia="仿宋_GB2312"/>
                <w:b w:val="0"/>
                <w:color w:val="000000"/>
                <w:sz w:val="32"/>
              </w:rPr>
              <w:t>国内氧化铝</w:t>
            </w:r>
          </w:p>
        </w:tc>
        <w:tc>
          <w:tcPr>
            <w:tcW w:type="dxa" w:w="3118"/>
          </w:tcPr>
          <w:p>
            <w:pPr>
              <w:spacing w:lineRule="exact" w:line="600"/>
              <w:jc w:val="center"/>
            </w:pPr>
            <w:r/>
            <w:r>
              <w:rPr>
                <w:rFonts w:ascii="仿宋_GB2312" w:hAnsi="仿宋_GB2312" w:eastAsia="仿宋_GB2312"/>
                <w:b w:val="0"/>
                <w:color w:val="000000"/>
                <w:sz w:val="32"/>
              </w:rPr>
              <w:t>约2897元/吨</w:t>
            </w:r>
          </w:p>
        </w:tc>
        <w:tc>
          <w:tcPr>
            <w:tcW w:type="dxa" w:w="3118"/>
          </w:tcPr>
          <w:p>
            <w:pPr>
              <w:spacing w:lineRule="exact" w:line="600"/>
              <w:jc w:val="center"/>
            </w:pPr>
            <w:r/>
            <w:r>
              <w:rPr>
                <w:rFonts w:ascii="仿宋_GB2312" w:hAnsi="仿宋_GB2312" w:eastAsia="仿宋_GB2312"/>
                <w:b w:val="0"/>
                <w:color w:val="000000"/>
                <w:sz w:val="32"/>
              </w:rPr>
              <w:t>-2%</w:t>
            </w:r>
          </w:p>
        </w:tc>
      </w:tr>
      <w:tr>
        <w:tc>
          <w:tcPr>
            <w:tcW w:type="dxa" w:w="2835"/>
          </w:tcPr>
          <w:p>
            <w:pPr>
              <w:spacing w:lineRule="exact" w:line="600"/>
              <w:jc w:val="center"/>
            </w:pPr>
            <w:r/>
            <w:r>
              <w:rPr>
                <w:rFonts w:ascii="仿宋_GB2312" w:hAnsi="仿宋_GB2312" w:eastAsia="仿宋_GB2312"/>
                <w:b w:val="0"/>
                <w:color w:val="000000"/>
                <w:sz w:val="32"/>
              </w:rPr>
              <w:t>进口氧化铝</w:t>
            </w:r>
          </w:p>
        </w:tc>
        <w:tc>
          <w:tcPr>
            <w:tcW w:type="dxa" w:w="3118"/>
          </w:tcPr>
          <w:p>
            <w:pPr>
              <w:spacing w:lineRule="exact" w:line="600"/>
              <w:jc w:val="center"/>
            </w:pPr>
            <w:r/>
            <w:r>
              <w:rPr>
                <w:rFonts w:ascii="仿宋_GB2312" w:hAnsi="仿宋_GB2312" w:eastAsia="仿宋_GB2312"/>
                <w:b w:val="0"/>
                <w:color w:val="000000"/>
                <w:sz w:val="32"/>
              </w:rPr>
              <w:t>345美元/吨</w:t>
            </w:r>
          </w:p>
        </w:tc>
        <w:tc>
          <w:tcPr>
            <w:tcW w:type="dxa" w:w="3118"/>
          </w:tcPr>
          <w:p>
            <w:pPr>
              <w:spacing w:lineRule="exact" w:line="600"/>
              <w:jc w:val="center"/>
            </w:pPr>
            <w:r/>
            <w:r>
              <w:rPr>
                <w:rFonts w:ascii="仿宋_GB2312" w:hAnsi="仿宋_GB2312" w:eastAsia="仿宋_GB2312"/>
                <w:b w:val="0"/>
                <w:color w:val="000000"/>
                <w:sz w:val="32"/>
              </w:rPr>
              <w:t>-5%</w:t>
            </w:r>
          </w:p>
        </w:tc>
      </w:tr>
      <w:tr>
        <w:tc>
          <w:tcPr>
            <w:tcW w:type="dxa" w:w="2835"/>
          </w:tcPr>
          <w:p>
            <w:pPr>
              <w:spacing w:lineRule="exact" w:line="600"/>
              <w:jc w:val="center"/>
            </w:pPr>
            <w:r/>
            <w:r>
              <w:rPr>
                <w:rFonts w:ascii="仿宋_GB2312" w:hAnsi="仿宋_GB2312" w:eastAsia="仿宋_GB2312"/>
                <w:b w:val="0"/>
                <w:color w:val="000000"/>
                <w:sz w:val="32"/>
              </w:rPr>
              <w:t>电解铝指标处置收益</w:t>
            </w:r>
          </w:p>
        </w:tc>
        <w:tc>
          <w:tcPr>
            <w:tcW w:type="dxa" w:w="3118"/>
          </w:tcPr>
          <w:p>
            <w:pPr>
              <w:spacing w:lineRule="exact" w:line="600"/>
              <w:jc w:val="center"/>
            </w:pPr>
            <w:r/>
            <w:r>
              <w:rPr>
                <w:rFonts w:ascii="仿宋_GB2312" w:hAnsi="仿宋_GB2312" w:eastAsia="仿宋_GB2312"/>
                <w:b w:val="0"/>
                <w:color w:val="000000"/>
                <w:sz w:val="32"/>
              </w:rPr>
              <w:t>7.55亿元</w:t>
            </w:r>
          </w:p>
        </w:tc>
        <w:tc>
          <w:tcPr>
            <w:tcW w:type="dxa" w:w="3118"/>
          </w:tcPr>
          <w:p>
            <w:pPr>
              <w:spacing w:lineRule="exact" w:line="600"/>
              <w:jc w:val="center"/>
            </w:pPr>
            <w:r/>
            <w:r>
              <w:rPr>
                <w:rFonts w:ascii="仿宋_GB2312" w:hAnsi="仿宋_GB2312" w:eastAsia="仿宋_GB2312"/>
                <w:b w:val="0"/>
                <w:color w:val="000000"/>
                <w:sz w:val="32"/>
              </w:rPr>
              <w:t>占净利21.73%</w:t>
            </w:r>
          </w:p>
        </w:tc>
      </w:tr>
    </w:tbl>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南山铝业2023年毛利率呈现结构分化：热轧板毛利率随航空板产能利用率提升升至33.76%的历史新高；冷轧板毛利率20.15%（环比回落2.24个百分点）；印尼氧化铝毛利率25.24%（环比提升1.96个百分点）。高端产品（汽车板、航空板、动力电池箔）销量占铝产品总销量14%、毛利占约30%，较去年同期增长近9个百分点，高端化显著拉升盈利质量。公司资产负债率仅21.5%，财务结构稳健，为持续资本开支提供空间。</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盈利指标</w:t>
            </w:r>
          </w:p>
        </w:tc>
        <w:tc>
          <w:tcPr>
            <w:tcW w:type="dxa" w:w="2835"/>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热轧板毛利率</w:t>
            </w:r>
          </w:p>
        </w:tc>
        <w:tc>
          <w:tcPr>
            <w:tcW w:type="dxa" w:w="2835"/>
          </w:tcPr>
          <w:p>
            <w:pPr>
              <w:spacing w:lineRule="exact" w:line="600"/>
              <w:jc w:val="center"/>
            </w:pPr>
            <w:r/>
            <w:r>
              <w:rPr>
                <w:rFonts w:ascii="仿宋_GB2312" w:hAnsi="仿宋_GB2312" w:eastAsia="仿宋_GB2312"/>
                <w:b w:val="0"/>
                <w:color w:val="000000"/>
                <w:sz w:val="32"/>
              </w:rPr>
              <w:t>33.76%</w:t>
            </w:r>
          </w:p>
        </w:tc>
        <w:tc>
          <w:tcPr>
            <w:tcW w:type="dxa" w:w="3402"/>
          </w:tcPr>
          <w:p>
            <w:pPr>
              <w:spacing w:lineRule="exact" w:line="600"/>
              <w:jc w:val="center"/>
            </w:pPr>
            <w:r/>
            <w:r>
              <w:rPr>
                <w:rFonts w:ascii="仿宋_GB2312" w:hAnsi="仿宋_GB2312" w:eastAsia="仿宋_GB2312"/>
                <w:b w:val="0"/>
                <w:color w:val="000000"/>
                <w:sz w:val="32"/>
              </w:rPr>
              <w:t>历史新高</w:t>
            </w:r>
          </w:p>
        </w:tc>
      </w:tr>
      <w:tr>
        <w:tc>
          <w:tcPr>
            <w:tcW w:type="dxa" w:w="2835"/>
          </w:tcPr>
          <w:p>
            <w:pPr>
              <w:spacing w:lineRule="exact" w:line="600"/>
              <w:jc w:val="center"/>
            </w:pPr>
            <w:r/>
            <w:r>
              <w:rPr>
                <w:rFonts w:ascii="仿宋_GB2312" w:hAnsi="仿宋_GB2312" w:eastAsia="仿宋_GB2312"/>
                <w:b w:val="0"/>
                <w:color w:val="000000"/>
                <w:sz w:val="32"/>
              </w:rPr>
              <w:t>冷轧板毛利率</w:t>
            </w:r>
          </w:p>
        </w:tc>
        <w:tc>
          <w:tcPr>
            <w:tcW w:type="dxa" w:w="2835"/>
          </w:tcPr>
          <w:p>
            <w:pPr>
              <w:spacing w:lineRule="exact" w:line="600"/>
              <w:jc w:val="center"/>
            </w:pPr>
            <w:r/>
            <w:r>
              <w:rPr>
                <w:rFonts w:ascii="仿宋_GB2312" w:hAnsi="仿宋_GB2312" w:eastAsia="仿宋_GB2312"/>
                <w:b w:val="0"/>
                <w:color w:val="000000"/>
                <w:sz w:val="32"/>
              </w:rPr>
              <w:t>20.15%</w:t>
            </w:r>
          </w:p>
        </w:tc>
        <w:tc>
          <w:tcPr>
            <w:tcW w:type="dxa" w:w="3402"/>
          </w:tcPr>
          <w:p>
            <w:pPr>
              <w:spacing w:lineRule="exact" w:line="600"/>
              <w:jc w:val="center"/>
            </w:pPr>
            <w:r/>
            <w:r>
              <w:rPr>
                <w:rFonts w:ascii="仿宋_GB2312" w:hAnsi="仿宋_GB2312" w:eastAsia="仿宋_GB2312"/>
                <w:b w:val="0"/>
                <w:color w:val="000000"/>
                <w:sz w:val="32"/>
              </w:rPr>
              <w:t>环比-2.24pct</w:t>
            </w:r>
          </w:p>
        </w:tc>
      </w:tr>
      <w:tr>
        <w:tc>
          <w:tcPr>
            <w:tcW w:type="dxa" w:w="2835"/>
          </w:tcPr>
          <w:p>
            <w:pPr>
              <w:spacing w:lineRule="exact" w:line="600"/>
              <w:jc w:val="center"/>
            </w:pPr>
            <w:r/>
            <w:r>
              <w:rPr>
                <w:rFonts w:ascii="仿宋_GB2312" w:hAnsi="仿宋_GB2312" w:eastAsia="仿宋_GB2312"/>
                <w:b w:val="0"/>
                <w:color w:val="000000"/>
                <w:sz w:val="32"/>
              </w:rPr>
              <w:t>印尼氧化铝毛利率</w:t>
            </w:r>
          </w:p>
        </w:tc>
        <w:tc>
          <w:tcPr>
            <w:tcW w:type="dxa" w:w="2835"/>
          </w:tcPr>
          <w:p>
            <w:pPr>
              <w:spacing w:lineRule="exact" w:line="600"/>
              <w:jc w:val="center"/>
            </w:pPr>
            <w:r/>
            <w:r>
              <w:rPr>
                <w:rFonts w:ascii="仿宋_GB2312" w:hAnsi="仿宋_GB2312" w:eastAsia="仿宋_GB2312"/>
                <w:b w:val="0"/>
                <w:color w:val="000000"/>
                <w:sz w:val="32"/>
              </w:rPr>
              <w:t>25.24%</w:t>
            </w:r>
          </w:p>
        </w:tc>
        <w:tc>
          <w:tcPr>
            <w:tcW w:type="dxa" w:w="3402"/>
          </w:tcPr>
          <w:p>
            <w:pPr>
              <w:spacing w:lineRule="exact" w:line="600"/>
              <w:jc w:val="center"/>
            </w:pPr>
            <w:r/>
            <w:r>
              <w:rPr>
                <w:rFonts w:ascii="仿宋_GB2312" w:hAnsi="仿宋_GB2312" w:eastAsia="仿宋_GB2312"/>
                <w:b w:val="0"/>
                <w:color w:val="000000"/>
                <w:sz w:val="32"/>
              </w:rPr>
              <w:t>环比+1.96pct</w:t>
            </w:r>
          </w:p>
        </w:tc>
      </w:tr>
      <w:tr>
        <w:tc>
          <w:tcPr>
            <w:tcW w:type="dxa" w:w="2835"/>
          </w:tcPr>
          <w:p>
            <w:pPr>
              <w:spacing w:lineRule="exact" w:line="600"/>
              <w:jc w:val="center"/>
            </w:pPr>
            <w:r/>
            <w:r>
              <w:rPr>
                <w:rFonts w:ascii="仿宋_GB2312" w:hAnsi="仿宋_GB2312" w:eastAsia="仿宋_GB2312"/>
                <w:b w:val="0"/>
                <w:color w:val="000000"/>
                <w:sz w:val="32"/>
              </w:rPr>
              <w:t>高端产品毛利占比</w:t>
            </w:r>
          </w:p>
        </w:tc>
        <w:tc>
          <w:tcPr>
            <w:tcW w:type="dxa" w:w="2835"/>
          </w:tcPr>
          <w:p>
            <w:pPr>
              <w:spacing w:lineRule="exact" w:line="600"/>
              <w:jc w:val="center"/>
            </w:pPr>
            <w:r/>
            <w:r>
              <w:rPr>
                <w:rFonts w:ascii="仿宋_GB2312" w:hAnsi="仿宋_GB2312" w:eastAsia="仿宋_GB2312"/>
                <w:b w:val="0"/>
                <w:color w:val="000000"/>
                <w:sz w:val="32"/>
              </w:rPr>
              <w:t>约30%</w:t>
            </w:r>
          </w:p>
        </w:tc>
        <w:tc>
          <w:tcPr>
            <w:tcW w:type="dxa" w:w="3402"/>
          </w:tcPr>
          <w:p>
            <w:pPr>
              <w:spacing w:lineRule="exact" w:line="600"/>
              <w:jc w:val="center"/>
            </w:pPr>
            <w:r/>
            <w:r>
              <w:rPr>
                <w:rFonts w:ascii="仿宋_GB2312" w:hAnsi="仿宋_GB2312" w:eastAsia="仿宋_GB2312"/>
                <w:b w:val="0"/>
                <w:color w:val="000000"/>
                <w:sz w:val="32"/>
              </w:rPr>
              <w:t>同比+9pct</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835"/>
          </w:tcPr>
          <w:p>
            <w:pPr>
              <w:spacing w:lineRule="exact" w:line="600"/>
              <w:jc w:val="center"/>
            </w:pPr>
            <w:r/>
            <w:r>
              <w:rPr>
                <w:rFonts w:ascii="仿宋_GB2312" w:hAnsi="仿宋_GB2312" w:eastAsia="仿宋_GB2312"/>
                <w:b w:val="0"/>
                <w:color w:val="000000"/>
                <w:sz w:val="32"/>
              </w:rPr>
              <w:t>21.5%</w:t>
            </w:r>
          </w:p>
        </w:tc>
        <w:tc>
          <w:tcPr>
            <w:tcW w:type="dxa" w:w="3402"/>
          </w:tcPr>
          <w:p>
            <w:pPr>
              <w:spacing w:lineRule="exact" w:line="600"/>
              <w:jc w:val="center"/>
            </w:pPr>
            <w:r/>
            <w:r>
              <w:rPr>
                <w:rFonts w:ascii="仿宋_GB2312" w:hAnsi="仿宋_GB2312" w:eastAsia="仿宋_GB2312"/>
                <w:b w:val="0"/>
                <w:color w:val="000000"/>
                <w:sz w:val="32"/>
              </w:rPr>
              <w:t>财务稳健</w:t>
            </w:r>
          </w:p>
        </w:tc>
      </w:tr>
    </w:tbl>
    <w:p>
      <w:pPr>
        <w:spacing w:lineRule="exact" w:line="600" w:before="120" w:after="120"/>
        <w:ind w:firstLine="420"/>
        <w:jc w:val="left"/>
      </w:pPr>
      <w:r>
        <w:rPr>
          <w:rFonts w:ascii="楷体_GB2312" w:hAnsi="楷体_GB2312" w:eastAsia="楷体_GB2312"/>
          <w:b w:val="0"/>
          <w:color w:val="000000"/>
          <w:sz w:val="32"/>
        </w:rPr>
        <w:t>（三）要素保障与人才政策</w:t>
      </w:r>
    </w:p>
    <w:p>
      <w:pPr>
        <w:spacing w:lineRule="exact" w:line="600" w:before="0" w:after="0"/>
        <w:ind w:firstLine="420"/>
        <w:jc w:val="both"/>
      </w:pPr>
      <w:r>
        <w:rPr>
          <w:rFonts w:ascii="仿宋_GB2312" w:hAnsi="仿宋_GB2312" w:eastAsia="仿宋_GB2312"/>
          <w:b w:val="0"/>
          <w:color w:val="000000"/>
          <w:sz w:val="32"/>
        </w:rPr>
        <w:t>龙口市建立以政府资金为引导、企业投入为主体、金融投资为支撑、社会资本为补充的科技投资多元化格局，并完善人才培养与引入机制。对获得世界技能大赛前三名、中华技能大奖、全国技术能手的工匠人才给予最高30万元综合奖励；打造「心服务·才满意」人才服务品牌，建立专班制服务机制。设立高端铝产业（链条）专班和龙口市普惠中小企业服务中心，为集群中小企业提供一站式、专业化、全方位综合服务，保障技术工人与研发人才供给。</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要素保障措施</w:t>
            </w:r>
          </w:p>
        </w:tc>
        <w:tc>
          <w:tcPr>
            <w:tcW w:type="dxa" w:w="3685"/>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人才奖励</w:t>
            </w:r>
          </w:p>
        </w:tc>
        <w:tc>
          <w:tcPr>
            <w:tcW w:type="dxa" w:w="3685"/>
          </w:tcPr>
          <w:p>
            <w:pPr>
              <w:spacing w:lineRule="exact" w:line="600"/>
              <w:jc w:val="center"/>
            </w:pPr>
            <w:r/>
            <w:r>
              <w:rPr>
                <w:rFonts w:ascii="仿宋_GB2312" w:hAnsi="仿宋_GB2312" w:eastAsia="仿宋_GB2312"/>
                <w:b w:val="0"/>
                <w:color w:val="000000"/>
                <w:sz w:val="32"/>
              </w:rPr>
              <w:t>最高30万元综合奖励</w:t>
            </w:r>
          </w:p>
        </w:tc>
        <w:tc>
          <w:tcPr>
            <w:tcW w:type="dxa" w:w="2551"/>
          </w:tcPr>
          <w:p>
            <w:pPr>
              <w:spacing w:lineRule="exact" w:line="600"/>
              <w:jc w:val="center"/>
            </w:pPr>
            <w:r/>
            <w:r>
              <w:rPr>
                <w:rFonts w:ascii="仿宋_GB2312" w:hAnsi="仿宋_GB2312" w:eastAsia="仿宋_GB2312"/>
                <w:b w:val="0"/>
                <w:color w:val="000000"/>
                <w:sz w:val="32"/>
              </w:rPr>
              <w:t>龙口人才政策</w:t>
            </w:r>
          </w:p>
        </w:tc>
      </w:tr>
      <w:tr>
        <w:tc>
          <w:tcPr>
            <w:tcW w:type="dxa" w:w="2835"/>
          </w:tcPr>
          <w:p>
            <w:pPr>
              <w:spacing w:lineRule="exact" w:line="600"/>
              <w:jc w:val="center"/>
            </w:pPr>
            <w:r/>
            <w:r>
              <w:rPr>
                <w:rFonts w:ascii="仿宋_GB2312" w:hAnsi="仿宋_GB2312" w:eastAsia="仿宋_GB2312"/>
                <w:b w:val="0"/>
                <w:color w:val="000000"/>
                <w:sz w:val="32"/>
              </w:rPr>
              <w:t>产业专班</w:t>
            </w:r>
          </w:p>
        </w:tc>
        <w:tc>
          <w:tcPr>
            <w:tcW w:type="dxa" w:w="3685"/>
          </w:tcPr>
          <w:p>
            <w:pPr>
              <w:spacing w:lineRule="exact" w:line="600"/>
              <w:jc w:val="center"/>
            </w:pPr>
            <w:r/>
            <w:r>
              <w:rPr>
                <w:rFonts w:ascii="仿宋_GB2312" w:hAnsi="仿宋_GB2312" w:eastAsia="仿宋_GB2312"/>
                <w:b w:val="0"/>
                <w:color w:val="000000"/>
                <w:sz w:val="32"/>
              </w:rPr>
              <w:t>高端铝产业链专班</w:t>
            </w:r>
          </w:p>
        </w:tc>
        <w:tc>
          <w:tcPr>
            <w:tcW w:type="dxa" w:w="2551"/>
          </w:tcPr>
          <w:p>
            <w:pPr>
              <w:spacing w:lineRule="exact" w:line="600"/>
              <w:jc w:val="center"/>
            </w:pPr>
            <w:r/>
            <w:r>
              <w:rPr>
                <w:rFonts w:ascii="仿宋_GB2312" w:hAnsi="仿宋_GB2312" w:eastAsia="仿宋_GB2312"/>
                <w:b w:val="0"/>
                <w:color w:val="000000"/>
                <w:sz w:val="32"/>
              </w:rPr>
              <w:t>龙口工信</w:t>
            </w:r>
          </w:p>
        </w:tc>
      </w:tr>
      <w:tr>
        <w:tc>
          <w:tcPr>
            <w:tcW w:type="dxa" w:w="2835"/>
          </w:tcPr>
          <w:p>
            <w:pPr>
              <w:spacing w:lineRule="exact" w:line="600"/>
              <w:jc w:val="center"/>
            </w:pPr>
            <w:r/>
            <w:r>
              <w:rPr>
                <w:rFonts w:ascii="仿宋_GB2312" w:hAnsi="仿宋_GB2312" w:eastAsia="仿宋_GB2312"/>
                <w:b w:val="0"/>
                <w:color w:val="000000"/>
                <w:sz w:val="32"/>
              </w:rPr>
              <w:t>中小企业服务</w:t>
            </w:r>
          </w:p>
        </w:tc>
        <w:tc>
          <w:tcPr>
            <w:tcW w:type="dxa" w:w="3685"/>
          </w:tcPr>
          <w:p>
            <w:pPr>
              <w:spacing w:lineRule="exact" w:line="600"/>
              <w:jc w:val="center"/>
            </w:pPr>
            <w:r/>
            <w:r>
              <w:rPr>
                <w:rFonts w:ascii="仿宋_GB2312" w:hAnsi="仿宋_GB2312" w:eastAsia="仿宋_GB2312"/>
                <w:b w:val="0"/>
                <w:color w:val="000000"/>
                <w:sz w:val="32"/>
              </w:rPr>
              <w:t>普惠中小企业服务中心</w:t>
            </w:r>
          </w:p>
        </w:tc>
        <w:tc>
          <w:tcPr>
            <w:tcW w:type="dxa" w:w="2551"/>
          </w:tcPr>
          <w:p>
            <w:pPr>
              <w:spacing w:lineRule="exact" w:line="600"/>
              <w:jc w:val="center"/>
            </w:pPr>
            <w:r/>
            <w:r>
              <w:rPr>
                <w:rFonts w:ascii="仿宋_GB2312" w:hAnsi="仿宋_GB2312" w:eastAsia="仿宋_GB2312"/>
                <w:b w:val="0"/>
                <w:color w:val="000000"/>
                <w:sz w:val="32"/>
              </w:rPr>
              <w:t>龙口市政府</w:t>
            </w:r>
          </w:p>
        </w:tc>
      </w:tr>
      <w:tr>
        <w:tc>
          <w:tcPr>
            <w:tcW w:type="dxa" w:w="2835"/>
          </w:tcPr>
          <w:p>
            <w:pPr>
              <w:spacing w:lineRule="exact" w:line="600"/>
              <w:jc w:val="center"/>
            </w:pPr>
            <w:r/>
            <w:r>
              <w:rPr>
                <w:rFonts w:ascii="仿宋_GB2312" w:hAnsi="仿宋_GB2312" w:eastAsia="仿宋_GB2312"/>
                <w:b w:val="0"/>
                <w:color w:val="000000"/>
                <w:sz w:val="32"/>
              </w:rPr>
              <w:t>科技投入机制</w:t>
            </w:r>
          </w:p>
        </w:tc>
        <w:tc>
          <w:tcPr>
            <w:tcW w:type="dxa" w:w="3685"/>
          </w:tcPr>
          <w:p>
            <w:pPr>
              <w:spacing w:lineRule="exact" w:line="600"/>
              <w:jc w:val="center"/>
            </w:pPr>
            <w:r/>
            <w:r>
              <w:rPr>
                <w:rFonts w:ascii="仿宋_GB2312" w:hAnsi="仿宋_GB2312" w:eastAsia="仿宋_GB2312"/>
                <w:b w:val="0"/>
                <w:color w:val="000000"/>
                <w:sz w:val="32"/>
              </w:rPr>
              <w:t>政府引导+企业主体</w:t>
            </w:r>
          </w:p>
        </w:tc>
        <w:tc>
          <w:tcPr>
            <w:tcW w:type="dxa" w:w="2551"/>
          </w:tcPr>
          <w:p>
            <w:pPr>
              <w:spacing w:lineRule="exact" w:line="600"/>
              <w:jc w:val="center"/>
            </w:pPr>
            <w:r/>
            <w:r>
              <w:rPr>
                <w:rFonts w:ascii="仿宋_GB2312" w:hAnsi="仿宋_GB2312" w:eastAsia="仿宋_GB2312"/>
                <w:b w:val="0"/>
                <w:color w:val="000000"/>
                <w:sz w:val="32"/>
              </w:rPr>
              <w:t>龙口报道</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交通轻量化与「双碳」目标为高端交通铝型材带来结构性机遇。新能源汽车渗透率提升使汽车铝板需求持续放量，预计2025年新能源车对汽车铝材需求占比达45%；C919等国产大飞机规模化交付打开航空铝材国产替代空间，南山航空板将随市场规模扩大再获拓展；城市轨道交通与城市群建设维持轨交铝型材稳健需求。山东省将高端交通铝材列入四大重点集群，叠加印尼上游基地投产，龙口有望在国内外双循环中扩大份额。</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机遇方向</w:t>
            </w:r>
          </w:p>
        </w:tc>
        <w:tc>
          <w:tcPr>
            <w:tcW w:type="dxa" w:w="3402"/>
          </w:tcPr>
          <w:p>
            <w:pPr>
              <w:spacing w:lineRule="exact" w:line="600"/>
              <w:jc w:val="center"/>
            </w:pPr>
            <w:r/>
            <w:r>
              <w:rPr>
                <w:rFonts w:ascii="黑体" w:hAnsi="黑体" w:eastAsia="黑体"/>
                <w:b/>
                <w:color w:val="000000"/>
                <w:sz w:val="32"/>
              </w:rPr>
              <w:t>驱动因素</w:t>
            </w:r>
          </w:p>
        </w:tc>
        <w:tc>
          <w:tcPr>
            <w:tcW w:type="dxa" w:w="3118"/>
          </w:tcPr>
          <w:p>
            <w:pPr>
              <w:spacing w:lineRule="exact" w:line="600"/>
              <w:jc w:val="center"/>
            </w:pPr>
            <w:r/>
            <w:r>
              <w:rPr>
                <w:rFonts w:ascii="黑体" w:hAnsi="黑体" w:eastAsia="黑体"/>
                <w:b/>
                <w:color w:val="000000"/>
                <w:sz w:val="32"/>
              </w:rPr>
              <w:t>量化</w:t>
            </w:r>
          </w:p>
        </w:tc>
      </w:tr>
      <w:tr>
        <w:tc>
          <w:tcPr>
            <w:tcW w:type="dxa" w:w="2551"/>
          </w:tcPr>
          <w:p>
            <w:pPr>
              <w:spacing w:lineRule="exact" w:line="600"/>
              <w:jc w:val="center"/>
            </w:pPr>
            <w:r/>
            <w:r>
              <w:rPr>
                <w:rFonts w:ascii="仿宋_GB2312" w:hAnsi="仿宋_GB2312" w:eastAsia="仿宋_GB2312"/>
                <w:b w:val="0"/>
                <w:color w:val="000000"/>
                <w:sz w:val="32"/>
              </w:rPr>
              <w:t>汽车轻量化</w:t>
            </w:r>
          </w:p>
        </w:tc>
        <w:tc>
          <w:tcPr>
            <w:tcW w:type="dxa" w:w="3402"/>
          </w:tcPr>
          <w:p>
            <w:pPr>
              <w:spacing w:lineRule="exact" w:line="600"/>
              <w:jc w:val="center"/>
            </w:pPr>
            <w:r/>
            <w:r>
              <w:rPr>
                <w:rFonts w:ascii="仿宋_GB2312" w:hAnsi="仿宋_GB2312" w:eastAsia="仿宋_GB2312"/>
                <w:b w:val="0"/>
                <w:color w:val="000000"/>
                <w:sz w:val="32"/>
              </w:rPr>
              <w:t>新能源车渗透率提升</w:t>
            </w:r>
          </w:p>
        </w:tc>
        <w:tc>
          <w:tcPr>
            <w:tcW w:type="dxa" w:w="3118"/>
          </w:tcPr>
          <w:p>
            <w:pPr>
              <w:spacing w:lineRule="exact" w:line="600"/>
              <w:jc w:val="center"/>
            </w:pPr>
            <w:r/>
            <w:r>
              <w:rPr>
                <w:rFonts w:ascii="仿宋_GB2312" w:hAnsi="仿宋_GB2312" w:eastAsia="仿宋_GB2312"/>
                <w:b w:val="0"/>
                <w:color w:val="000000"/>
                <w:sz w:val="32"/>
              </w:rPr>
              <w:t>铝材需求2025占45%</w:t>
            </w:r>
          </w:p>
        </w:tc>
      </w:tr>
      <w:tr>
        <w:tc>
          <w:tcPr>
            <w:tcW w:type="dxa" w:w="2551"/>
          </w:tcPr>
          <w:p>
            <w:pPr>
              <w:spacing w:lineRule="exact" w:line="600"/>
              <w:jc w:val="center"/>
            </w:pPr>
            <w:r/>
            <w:r>
              <w:rPr>
                <w:rFonts w:ascii="仿宋_GB2312" w:hAnsi="仿宋_GB2312" w:eastAsia="仿宋_GB2312"/>
                <w:b w:val="0"/>
                <w:color w:val="000000"/>
                <w:sz w:val="32"/>
              </w:rPr>
              <w:t>航空国产化</w:t>
            </w:r>
          </w:p>
        </w:tc>
        <w:tc>
          <w:tcPr>
            <w:tcW w:type="dxa" w:w="3402"/>
          </w:tcPr>
          <w:p>
            <w:pPr>
              <w:spacing w:lineRule="exact" w:line="600"/>
              <w:jc w:val="center"/>
            </w:pPr>
            <w:r/>
            <w:r>
              <w:rPr>
                <w:rFonts w:ascii="仿宋_GB2312" w:hAnsi="仿宋_GB2312" w:eastAsia="仿宋_GB2312"/>
                <w:b w:val="0"/>
                <w:color w:val="000000"/>
                <w:sz w:val="32"/>
              </w:rPr>
              <w:t>C919规模交付</w:t>
            </w:r>
          </w:p>
        </w:tc>
        <w:tc>
          <w:tcPr>
            <w:tcW w:type="dxa" w:w="3118"/>
          </w:tcPr>
          <w:p>
            <w:pPr>
              <w:spacing w:lineRule="exact" w:line="600"/>
              <w:jc w:val="center"/>
            </w:pPr>
            <w:r/>
            <w:r>
              <w:rPr>
                <w:rFonts w:ascii="仿宋_GB2312" w:hAnsi="仿宋_GB2312" w:eastAsia="仿宋_GB2312"/>
                <w:b w:val="0"/>
                <w:color w:val="000000"/>
                <w:sz w:val="32"/>
              </w:rPr>
              <w:t>航空板增量</w:t>
            </w:r>
          </w:p>
        </w:tc>
      </w:tr>
      <w:tr>
        <w:tc>
          <w:tcPr>
            <w:tcW w:type="dxa" w:w="2551"/>
          </w:tcPr>
          <w:p>
            <w:pPr>
              <w:spacing w:lineRule="exact" w:line="600"/>
              <w:jc w:val="center"/>
            </w:pPr>
            <w:r/>
            <w:r>
              <w:rPr>
                <w:rFonts w:ascii="仿宋_GB2312" w:hAnsi="仿宋_GB2312" w:eastAsia="仿宋_GB2312"/>
                <w:b w:val="0"/>
                <w:color w:val="000000"/>
                <w:sz w:val="32"/>
              </w:rPr>
              <w:t>轨交建设</w:t>
            </w:r>
          </w:p>
        </w:tc>
        <w:tc>
          <w:tcPr>
            <w:tcW w:type="dxa" w:w="3402"/>
          </w:tcPr>
          <w:p>
            <w:pPr>
              <w:spacing w:lineRule="exact" w:line="600"/>
              <w:jc w:val="center"/>
            </w:pPr>
            <w:r/>
            <w:r>
              <w:rPr>
                <w:rFonts w:ascii="仿宋_GB2312" w:hAnsi="仿宋_GB2312" w:eastAsia="仿宋_GB2312"/>
                <w:b w:val="0"/>
                <w:color w:val="000000"/>
                <w:sz w:val="32"/>
              </w:rPr>
              <w:t>城市群轨道交通</w:t>
            </w:r>
          </w:p>
        </w:tc>
        <w:tc>
          <w:tcPr>
            <w:tcW w:type="dxa" w:w="3118"/>
          </w:tcPr>
          <w:p>
            <w:pPr>
              <w:spacing w:lineRule="exact" w:line="600"/>
              <w:jc w:val="center"/>
            </w:pPr>
            <w:r/>
            <w:r>
              <w:rPr>
                <w:rFonts w:ascii="仿宋_GB2312" w:hAnsi="仿宋_GB2312" w:eastAsia="仿宋_GB2312"/>
                <w:b w:val="0"/>
                <w:color w:val="000000"/>
                <w:sz w:val="32"/>
              </w:rPr>
              <w:t>稳健需求</w:t>
            </w:r>
          </w:p>
        </w:tc>
      </w:tr>
      <w:tr>
        <w:tc>
          <w:tcPr>
            <w:tcW w:type="dxa" w:w="2551"/>
          </w:tcPr>
          <w:p>
            <w:pPr>
              <w:spacing w:lineRule="exact" w:line="600"/>
              <w:jc w:val="center"/>
            </w:pPr>
            <w:r/>
            <w:r>
              <w:rPr>
                <w:rFonts w:ascii="仿宋_GB2312" w:hAnsi="仿宋_GB2312" w:eastAsia="仿宋_GB2312"/>
                <w:b w:val="0"/>
                <w:color w:val="000000"/>
                <w:sz w:val="32"/>
              </w:rPr>
              <w:t>政策赋能</w:t>
            </w:r>
          </w:p>
        </w:tc>
        <w:tc>
          <w:tcPr>
            <w:tcW w:type="dxa" w:w="3402"/>
          </w:tcPr>
          <w:p>
            <w:pPr>
              <w:spacing w:lineRule="exact" w:line="600"/>
              <w:jc w:val="center"/>
            </w:pPr>
            <w:r/>
            <w:r>
              <w:rPr>
                <w:rFonts w:ascii="仿宋_GB2312" w:hAnsi="仿宋_GB2312" w:eastAsia="仿宋_GB2312"/>
                <w:b w:val="0"/>
                <w:color w:val="000000"/>
                <w:sz w:val="32"/>
              </w:rPr>
              <w:t>省四大集群之一</w:t>
            </w:r>
          </w:p>
        </w:tc>
        <w:tc>
          <w:tcPr>
            <w:tcW w:type="dxa" w:w="3118"/>
          </w:tcPr>
          <w:p>
            <w:pPr>
              <w:spacing w:lineRule="exact" w:line="600"/>
              <w:jc w:val="center"/>
            </w:pPr>
            <w:r/>
            <w:r>
              <w:rPr>
                <w:rFonts w:ascii="仿宋_GB2312" w:hAnsi="仿宋_GB2312" w:eastAsia="仿宋_GB2312"/>
                <w:b w:val="0"/>
                <w:color w:val="000000"/>
                <w:sz w:val="32"/>
              </w:rPr>
              <w:t>专项支持</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一是传统建筑铝型材需求收缩，房地产投资下行拖累中低端型材，行业竞争「内卷」、加工费走低，倒逼企业向工业与交通高端材转型；二是高端产品认证周期长、门槛高，航空与汽车板需通过主机厂严苛材料认证，产能释放节奏存在不确定性；三是铝加工行业整体面临产能过剩与价格竞争，中小企业盈利能力承压。龙口虽龙头优势明显，但集群内大量配套企业需同步提升技术与管理水平以应对分化。</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118"/>
          </w:tcPr>
          <w:p>
            <w:pPr>
              <w:spacing w:lineRule="exact" w:line="600"/>
              <w:jc w:val="center"/>
            </w:pPr>
            <w:r/>
            <w:r>
              <w:rPr>
                <w:rFonts w:ascii="黑体" w:hAnsi="黑体" w:eastAsia="黑体"/>
                <w:b/>
                <w:color w:val="000000"/>
                <w:sz w:val="32"/>
              </w:rPr>
              <w:t>影响</w:t>
            </w:r>
          </w:p>
        </w:tc>
      </w:tr>
      <w:tr>
        <w:tc>
          <w:tcPr>
            <w:tcW w:type="dxa" w:w="2551"/>
          </w:tcPr>
          <w:p>
            <w:pPr>
              <w:spacing w:lineRule="exact" w:line="600"/>
              <w:jc w:val="center"/>
            </w:pPr>
            <w:r/>
            <w:r>
              <w:rPr>
                <w:rFonts w:ascii="仿宋_GB2312" w:hAnsi="仿宋_GB2312" w:eastAsia="仿宋_GB2312"/>
                <w:b w:val="0"/>
                <w:color w:val="000000"/>
                <w:sz w:val="32"/>
              </w:rPr>
              <w:t>建筑铝材收缩</w:t>
            </w:r>
          </w:p>
        </w:tc>
        <w:tc>
          <w:tcPr>
            <w:tcW w:type="dxa" w:w="3402"/>
          </w:tcPr>
          <w:p>
            <w:pPr>
              <w:spacing w:lineRule="exact" w:line="600"/>
              <w:jc w:val="center"/>
            </w:pPr>
            <w:r/>
            <w:r>
              <w:rPr>
                <w:rFonts w:ascii="仿宋_GB2312" w:hAnsi="仿宋_GB2312" w:eastAsia="仿宋_GB2312"/>
                <w:b w:val="0"/>
                <w:color w:val="000000"/>
                <w:sz w:val="32"/>
              </w:rPr>
              <w:t>地产投资下行</w:t>
            </w:r>
          </w:p>
        </w:tc>
        <w:tc>
          <w:tcPr>
            <w:tcW w:type="dxa" w:w="3118"/>
          </w:tcPr>
          <w:p>
            <w:pPr>
              <w:spacing w:lineRule="exact" w:line="600"/>
              <w:jc w:val="center"/>
            </w:pPr>
            <w:r/>
            <w:r>
              <w:rPr>
                <w:rFonts w:ascii="仿宋_GB2312" w:hAnsi="仿宋_GB2312" w:eastAsia="仿宋_GB2312"/>
                <w:b w:val="0"/>
                <w:color w:val="000000"/>
                <w:sz w:val="32"/>
              </w:rPr>
              <w:t>加工费走低</w:t>
            </w:r>
          </w:p>
        </w:tc>
      </w:tr>
      <w:tr>
        <w:tc>
          <w:tcPr>
            <w:tcW w:type="dxa" w:w="2551"/>
          </w:tcPr>
          <w:p>
            <w:pPr>
              <w:spacing w:lineRule="exact" w:line="600"/>
              <w:jc w:val="center"/>
            </w:pPr>
            <w:r/>
            <w:r>
              <w:rPr>
                <w:rFonts w:ascii="仿宋_GB2312" w:hAnsi="仿宋_GB2312" w:eastAsia="仿宋_GB2312"/>
                <w:b w:val="0"/>
                <w:color w:val="000000"/>
                <w:sz w:val="32"/>
              </w:rPr>
              <w:t>认证周期长</w:t>
            </w:r>
          </w:p>
        </w:tc>
        <w:tc>
          <w:tcPr>
            <w:tcW w:type="dxa" w:w="3402"/>
          </w:tcPr>
          <w:p>
            <w:pPr>
              <w:spacing w:lineRule="exact" w:line="600"/>
              <w:jc w:val="center"/>
            </w:pPr>
            <w:r/>
            <w:r>
              <w:rPr>
                <w:rFonts w:ascii="仿宋_GB2312" w:hAnsi="仿宋_GB2312" w:eastAsia="仿宋_GB2312"/>
                <w:b w:val="0"/>
                <w:color w:val="000000"/>
                <w:sz w:val="32"/>
              </w:rPr>
              <w:t>主机厂材料认证</w:t>
            </w:r>
          </w:p>
        </w:tc>
        <w:tc>
          <w:tcPr>
            <w:tcW w:type="dxa" w:w="3118"/>
          </w:tcPr>
          <w:p>
            <w:pPr>
              <w:spacing w:lineRule="exact" w:line="600"/>
              <w:jc w:val="center"/>
            </w:pPr>
            <w:r/>
            <w:r>
              <w:rPr>
                <w:rFonts w:ascii="仿宋_GB2312" w:hAnsi="仿宋_GB2312" w:eastAsia="仿宋_GB2312"/>
                <w:b w:val="0"/>
                <w:color w:val="000000"/>
                <w:sz w:val="32"/>
              </w:rPr>
              <w:t>产能释放不确定</w:t>
            </w:r>
          </w:p>
        </w:tc>
      </w:tr>
      <w:tr>
        <w:tc>
          <w:tcPr>
            <w:tcW w:type="dxa" w:w="2551"/>
          </w:tcPr>
          <w:p>
            <w:pPr>
              <w:spacing w:lineRule="exact" w:line="600"/>
              <w:jc w:val="center"/>
            </w:pPr>
            <w:r/>
            <w:r>
              <w:rPr>
                <w:rFonts w:ascii="仿宋_GB2312" w:hAnsi="仿宋_GB2312" w:eastAsia="仿宋_GB2312"/>
                <w:b w:val="0"/>
                <w:color w:val="000000"/>
                <w:sz w:val="32"/>
              </w:rPr>
              <w:t>行业产能过剩</w:t>
            </w:r>
          </w:p>
        </w:tc>
        <w:tc>
          <w:tcPr>
            <w:tcW w:type="dxa" w:w="3402"/>
          </w:tcPr>
          <w:p>
            <w:pPr>
              <w:spacing w:lineRule="exact" w:line="600"/>
              <w:jc w:val="center"/>
            </w:pPr>
            <w:r/>
            <w:r>
              <w:rPr>
                <w:rFonts w:ascii="仿宋_GB2312" w:hAnsi="仿宋_GB2312" w:eastAsia="仿宋_GB2312"/>
                <w:b w:val="0"/>
                <w:color w:val="000000"/>
                <w:sz w:val="32"/>
              </w:rPr>
              <w:t>中低端内卷</w:t>
            </w:r>
          </w:p>
        </w:tc>
        <w:tc>
          <w:tcPr>
            <w:tcW w:type="dxa" w:w="3118"/>
          </w:tcPr>
          <w:p>
            <w:pPr>
              <w:spacing w:lineRule="exact" w:line="600"/>
              <w:jc w:val="center"/>
            </w:pPr>
            <w:r/>
            <w:r>
              <w:rPr>
                <w:rFonts w:ascii="仿宋_GB2312" w:hAnsi="仿宋_GB2312" w:eastAsia="仿宋_GB2312"/>
                <w:b w:val="0"/>
                <w:color w:val="000000"/>
                <w:sz w:val="32"/>
              </w:rPr>
              <w:t>盈利承压</w:t>
            </w:r>
          </w:p>
        </w:tc>
      </w:tr>
      <w:tr>
        <w:tc>
          <w:tcPr>
            <w:tcW w:type="dxa" w:w="2551"/>
          </w:tcPr>
          <w:p>
            <w:pPr>
              <w:spacing w:lineRule="exact" w:line="600"/>
              <w:jc w:val="center"/>
            </w:pPr>
            <w:r/>
            <w:r>
              <w:rPr>
                <w:rFonts w:ascii="仿宋_GB2312" w:hAnsi="仿宋_GB2312" w:eastAsia="仿宋_GB2312"/>
                <w:b w:val="0"/>
                <w:color w:val="000000"/>
                <w:sz w:val="32"/>
              </w:rPr>
              <w:t>配套升级压力</w:t>
            </w:r>
          </w:p>
        </w:tc>
        <w:tc>
          <w:tcPr>
            <w:tcW w:type="dxa" w:w="3402"/>
          </w:tcPr>
          <w:p>
            <w:pPr>
              <w:spacing w:lineRule="exact" w:line="600"/>
              <w:jc w:val="center"/>
            </w:pPr>
            <w:r/>
            <w:r>
              <w:rPr>
                <w:rFonts w:ascii="仿宋_GB2312" w:hAnsi="仿宋_GB2312" w:eastAsia="仿宋_GB2312"/>
                <w:b w:val="0"/>
                <w:color w:val="000000"/>
                <w:sz w:val="32"/>
              </w:rPr>
              <w:t>中小企业技术</w:t>
            </w:r>
          </w:p>
        </w:tc>
        <w:tc>
          <w:tcPr>
            <w:tcW w:type="dxa" w:w="3118"/>
          </w:tcPr>
          <w:p>
            <w:pPr>
              <w:spacing w:lineRule="exact" w:line="600"/>
              <w:jc w:val="center"/>
            </w:pPr>
            <w:r/>
            <w:r>
              <w:rPr>
                <w:rFonts w:ascii="仿宋_GB2312" w:hAnsi="仿宋_GB2312" w:eastAsia="仿宋_GB2312"/>
                <w:b w:val="0"/>
                <w:color w:val="000000"/>
                <w:sz w:val="32"/>
              </w:rPr>
              <w:t>分化加剧</w:t>
            </w:r>
          </w:p>
        </w:tc>
      </w:tr>
    </w:tbl>
    <w:p>
      <w:pPr>
        <w:spacing w:lineRule="exact" w:line="600" w:before="120" w:after="120"/>
        <w:ind w:firstLine="420"/>
        <w:jc w:val="left"/>
      </w:pPr>
      <w:r>
        <w:rPr>
          <w:rFonts w:ascii="楷体_GB2312" w:hAnsi="楷体_GB2312" w:eastAsia="楷体_GB2312"/>
          <w:b w:val="0"/>
          <w:color w:val="000000"/>
          <w:sz w:val="32"/>
        </w:rPr>
        <w:t>（三）风险因素</w:t>
      </w:r>
    </w:p>
    <w:p>
      <w:pPr>
        <w:spacing w:lineRule="exact" w:line="600" w:before="0" w:after="0"/>
        <w:ind w:firstLine="420"/>
        <w:jc w:val="both"/>
      </w:pPr>
      <w:r>
        <w:rPr>
          <w:rFonts w:ascii="仿宋_GB2312" w:hAnsi="仿宋_GB2312" w:eastAsia="仿宋_GB2312"/>
          <w:b w:val="0"/>
          <w:color w:val="000000"/>
          <w:sz w:val="32"/>
        </w:rPr>
        <w:t>主要风险包括：铝价及氧化铝价格大幅波动风险，2023年原铝均价同比降6%、价格震荡直接影响库存与毛利；海外需求不及预期与贸易摩擦风险，2023年全国铝材出口同比降14.6%；汇率与地缘政治风险，影响航空、轨交海外订单；以及下游需求不及预期、项目产能释放不及预期等（券商明确提示）。此外，电解铝能效与减碳政策趋严，可能推高合规成本。需通过套期保值、产品高端化与客户多元化为风险缓释手段。</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风险类型</w:t>
            </w:r>
          </w:p>
        </w:tc>
        <w:tc>
          <w:tcPr>
            <w:tcW w:type="dxa" w:w="3402"/>
          </w:tcPr>
          <w:p>
            <w:pPr>
              <w:spacing w:lineRule="exact" w:line="600"/>
              <w:jc w:val="center"/>
            </w:pPr>
            <w:r/>
            <w:r>
              <w:rPr>
                <w:rFonts w:ascii="黑体" w:hAnsi="黑体" w:eastAsia="黑体"/>
                <w:b/>
                <w:color w:val="000000"/>
                <w:sz w:val="32"/>
              </w:rPr>
              <w:t>具体表现</w:t>
            </w:r>
          </w:p>
        </w:tc>
        <w:tc>
          <w:tcPr>
            <w:tcW w:type="dxa" w:w="3118"/>
          </w:tcPr>
          <w:p>
            <w:pPr>
              <w:spacing w:lineRule="exact" w:line="600"/>
              <w:jc w:val="center"/>
            </w:pPr>
            <w:r/>
            <w:r>
              <w:rPr>
                <w:rFonts w:ascii="黑体" w:hAnsi="黑体" w:eastAsia="黑体"/>
                <w:b/>
                <w:color w:val="000000"/>
                <w:sz w:val="32"/>
              </w:rPr>
              <w:t>缓释</w:t>
            </w:r>
          </w:p>
        </w:tc>
      </w:tr>
      <w:tr>
        <w:tc>
          <w:tcPr>
            <w:tcW w:type="dxa" w:w="2551"/>
          </w:tcPr>
          <w:p>
            <w:pPr>
              <w:spacing w:lineRule="exact" w:line="600"/>
              <w:jc w:val="center"/>
            </w:pPr>
            <w:r/>
            <w:r>
              <w:rPr>
                <w:rFonts w:ascii="仿宋_GB2312" w:hAnsi="仿宋_GB2312" w:eastAsia="仿宋_GB2312"/>
                <w:b w:val="0"/>
                <w:color w:val="000000"/>
                <w:sz w:val="32"/>
              </w:rPr>
              <w:t>价格风险</w:t>
            </w:r>
          </w:p>
        </w:tc>
        <w:tc>
          <w:tcPr>
            <w:tcW w:type="dxa" w:w="3402"/>
          </w:tcPr>
          <w:p>
            <w:pPr>
              <w:spacing w:lineRule="exact" w:line="600"/>
              <w:jc w:val="center"/>
            </w:pPr>
            <w:r/>
            <w:r>
              <w:rPr>
                <w:rFonts w:ascii="仿宋_GB2312" w:hAnsi="仿宋_GB2312" w:eastAsia="仿宋_GB2312"/>
                <w:b w:val="0"/>
                <w:color w:val="000000"/>
                <w:sz w:val="32"/>
              </w:rPr>
              <w:t>铝价/氧化铝波动</w:t>
            </w:r>
          </w:p>
        </w:tc>
        <w:tc>
          <w:tcPr>
            <w:tcW w:type="dxa" w:w="3118"/>
          </w:tcPr>
          <w:p>
            <w:pPr>
              <w:spacing w:lineRule="exact" w:line="600"/>
              <w:jc w:val="center"/>
            </w:pPr>
            <w:r/>
            <w:r>
              <w:rPr>
                <w:rFonts w:ascii="仿宋_GB2312" w:hAnsi="仿宋_GB2312" w:eastAsia="仿宋_GB2312"/>
                <w:b w:val="0"/>
                <w:color w:val="000000"/>
                <w:sz w:val="32"/>
              </w:rPr>
              <w:t>套期保值</w:t>
            </w:r>
          </w:p>
        </w:tc>
      </w:tr>
      <w:tr>
        <w:tc>
          <w:tcPr>
            <w:tcW w:type="dxa" w:w="2551"/>
          </w:tcPr>
          <w:p>
            <w:pPr>
              <w:spacing w:lineRule="exact" w:line="600"/>
              <w:jc w:val="center"/>
            </w:pPr>
            <w:r/>
            <w:r>
              <w:rPr>
                <w:rFonts w:ascii="仿宋_GB2312" w:hAnsi="仿宋_GB2312" w:eastAsia="仿宋_GB2312"/>
                <w:b w:val="0"/>
                <w:color w:val="000000"/>
                <w:sz w:val="32"/>
              </w:rPr>
              <w:t>贸易风险</w:t>
            </w:r>
          </w:p>
        </w:tc>
        <w:tc>
          <w:tcPr>
            <w:tcW w:type="dxa" w:w="3402"/>
          </w:tcPr>
          <w:p>
            <w:pPr>
              <w:spacing w:lineRule="exact" w:line="600"/>
              <w:jc w:val="center"/>
            </w:pPr>
            <w:r/>
            <w:r>
              <w:rPr>
                <w:rFonts w:ascii="仿宋_GB2312" w:hAnsi="仿宋_GB2312" w:eastAsia="仿宋_GB2312"/>
                <w:b w:val="0"/>
                <w:color w:val="000000"/>
                <w:sz w:val="32"/>
              </w:rPr>
              <w:t>出口降14.6%</w:t>
            </w:r>
          </w:p>
        </w:tc>
        <w:tc>
          <w:tcPr>
            <w:tcW w:type="dxa" w:w="3118"/>
          </w:tcPr>
          <w:p>
            <w:pPr>
              <w:spacing w:lineRule="exact" w:line="600"/>
              <w:jc w:val="center"/>
            </w:pPr>
            <w:r/>
            <w:r>
              <w:rPr>
                <w:rFonts w:ascii="仿宋_GB2312" w:hAnsi="仿宋_GB2312" w:eastAsia="仿宋_GB2312"/>
                <w:b w:val="0"/>
                <w:color w:val="000000"/>
                <w:sz w:val="32"/>
              </w:rPr>
              <w:t>多元市场</w:t>
            </w:r>
          </w:p>
        </w:tc>
      </w:tr>
      <w:tr>
        <w:tc>
          <w:tcPr>
            <w:tcW w:type="dxa" w:w="2551"/>
          </w:tcPr>
          <w:p>
            <w:pPr>
              <w:spacing w:lineRule="exact" w:line="600"/>
              <w:jc w:val="center"/>
            </w:pPr>
            <w:r/>
            <w:r>
              <w:rPr>
                <w:rFonts w:ascii="仿宋_GB2312" w:hAnsi="仿宋_GB2312" w:eastAsia="仿宋_GB2312"/>
                <w:b w:val="0"/>
                <w:color w:val="000000"/>
                <w:sz w:val="32"/>
              </w:rPr>
              <w:t>政策风险</w:t>
            </w:r>
          </w:p>
        </w:tc>
        <w:tc>
          <w:tcPr>
            <w:tcW w:type="dxa" w:w="3402"/>
          </w:tcPr>
          <w:p>
            <w:pPr>
              <w:spacing w:lineRule="exact" w:line="600"/>
              <w:jc w:val="center"/>
            </w:pPr>
            <w:r/>
            <w:r>
              <w:rPr>
                <w:rFonts w:ascii="仿宋_GB2312" w:hAnsi="仿宋_GB2312" w:eastAsia="仿宋_GB2312"/>
                <w:b w:val="0"/>
                <w:color w:val="000000"/>
                <w:sz w:val="32"/>
              </w:rPr>
              <w:t>减碳趋严</w:t>
            </w:r>
          </w:p>
        </w:tc>
        <w:tc>
          <w:tcPr>
            <w:tcW w:type="dxa" w:w="3118"/>
          </w:tcPr>
          <w:p>
            <w:pPr>
              <w:spacing w:lineRule="exact" w:line="600"/>
              <w:jc w:val="center"/>
            </w:pPr>
            <w:r/>
            <w:r>
              <w:rPr>
                <w:rFonts w:ascii="仿宋_GB2312" w:hAnsi="仿宋_GB2312" w:eastAsia="仿宋_GB2312"/>
                <w:b w:val="0"/>
                <w:color w:val="000000"/>
                <w:sz w:val="32"/>
              </w:rPr>
              <w:t>绿电/再生铝</w:t>
            </w:r>
          </w:p>
        </w:tc>
      </w:tr>
      <w:tr>
        <w:tc>
          <w:tcPr>
            <w:tcW w:type="dxa" w:w="2551"/>
          </w:tcPr>
          <w:p>
            <w:pPr>
              <w:spacing w:lineRule="exact" w:line="600"/>
              <w:jc w:val="center"/>
            </w:pPr>
            <w:r/>
            <w:r>
              <w:rPr>
                <w:rFonts w:ascii="仿宋_GB2312" w:hAnsi="仿宋_GB2312" w:eastAsia="仿宋_GB2312"/>
                <w:b w:val="0"/>
                <w:color w:val="000000"/>
                <w:sz w:val="32"/>
              </w:rPr>
              <w:t>需求风险</w:t>
            </w:r>
          </w:p>
        </w:tc>
        <w:tc>
          <w:tcPr>
            <w:tcW w:type="dxa" w:w="3402"/>
          </w:tcPr>
          <w:p>
            <w:pPr>
              <w:spacing w:lineRule="exact" w:line="600"/>
              <w:jc w:val="center"/>
            </w:pPr>
            <w:r/>
            <w:r>
              <w:rPr>
                <w:rFonts w:ascii="仿宋_GB2312" w:hAnsi="仿宋_GB2312" w:eastAsia="仿宋_GB2312"/>
                <w:b w:val="0"/>
                <w:color w:val="000000"/>
                <w:sz w:val="32"/>
              </w:rPr>
              <w:t>下游不及预期</w:t>
            </w:r>
          </w:p>
        </w:tc>
        <w:tc>
          <w:tcPr>
            <w:tcW w:type="dxa" w:w="3118"/>
          </w:tcPr>
          <w:p>
            <w:pPr>
              <w:spacing w:lineRule="exact" w:line="600"/>
              <w:jc w:val="center"/>
            </w:pPr>
            <w:r/>
            <w:r>
              <w:rPr>
                <w:rFonts w:ascii="仿宋_GB2312" w:hAnsi="仿宋_GB2312" w:eastAsia="仿宋_GB2312"/>
                <w:b w:val="0"/>
                <w:color w:val="000000"/>
                <w:sz w:val="32"/>
              </w:rPr>
              <w:t>高端化</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（一）高端化产能延伸</w:t>
      </w:r>
    </w:p>
    <w:p>
      <w:pPr>
        <w:spacing w:lineRule="exact" w:line="600" w:before="0" w:after="0"/>
        <w:ind w:firstLine="420"/>
        <w:jc w:val="both"/>
      </w:pPr>
      <w:r>
        <w:rPr>
          <w:rFonts w:ascii="仿宋_GB2312" w:hAnsi="仿宋_GB2312" w:eastAsia="仿宋_GB2312"/>
          <w:b w:val="0"/>
          <w:color w:val="000000"/>
          <w:sz w:val="32"/>
        </w:rPr>
        <w:t>龙口集群以「突出主业、链式运作」为路径，重点向汽车板、航空板、动力电池箔等高端产品延伸。南山铝业稳步推进汽车板三期20万吨项目建设，建成后汽车板总产能达40万吨，目标建成全国产能最大、功能最齐全的轻量化铝板带基地；航空板方面推进全规格、全合金覆盖，加快航空板产品布局；动力电池箔瞄准高性能方向。丛林铝业向新能源汽车零部件（ABS、保险杠、天窗滑轨等）延伸，拓展铝应用边界。</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高端化项目</w:t>
            </w:r>
          </w:p>
        </w:tc>
        <w:tc>
          <w:tcPr>
            <w:tcW w:type="dxa" w:w="3402"/>
          </w:tcPr>
          <w:p>
            <w:pPr>
              <w:spacing w:lineRule="exact" w:line="600"/>
              <w:jc w:val="center"/>
            </w:pPr>
            <w:r/>
            <w:r>
              <w:rPr>
                <w:rFonts w:ascii="黑体" w:hAnsi="黑体" w:eastAsia="黑体"/>
                <w:b/>
                <w:color w:val="000000"/>
                <w:sz w:val="32"/>
              </w:rPr>
              <w:t>目标产能/内容</w:t>
            </w:r>
          </w:p>
        </w:tc>
        <w:tc>
          <w:tcPr>
            <w:tcW w:type="dxa" w:w="2835"/>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汽车板三期</w:t>
            </w:r>
          </w:p>
        </w:tc>
        <w:tc>
          <w:tcPr>
            <w:tcW w:type="dxa" w:w="3402"/>
          </w:tcPr>
          <w:p>
            <w:pPr>
              <w:spacing w:lineRule="exact" w:line="600"/>
              <w:jc w:val="center"/>
            </w:pPr>
            <w:r/>
            <w:r>
              <w:rPr>
                <w:rFonts w:ascii="仿宋_GB2312" w:hAnsi="仿宋_GB2312" w:eastAsia="仿宋_GB2312"/>
                <w:b w:val="0"/>
                <w:color w:val="000000"/>
                <w:sz w:val="32"/>
              </w:rPr>
              <w:t>20万吨（总40万吨）</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航空板</w:t>
            </w:r>
          </w:p>
        </w:tc>
        <w:tc>
          <w:tcPr>
            <w:tcW w:type="dxa" w:w="3402"/>
          </w:tcPr>
          <w:p>
            <w:pPr>
              <w:spacing w:lineRule="exact" w:line="600"/>
              <w:jc w:val="center"/>
            </w:pPr>
            <w:r/>
            <w:r>
              <w:rPr>
                <w:rFonts w:ascii="仿宋_GB2312" w:hAnsi="仿宋_GB2312" w:eastAsia="仿宋_GB2312"/>
                <w:b w:val="0"/>
                <w:color w:val="000000"/>
                <w:sz w:val="32"/>
              </w:rPr>
              <w:t>全规格全合金覆盖</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动力电池箔</w:t>
            </w:r>
          </w:p>
        </w:tc>
        <w:tc>
          <w:tcPr>
            <w:tcW w:type="dxa" w:w="3402"/>
          </w:tcPr>
          <w:p>
            <w:pPr>
              <w:spacing w:lineRule="exact" w:line="600"/>
              <w:jc w:val="center"/>
            </w:pPr>
            <w:r/>
            <w:r>
              <w:rPr>
                <w:rFonts w:ascii="仿宋_GB2312" w:hAnsi="仿宋_GB2312" w:eastAsia="仿宋_GB2312"/>
                <w:b w:val="0"/>
                <w:color w:val="000000"/>
                <w:sz w:val="32"/>
              </w:rPr>
              <w:t>高性能方向</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汽车轻量化部件</w:t>
            </w:r>
          </w:p>
        </w:tc>
        <w:tc>
          <w:tcPr>
            <w:tcW w:type="dxa" w:w="3402"/>
          </w:tcPr>
          <w:p>
            <w:pPr>
              <w:spacing w:lineRule="exact" w:line="600"/>
              <w:jc w:val="center"/>
            </w:pPr>
            <w:r/>
            <w:r>
              <w:rPr>
                <w:rFonts w:ascii="仿宋_GB2312" w:hAnsi="仿宋_GB2312" w:eastAsia="仿宋_GB2312"/>
                <w:b w:val="0"/>
                <w:color w:val="000000"/>
                <w:sz w:val="32"/>
              </w:rPr>
              <w:t>ABS/保险杠等</w:t>
            </w:r>
          </w:p>
        </w:tc>
        <w:tc>
          <w:tcPr>
            <w:tcW w:type="dxa" w:w="2835"/>
          </w:tcPr>
          <w:p>
            <w:pPr>
              <w:spacing w:lineRule="exact" w:line="600"/>
              <w:jc w:val="center"/>
            </w:pPr>
            <w:r/>
            <w:r>
              <w:rPr>
                <w:rFonts w:ascii="仿宋_GB2312" w:hAnsi="仿宋_GB2312" w:eastAsia="仿宋_GB2312"/>
                <w:b w:val="0"/>
                <w:color w:val="000000"/>
                <w:sz w:val="32"/>
              </w:rPr>
              <w:t>丛林铝业</w:t>
            </w:r>
          </w:p>
        </w:tc>
      </w:tr>
    </w:tbl>
    <w:p>
      <w:pPr>
        <w:spacing w:lineRule="exact" w:line="600" w:before="120" w:after="120"/>
        <w:ind w:firstLine="420"/>
        <w:jc w:val="left"/>
      </w:pPr>
      <w:r>
        <w:rPr>
          <w:rFonts w:ascii="楷体_GB2312" w:hAnsi="楷体_GB2312" w:eastAsia="楷体_GB2312"/>
          <w:b w:val="0"/>
          <w:color w:val="000000"/>
          <w:sz w:val="32"/>
        </w:rPr>
        <w:t>（二）绿色循环发展</w:t>
      </w:r>
    </w:p>
    <w:p>
      <w:pPr>
        <w:spacing w:lineRule="exact" w:line="600" w:before="0" w:after="0"/>
        <w:ind w:firstLine="420"/>
        <w:jc w:val="both"/>
      </w:pPr>
      <w:r>
        <w:rPr>
          <w:rFonts w:ascii="仿宋_GB2312" w:hAnsi="仿宋_GB2312" w:eastAsia="仿宋_GB2312"/>
          <w:b w:val="0"/>
          <w:color w:val="000000"/>
          <w:sz w:val="32"/>
        </w:rPr>
        <w:t>响应山东省铝产业绿色循环发展集群定位，龙口推进再生铝循环利用与减碳。南山铝业已与部分核心客户达成废铝回收、循环利用业务合作，部分产能进入试生产；再生铝项目契合电解铝能效约束与「双碳」要求，可降低单位产品碳足迹。集群依托科技创新发展再生铝，构建「生产—回收—再利用」闭环，提升资源效率与出口合规竞争力（应对欧盟碳边境调节机制等）。</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绿色举措</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进展</w:t>
            </w:r>
          </w:p>
        </w:tc>
      </w:tr>
      <w:tr>
        <w:tc>
          <w:tcPr>
            <w:tcW w:type="dxa" w:w="2835"/>
          </w:tcPr>
          <w:p>
            <w:pPr>
              <w:spacing w:lineRule="exact" w:line="600"/>
              <w:jc w:val="center"/>
            </w:pPr>
            <w:r/>
            <w:r>
              <w:rPr>
                <w:rFonts w:ascii="仿宋_GB2312" w:hAnsi="仿宋_GB2312" w:eastAsia="仿宋_GB2312"/>
                <w:b w:val="0"/>
                <w:color w:val="000000"/>
                <w:sz w:val="32"/>
              </w:rPr>
              <w:t>再生铝项目</w:t>
            </w:r>
          </w:p>
        </w:tc>
        <w:tc>
          <w:tcPr>
            <w:tcW w:type="dxa" w:w="3402"/>
          </w:tcPr>
          <w:p>
            <w:pPr>
              <w:spacing w:lineRule="exact" w:line="600"/>
              <w:jc w:val="center"/>
            </w:pPr>
            <w:r/>
            <w:r>
              <w:rPr>
                <w:rFonts w:ascii="仿宋_GB2312" w:hAnsi="仿宋_GB2312" w:eastAsia="仿宋_GB2312"/>
                <w:b w:val="0"/>
                <w:color w:val="000000"/>
                <w:sz w:val="32"/>
              </w:rPr>
              <w:t>废铝回收循环利用</w:t>
            </w:r>
          </w:p>
        </w:tc>
        <w:tc>
          <w:tcPr>
            <w:tcW w:type="dxa" w:w="2835"/>
          </w:tcPr>
          <w:p>
            <w:pPr>
              <w:spacing w:lineRule="exact" w:line="600"/>
              <w:jc w:val="center"/>
            </w:pPr>
            <w:r/>
            <w:r>
              <w:rPr>
                <w:rFonts w:ascii="仿宋_GB2312" w:hAnsi="仿宋_GB2312" w:eastAsia="仿宋_GB2312"/>
                <w:b w:val="0"/>
                <w:color w:val="000000"/>
                <w:sz w:val="32"/>
              </w:rPr>
              <w:t>部分试生产</w:t>
            </w:r>
          </w:p>
        </w:tc>
      </w:tr>
      <w:tr>
        <w:tc>
          <w:tcPr>
            <w:tcW w:type="dxa" w:w="2835"/>
          </w:tcPr>
          <w:p>
            <w:pPr>
              <w:spacing w:lineRule="exact" w:line="600"/>
              <w:jc w:val="center"/>
            </w:pPr>
            <w:r/>
            <w:r>
              <w:rPr>
                <w:rFonts w:ascii="仿宋_GB2312" w:hAnsi="仿宋_GB2312" w:eastAsia="仿宋_GB2312"/>
                <w:b w:val="0"/>
                <w:color w:val="000000"/>
                <w:sz w:val="32"/>
              </w:rPr>
              <w:t>减碳改造</w:t>
            </w:r>
          </w:p>
        </w:tc>
        <w:tc>
          <w:tcPr>
            <w:tcW w:type="dxa" w:w="3402"/>
          </w:tcPr>
          <w:p>
            <w:pPr>
              <w:spacing w:lineRule="exact" w:line="600"/>
              <w:jc w:val="center"/>
            </w:pPr>
            <w:r/>
            <w:r>
              <w:rPr>
                <w:rFonts w:ascii="仿宋_GB2312" w:hAnsi="仿宋_GB2312" w:eastAsia="仿宋_GB2312"/>
                <w:b w:val="0"/>
                <w:color w:val="000000"/>
                <w:sz w:val="32"/>
              </w:rPr>
              <w:t>能效/减碳合规</w:t>
            </w:r>
          </w:p>
        </w:tc>
        <w:tc>
          <w:tcPr>
            <w:tcW w:type="dxa" w:w="2835"/>
          </w:tcPr>
          <w:p>
            <w:pPr>
              <w:spacing w:lineRule="exact" w:line="600"/>
              <w:jc w:val="center"/>
            </w:pPr>
            <w:r/>
            <w:r>
              <w:rPr>
                <w:rFonts w:ascii="仿宋_GB2312" w:hAnsi="仿宋_GB2312" w:eastAsia="仿宋_GB2312"/>
                <w:b w:val="0"/>
                <w:color w:val="000000"/>
                <w:sz w:val="32"/>
              </w:rPr>
              <w:t>推进中</w:t>
            </w:r>
          </w:p>
        </w:tc>
      </w:tr>
      <w:tr>
        <w:tc>
          <w:tcPr>
            <w:tcW w:type="dxa" w:w="2835"/>
          </w:tcPr>
          <w:p>
            <w:pPr>
              <w:spacing w:lineRule="exact" w:line="600"/>
              <w:jc w:val="center"/>
            </w:pPr>
            <w:r/>
            <w:r>
              <w:rPr>
                <w:rFonts w:ascii="仿宋_GB2312" w:hAnsi="仿宋_GB2312" w:eastAsia="仿宋_GB2312"/>
                <w:b w:val="0"/>
                <w:color w:val="000000"/>
                <w:sz w:val="32"/>
              </w:rPr>
              <w:t>碳足迹管理</w:t>
            </w:r>
          </w:p>
        </w:tc>
        <w:tc>
          <w:tcPr>
            <w:tcW w:type="dxa" w:w="3402"/>
          </w:tcPr>
          <w:p>
            <w:pPr>
              <w:spacing w:lineRule="exact" w:line="600"/>
              <w:jc w:val="center"/>
            </w:pPr>
            <w:r/>
            <w:r>
              <w:rPr>
                <w:rFonts w:ascii="仿宋_GB2312" w:hAnsi="仿宋_GB2312" w:eastAsia="仿宋_GB2312"/>
                <w:b w:val="0"/>
                <w:color w:val="000000"/>
                <w:sz w:val="32"/>
              </w:rPr>
              <w:t>应对CBAM</w:t>
            </w:r>
          </w:p>
        </w:tc>
        <w:tc>
          <w:tcPr>
            <w:tcW w:type="dxa" w:w="2835"/>
          </w:tcPr>
          <w:p>
            <w:pPr>
              <w:spacing w:lineRule="exact" w:line="600"/>
              <w:jc w:val="center"/>
            </w:pPr>
            <w:r/>
            <w:r>
              <w:rPr>
                <w:rFonts w:ascii="仿宋_GB2312" w:hAnsi="仿宋_GB2312" w:eastAsia="仿宋_GB2312"/>
                <w:b w:val="0"/>
                <w:color w:val="000000"/>
                <w:sz w:val="32"/>
              </w:rPr>
              <w:t>规划</w:t>
            </w:r>
          </w:p>
        </w:tc>
      </w:tr>
      <w:tr>
        <w:tc>
          <w:tcPr>
            <w:tcW w:type="dxa" w:w="2835"/>
          </w:tcPr>
          <w:p>
            <w:pPr>
              <w:spacing w:lineRule="exact" w:line="600"/>
              <w:jc w:val="center"/>
            </w:pPr>
            <w:r/>
            <w:r>
              <w:rPr>
                <w:rFonts w:ascii="仿宋_GB2312" w:hAnsi="仿宋_GB2312" w:eastAsia="仿宋_GB2312"/>
                <w:b w:val="0"/>
                <w:color w:val="000000"/>
                <w:sz w:val="32"/>
              </w:rPr>
              <w:t>绿电探索</w:t>
            </w:r>
          </w:p>
        </w:tc>
        <w:tc>
          <w:tcPr>
            <w:tcW w:type="dxa" w:w="3402"/>
          </w:tcPr>
          <w:p>
            <w:pPr>
              <w:spacing w:lineRule="exact" w:line="600"/>
              <w:jc w:val="center"/>
            </w:pPr>
            <w:r/>
            <w:r>
              <w:rPr>
                <w:rFonts w:ascii="仿宋_GB2312" w:hAnsi="仿宋_GB2312" w:eastAsia="仿宋_GB2312"/>
                <w:b w:val="0"/>
                <w:color w:val="000000"/>
                <w:sz w:val="32"/>
              </w:rPr>
              <w:t>清洁能源利用</w:t>
            </w:r>
          </w:p>
        </w:tc>
        <w:tc>
          <w:tcPr>
            <w:tcW w:type="dxa" w:w="2835"/>
          </w:tcPr>
          <w:p>
            <w:pPr>
              <w:spacing w:lineRule="exact" w:line="600"/>
              <w:jc w:val="center"/>
            </w:pPr>
            <w:r/>
            <w:r>
              <w:rPr>
                <w:rFonts w:ascii="仿宋_GB2312" w:hAnsi="仿宋_GB2312" w:eastAsia="仿宋_GB2312"/>
                <w:b w:val="0"/>
                <w:color w:val="000000"/>
                <w:sz w:val="32"/>
              </w:rPr>
              <w:t>研讨</w:t>
            </w:r>
          </w:p>
        </w:tc>
      </w:tr>
    </w:tbl>
    <w:p>
      <w:pPr>
        <w:spacing w:lineRule="exact" w:line="600" w:before="120" w:after="120"/>
        <w:ind w:firstLine="420"/>
        <w:jc w:val="left"/>
      </w:pPr>
      <w:r>
        <w:rPr>
          <w:rFonts w:ascii="楷体_GB2312" w:hAnsi="楷体_GB2312" w:eastAsia="楷体_GB2312"/>
          <w:b w:val="0"/>
          <w:color w:val="000000"/>
          <w:sz w:val="32"/>
        </w:rPr>
        <w:t>（三）数字化与集群整体升级</w:t>
      </w:r>
    </w:p>
    <w:p>
      <w:pPr>
        <w:spacing w:lineRule="exact" w:line="600" w:before="0" w:after="0"/>
        <w:ind w:firstLine="420"/>
        <w:jc w:val="both"/>
      </w:pPr>
      <w:r>
        <w:rPr>
          <w:rFonts w:ascii="仿宋_GB2312" w:hAnsi="仿宋_GB2312" w:eastAsia="仿宋_GB2312"/>
          <w:b w:val="0"/>
          <w:color w:val="000000"/>
          <w:sz w:val="32"/>
        </w:rPr>
        <w:t>龙口以数字化转型推动集群由「制造」向「智造」跃升，187家重点中小企业中35家已启动转型，依托烟台市中小企业数字化转型城市试点专项资金给予补助。通过工业互联网、5G、人工智能赋能生产质检与供应链协同，提升良率与交付能力；同时深化「链长领建、链办推动、链主牵引」机制，推动链上企业总数近500家、总产值超2000亿元的产业链生态持续优化，强化高端交通铝材全球竞争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升级举措</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指标</w:t>
            </w:r>
          </w:p>
        </w:tc>
      </w:tr>
      <w:tr>
        <w:tc>
          <w:tcPr>
            <w:tcW w:type="dxa" w:w="2835"/>
          </w:tcPr>
          <w:p>
            <w:pPr>
              <w:spacing w:lineRule="exact" w:line="600"/>
              <w:jc w:val="center"/>
            </w:pPr>
            <w:r/>
            <w:r>
              <w:rPr>
                <w:rFonts w:ascii="仿宋_GB2312" w:hAnsi="仿宋_GB2312" w:eastAsia="仿宋_GB2312"/>
                <w:b w:val="0"/>
                <w:color w:val="000000"/>
                <w:sz w:val="32"/>
              </w:rPr>
              <w:t>数字化转型</w:t>
            </w:r>
          </w:p>
        </w:tc>
        <w:tc>
          <w:tcPr>
            <w:tcW w:type="dxa" w:w="3402"/>
          </w:tcPr>
          <w:p>
            <w:pPr>
              <w:spacing w:lineRule="exact" w:line="600"/>
              <w:jc w:val="center"/>
            </w:pPr>
            <w:r/>
            <w:r>
              <w:rPr>
                <w:rFonts w:ascii="仿宋_GB2312" w:hAnsi="仿宋_GB2312" w:eastAsia="仿宋_GB2312"/>
                <w:b w:val="0"/>
                <w:color w:val="000000"/>
                <w:sz w:val="32"/>
              </w:rPr>
              <w:t>35家企业已启动</w:t>
            </w:r>
          </w:p>
        </w:tc>
        <w:tc>
          <w:tcPr>
            <w:tcW w:type="dxa" w:w="2835"/>
          </w:tcPr>
          <w:p>
            <w:pPr>
              <w:spacing w:lineRule="exact" w:line="600"/>
              <w:jc w:val="center"/>
            </w:pPr>
            <w:r/>
            <w:r>
              <w:rPr>
                <w:rFonts w:ascii="仿宋_GB2312" w:hAnsi="仿宋_GB2312" w:eastAsia="仿宋_GB2312"/>
                <w:b w:val="0"/>
                <w:color w:val="000000"/>
                <w:sz w:val="32"/>
              </w:rPr>
              <w:t>占重点187家</w:t>
            </w:r>
          </w:p>
        </w:tc>
      </w:tr>
      <w:tr>
        <w:tc>
          <w:tcPr>
            <w:tcW w:type="dxa" w:w="2835"/>
          </w:tcPr>
          <w:p>
            <w:pPr>
              <w:spacing w:lineRule="exact" w:line="600"/>
              <w:jc w:val="center"/>
            </w:pPr>
            <w:r/>
            <w:r>
              <w:rPr>
                <w:rFonts w:ascii="仿宋_GB2312" w:hAnsi="仿宋_GB2312" w:eastAsia="仿宋_GB2312"/>
                <w:b w:val="0"/>
                <w:color w:val="000000"/>
                <w:sz w:val="32"/>
              </w:rPr>
              <w:t>链长机制</w:t>
            </w:r>
          </w:p>
        </w:tc>
        <w:tc>
          <w:tcPr>
            <w:tcW w:type="dxa" w:w="3402"/>
          </w:tcPr>
          <w:p>
            <w:pPr>
              <w:spacing w:lineRule="exact" w:line="600"/>
              <w:jc w:val="center"/>
            </w:pPr>
            <w:r/>
            <w:r>
              <w:rPr>
                <w:rFonts w:ascii="仿宋_GB2312" w:hAnsi="仿宋_GB2312" w:eastAsia="仿宋_GB2312"/>
                <w:b w:val="0"/>
                <w:color w:val="000000"/>
                <w:sz w:val="32"/>
              </w:rPr>
              <w:t>链主牵引</w:t>
            </w:r>
          </w:p>
        </w:tc>
        <w:tc>
          <w:tcPr>
            <w:tcW w:type="dxa" w:w="2835"/>
          </w:tcPr>
          <w:p>
            <w:pPr>
              <w:spacing w:lineRule="exact" w:line="600"/>
              <w:jc w:val="center"/>
            </w:pPr>
            <w:r/>
            <w:r>
              <w:rPr>
                <w:rFonts w:ascii="仿宋_GB2312" w:hAnsi="仿宋_GB2312" w:eastAsia="仿宋_GB2312"/>
                <w:b w:val="0"/>
                <w:color w:val="000000"/>
                <w:sz w:val="32"/>
              </w:rPr>
              <w:t>近500家链上企业</w:t>
            </w:r>
          </w:p>
        </w:tc>
      </w:tr>
      <w:tr>
        <w:tc>
          <w:tcPr>
            <w:tcW w:type="dxa" w:w="2835"/>
          </w:tcPr>
          <w:p>
            <w:pPr>
              <w:spacing w:lineRule="exact" w:line="600"/>
              <w:jc w:val="center"/>
            </w:pPr>
            <w:r/>
            <w:r>
              <w:rPr>
                <w:rFonts w:ascii="仿宋_GB2312" w:hAnsi="仿宋_GB2312" w:eastAsia="仿宋_GB2312"/>
                <w:b w:val="0"/>
                <w:color w:val="000000"/>
                <w:sz w:val="32"/>
              </w:rPr>
              <w:t>平台赋能</w:t>
            </w:r>
          </w:p>
        </w:tc>
        <w:tc>
          <w:tcPr>
            <w:tcW w:type="dxa" w:w="3402"/>
          </w:tcPr>
          <w:p>
            <w:pPr>
              <w:spacing w:lineRule="exact" w:line="600"/>
              <w:jc w:val="center"/>
            </w:pPr>
            <w:r/>
            <w:r>
              <w:rPr>
                <w:rFonts w:ascii="仿宋_GB2312" w:hAnsi="仿宋_GB2312" w:eastAsia="仿宋_GB2312"/>
                <w:b w:val="0"/>
                <w:color w:val="000000"/>
                <w:sz w:val="32"/>
              </w:rPr>
              <w:t>工业互联网/5G</w:t>
            </w:r>
          </w:p>
        </w:tc>
        <w:tc>
          <w:tcPr>
            <w:tcW w:type="dxa" w:w="2835"/>
          </w:tcPr>
          <w:p>
            <w:pPr>
              <w:spacing w:lineRule="exact" w:line="600"/>
              <w:jc w:val="center"/>
            </w:pPr>
            <w:r/>
            <w:r>
              <w:rPr>
                <w:rFonts w:ascii="仿宋_GB2312" w:hAnsi="仿宋_GB2312" w:eastAsia="仿宋_GB2312"/>
                <w:b w:val="0"/>
                <w:color w:val="000000"/>
                <w:sz w:val="32"/>
              </w:rPr>
              <w:t>质检97%</w:t>
            </w:r>
          </w:p>
        </w:tc>
      </w:tr>
      <w:tr>
        <w:tc>
          <w:tcPr>
            <w:tcW w:type="dxa" w:w="2835"/>
          </w:tcPr>
          <w:p>
            <w:pPr>
              <w:spacing w:lineRule="exact" w:line="600"/>
              <w:jc w:val="center"/>
            </w:pPr>
            <w:r/>
            <w:r>
              <w:rPr>
                <w:rFonts w:ascii="仿宋_GB2312" w:hAnsi="仿宋_GB2312" w:eastAsia="仿宋_GB2312"/>
                <w:b w:val="0"/>
                <w:color w:val="000000"/>
                <w:sz w:val="32"/>
              </w:rPr>
              <w:t>集群目标</w:t>
            </w:r>
          </w:p>
        </w:tc>
        <w:tc>
          <w:tcPr>
            <w:tcW w:type="dxa" w:w="3402"/>
          </w:tcPr>
          <w:p>
            <w:pPr>
              <w:spacing w:lineRule="exact" w:line="600"/>
              <w:jc w:val="center"/>
            </w:pPr>
            <w:r/>
            <w:r>
              <w:rPr>
                <w:rFonts w:ascii="仿宋_GB2312" w:hAnsi="仿宋_GB2312" w:eastAsia="仿宋_GB2312"/>
                <w:b w:val="0"/>
                <w:color w:val="000000"/>
                <w:sz w:val="32"/>
              </w:rPr>
              <w:t>世界级高端铝材基地</w:t>
            </w:r>
          </w:p>
        </w:tc>
        <w:tc>
          <w:tcPr>
            <w:tcW w:type="dxa" w:w="2835"/>
          </w:tcPr>
          <w:p>
            <w:pPr>
              <w:spacing w:lineRule="exact" w:line="600"/>
              <w:jc w:val="center"/>
            </w:pPr>
            <w:r/>
            <w:r>
              <w:rPr>
                <w:rFonts w:ascii="仿宋_GB2312" w:hAnsi="仿宋_GB2312" w:eastAsia="仿宋_GB2312"/>
                <w:b w:val="0"/>
                <w:color w:val="000000"/>
                <w:sz w:val="32"/>
              </w:rPr>
              <w:t>持续</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（一）高端产能扩建融资</w:t>
      </w:r>
    </w:p>
    <w:p>
      <w:pPr>
        <w:spacing w:lineRule="exact" w:line="600" w:before="0" w:after="0"/>
        <w:ind w:firstLine="420"/>
        <w:jc w:val="both"/>
      </w:pPr>
      <w:r>
        <w:rPr>
          <w:rFonts w:ascii="仿宋_GB2312" w:hAnsi="仿宋_GB2312" w:eastAsia="仿宋_GB2312"/>
          <w:b w:val="0"/>
          <w:color w:val="000000"/>
          <w:sz w:val="32"/>
        </w:rPr>
        <w:t>汽车板三期20万吨、航空板全规格扩产、动力电池箔等项目建设需大额资本开支，南山铝业2023年研发费用12.73亿元、资本性投入持续，存在项目贷款、设备融资租赁、绿色债券等融资需求。丛林铝业万吨挤压机与焊接线升级、新能源汽车零部件产线扩能同样需要中长期资金支持。集群配套企业（博瑞特等）的易拉盖模具与新产线投资（如博瑞特300万元新设备）也有流动资金与技改贷款需求。</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规模/内容</w:t>
            </w:r>
          </w:p>
        </w:tc>
        <w:tc>
          <w:tcPr>
            <w:tcW w:type="dxa" w:w="2835"/>
          </w:tcPr>
          <w:p>
            <w:pPr>
              <w:spacing w:lineRule="exact" w:line="600"/>
              <w:jc w:val="center"/>
            </w:pPr>
            <w:r/>
            <w:r>
              <w:rPr>
                <w:rFonts w:ascii="黑体" w:hAnsi="黑体" w:eastAsia="黑体"/>
                <w:b/>
                <w:color w:val="000000"/>
                <w:sz w:val="32"/>
              </w:rPr>
              <w:t>方式</w:t>
            </w:r>
          </w:p>
        </w:tc>
      </w:tr>
      <w:tr>
        <w:tc>
          <w:tcPr>
            <w:tcW w:type="dxa" w:w="2835"/>
          </w:tcPr>
          <w:p>
            <w:pPr>
              <w:spacing w:lineRule="exact" w:line="600"/>
              <w:jc w:val="center"/>
            </w:pPr>
            <w:r/>
            <w:r>
              <w:rPr>
                <w:rFonts w:ascii="仿宋_GB2312" w:hAnsi="仿宋_GB2312" w:eastAsia="仿宋_GB2312"/>
                <w:b w:val="0"/>
                <w:color w:val="000000"/>
                <w:sz w:val="32"/>
              </w:rPr>
              <w:t>汽车板三期</w:t>
            </w:r>
          </w:p>
        </w:tc>
        <w:tc>
          <w:tcPr>
            <w:tcW w:type="dxa" w:w="3402"/>
          </w:tcPr>
          <w:p>
            <w:pPr>
              <w:spacing w:lineRule="exact" w:line="600"/>
              <w:jc w:val="center"/>
            </w:pPr>
            <w:r/>
            <w:r>
              <w:rPr>
                <w:rFonts w:ascii="仿宋_GB2312" w:hAnsi="仿宋_GB2312" w:eastAsia="仿宋_GB2312"/>
                <w:b w:val="0"/>
                <w:color w:val="000000"/>
                <w:sz w:val="32"/>
              </w:rPr>
              <w:t>20万吨产能</w:t>
            </w:r>
          </w:p>
        </w:tc>
        <w:tc>
          <w:tcPr>
            <w:tcW w:type="dxa" w:w="2835"/>
          </w:tcPr>
          <w:p>
            <w:pPr>
              <w:spacing w:lineRule="exact" w:line="600"/>
              <w:jc w:val="center"/>
            </w:pPr>
            <w:r/>
            <w:r>
              <w:rPr>
                <w:rFonts w:ascii="仿宋_GB2312" w:hAnsi="仿宋_GB2312" w:eastAsia="仿宋_GB2312"/>
                <w:b w:val="0"/>
                <w:color w:val="000000"/>
                <w:sz w:val="32"/>
              </w:rPr>
              <w:t>项目贷/债券</w:t>
            </w:r>
          </w:p>
        </w:tc>
      </w:tr>
      <w:tr>
        <w:tc>
          <w:tcPr>
            <w:tcW w:type="dxa" w:w="2835"/>
          </w:tcPr>
          <w:p>
            <w:pPr>
              <w:spacing w:lineRule="exact" w:line="600"/>
              <w:jc w:val="center"/>
            </w:pPr>
            <w:r/>
            <w:r>
              <w:rPr>
                <w:rFonts w:ascii="仿宋_GB2312" w:hAnsi="仿宋_GB2312" w:eastAsia="仿宋_GB2312"/>
                <w:b w:val="0"/>
                <w:color w:val="000000"/>
                <w:sz w:val="32"/>
              </w:rPr>
              <w:t>航空板扩产</w:t>
            </w:r>
          </w:p>
        </w:tc>
        <w:tc>
          <w:tcPr>
            <w:tcW w:type="dxa" w:w="3402"/>
          </w:tcPr>
          <w:p>
            <w:pPr>
              <w:spacing w:lineRule="exact" w:line="600"/>
              <w:jc w:val="center"/>
            </w:pPr>
            <w:r/>
            <w:r>
              <w:rPr>
                <w:rFonts w:ascii="仿宋_GB2312" w:hAnsi="仿宋_GB2312" w:eastAsia="仿宋_GB2312"/>
                <w:b w:val="0"/>
                <w:color w:val="000000"/>
                <w:sz w:val="32"/>
              </w:rPr>
              <w:t>全规格覆盖</w:t>
            </w:r>
          </w:p>
        </w:tc>
        <w:tc>
          <w:tcPr>
            <w:tcW w:type="dxa" w:w="2835"/>
          </w:tcPr>
          <w:p>
            <w:pPr>
              <w:spacing w:lineRule="exact" w:line="600"/>
              <w:jc w:val="center"/>
            </w:pPr>
            <w:r/>
            <w:r>
              <w:rPr>
                <w:rFonts w:ascii="仿宋_GB2312" w:hAnsi="仿宋_GB2312" w:eastAsia="仿宋_GB2312"/>
                <w:b w:val="0"/>
                <w:color w:val="000000"/>
                <w:sz w:val="32"/>
              </w:rPr>
              <w:t>股权/债权</w:t>
            </w:r>
          </w:p>
        </w:tc>
      </w:tr>
      <w:tr>
        <w:tc>
          <w:tcPr>
            <w:tcW w:type="dxa" w:w="2835"/>
          </w:tcPr>
          <w:p>
            <w:pPr>
              <w:spacing w:lineRule="exact" w:line="600"/>
              <w:jc w:val="center"/>
            </w:pPr>
            <w:r/>
            <w:r>
              <w:rPr>
                <w:rFonts w:ascii="仿宋_GB2312" w:hAnsi="仿宋_GB2312" w:eastAsia="仿宋_GB2312"/>
                <w:b w:val="0"/>
                <w:color w:val="000000"/>
                <w:sz w:val="32"/>
              </w:rPr>
              <w:t>丛林产线升级</w:t>
            </w:r>
          </w:p>
        </w:tc>
        <w:tc>
          <w:tcPr>
            <w:tcW w:type="dxa" w:w="3402"/>
          </w:tcPr>
          <w:p>
            <w:pPr>
              <w:spacing w:lineRule="exact" w:line="600"/>
              <w:jc w:val="center"/>
            </w:pPr>
            <w:r/>
            <w:r>
              <w:rPr>
                <w:rFonts w:ascii="仿宋_GB2312" w:hAnsi="仿宋_GB2312" w:eastAsia="仿宋_GB2312"/>
                <w:b w:val="0"/>
                <w:color w:val="000000"/>
                <w:sz w:val="32"/>
              </w:rPr>
              <w:t>挤压/焊接线</w:t>
            </w:r>
          </w:p>
        </w:tc>
        <w:tc>
          <w:tcPr>
            <w:tcW w:type="dxa" w:w="2835"/>
          </w:tcPr>
          <w:p>
            <w:pPr>
              <w:spacing w:lineRule="exact" w:line="600"/>
              <w:jc w:val="center"/>
            </w:pPr>
            <w:r/>
            <w:r>
              <w:rPr>
                <w:rFonts w:ascii="仿宋_GB2312" w:hAnsi="仿宋_GB2312" w:eastAsia="仿宋_GB2312"/>
                <w:b w:val="0"/>
                <w:color w:val="000000"/>
                <w:sz w:val="32"/>
              </w:rPr>
              <w:t>融资租赁</w:t>
            </w:r>
          </w:p>
        </w:tc>
      </w:tr>
      <w:tr>
        <w:tc>
          <w:tcPr>
            <w:tcW w:type="dxa" w:w="2835"/>
          </w:tcPr>
          <w:p>
            <w:pPr>
              <w:spacing w:lineRule="exact" w:line="600"/>
              <w:jc w:val="center"/>
            </w:pPr>
            <w:r/>
            <w:r>
              <w:rPr>
                <w:rFonts w:ascii="仿宋_GB2312" w:hAnsi="仿宋_GB2312" w:eastAsia="仿宋_GB2312"/>
                <w:b w:val="0"/>
                <w:color w:val="000000"/>
                <w:sz w:val="32"/>
              </w:rPr>
              <w:t>配套技改</w:t>
            </w:r>
          </w:p>
        </w:tc>
        <w:tc>
          <w:tcPr>
            <w:tcW w:type="dxa" w:w="3402"/>
          </w:tcPr>
          <w:p>
            <w:pPr>
              <w:spacing w:lineRule="exact" w:line="600"/>
              <w:jc w:val="center"/>
            </w:pPr>
            <w:r/>
            <w:r>
              <w:rPr>
                <w:rFonts w:ascii="仿宋_GB2312" w:hAnsi="仿宋_GB2312" w:eastAsia="仿宋_GB2312"/>
                <w:b w:val="0"/>
                <w:color w:val="000000"/>
                <w:sz w:val="32"/>
              </w:rPr>
              <w:t>模具新设备</w:t>
            </w:r>
          </w:p>
        </w:tc>
        <w:tc>
          <w:tcPr>
            <w:tcW w:type="dxa" w:w="2835"/>
          </w:tcPr>
          <w:p>
            <w:pPr>
              <w:spacing w:lineRule="exact" w:line="600"/>
              <w:jc w:val="center"/>
            </w:pPr>
            <w:r/>
            <w:r>
              <w:rPr>
                <w:rFonts w:ascii="仿宋_GB2312" w:hAnsi="仿宋_GB2312" w:eastAsia="仿宋_GB2312"/>
                <w:b w:val="0"/>
                <w:color w:val="000000"/>
                <w:sz w:val="32"/>
              </w:rPr>
              <w:t>流动资金贷</w:t>
            </w:r>
          </w:p>
        </w:tc>
      </w:tr>
    </w:tbl>
    <w:p>
      <w:pPr>
        <w:spacing w:lineRule="exact" w:line="600" w:before="120" w:after="120"/>
        <w:ind w:firstLine="420"/>
        <w:jc w:val="left"/>
      </w:pPr>
      <w:r>
        <w:rPr>
          <w:rFonts w:ascii="楷体_GB2312" w:hAnsi="楷体_GB2312" w:eastAsia="楷体_GB2312"/>
          <w:b w:val="0"/>
          <w:color w:val="000000"/>
          <w:sz w:val="32"/>
        </w:rPr>
        <w:t>（二）研发与平台共建融资</w:t>
      </w:r>
    </w:p>
    <w:p>
      <w:pPr>
        <w:spacing w:lineRule="exact" w:line="600" w:before="0" w:after="0"/>
        <w:ind w:firstLine="420"/>
        <w:jc w:val="both"/>
      </w:pPr>
      <w:r>
        <w:rPr>
          <w:rFonts w:ascii="仿宋_GB2312" w:hAnsi="仿宋_GB2312" w:eastAsia="仿宋_GB2312"/>
          <w:b w:val="0"/>
          <w:color w:val="000000"/>
          <w:sz w:val="32"/>
        </w:rPr>
        <w:t>民机铝合金材料联合研究中心、省级高端铝合金材料制造业创新中心、博士后科研工作站等平台持续攻关，需要研发投入与产学研合作资金。C919机翼长桁、航空铝合金锻件、汽车轻量化材料等关键共性技术研发周期长、投入大，适合通过重大科技专项、揭榜挂帅、知识产权质押融资、科技成果转化基金等方式支持，降低企业独立研发资金压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研发融资需求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建议工具</w:t>
            </w:r>
          </w:p>
        </w:tc>
      </w:tr>
      <w:tr>
        <w:tc>
          <w:tcPr>
            <w:tcW w:type="dxa" w:w="2835"/>
          </w:tcPr>
          <w:p>
            <w:pPr>
              <w:spacing w:lineRule="exact" w:line="600"/>
              <w:jc w:val="center"/>
            </w:pPr>
            <w:r/>
            <w:r>
              <w:rPr>
                <w:rFonts w:ascii="仿宋_GB2312" w:hAnsi="仿宋_GB2312" w:eastAsia="仿宋_GB2312"/>
                <w:b w:val="0"/>
                <w:color w:val="000000"/>
                <w:sz w:val="32"/>
              </w:rPr>
              <w:t>航空铝材攻关</w:t>
            </w:r>
          </w:p>
        </w:tc>
        <w:tc>
          <w:tcPr>
            <w:tcW w:type="dxa" w:w="3402"/>
          </w:tcPr>
          <w:p>
            <w:pPr>
              <w:spacing w:lineRule="exact" w:line="600"/>
              <w:jc w:val="center"/>
            </w:pPr>
            <w:r/>
            <w:r>
              <w:rPr>
                <w:rFonts w:ascii="仿宋_GB2312" w:hAnsi="仿宋_GB2312" w:eastAsia="仿宋_GB2312"/>
                <w:b w:val="0"/>
                <w:color w:val="000000"/>
                <w:sz w:val="32"/>
              </w:rPr>
              <w:t>C919材料</w:t>
            </w:r>
          </w:p>
        </w:tc>
        <w:tc>
          <w:tcPr>
            <w:tcW w:type="dxa" w:w="2835"/>
          </w:tcPr>
          <w:p>
            <w:pPr>
              <w:spacing w:lineRule="exact" w:line="600"/>
              <w:jc w:val="center"/>
            </w:pPr>
            <w:r/>
            <w:r>
              <w:rPr>
                <w:rFonts w:ascii="仿宋_GB2312" w:hAnsi="仿宋_GB2312" w:eastAsia="仿宋_GB2312"/>
                <w:b w:val="0"/>
                <w:color w:val="000000"/>
                <w:sz w:val="32"/>
              </w:rPr>
              <w:t>科技专项</w:t>
            </w:r>
          </w:p>
        </w:tc>
      </w:tr>
      <w:tr>
        <w:tc>
          <w:tcPr>
            <w:tcW w:type="dxa" w:w="2835"/>
          </w:tcPr>
          <w:p>
            <w:pPr>
              <w:spacing w:lineRule="exact" w:line="600"/>
              <w:jc w:val="center"/>
            </w:pPr>
            <w:r/>
            <w:r>
              <w:rPr>
                <w:rFonts w:ascii="仿宋_GB2312" w:hAnsi="仿宋_GB2312" w:eastAsia="仿宋_GB2312"/>
                <w:b w:val="0"/>
                <w:color w:val="000000"/>
                <w:sz w:val="32"/>
              </w:rPr>
              <w:t>创新中心</w:t>
            </w:r>
          </w:p>
        </w:tc>
        <w:tc>
          <w:tcPr>
            <w:tcW w:type="dxa" w:w="3402"/>
          </w:tcPr>
          <w:p>
            <w:pPr>
              <w:spacing w:lineRule="exact" w:line="600"/>
              <w:jc w:val="center"/>
            </w:pPr>
            <w:r/>
            <w:r>
              <w:rPr>
                <w:rFonts w:ascii="仿宋_GB2312" w:hAnsi="仿宋_GB2312" w:eastAsia="仿宋_GB2312"/>
                <w:b w:val="0"/>
                <w:color w:val="000000"/>
                <w:sz w:val="32"/>
              </w:rPr>
              <w:t>省级平台</w:t>
            </w:r>
          </w:p>
        </w:tc>
        <w:tc>
          <w:tcPr>
            <w:tcW w:type="dxa" w:w="2835"/>
          </w:tcPr>
          <w:p>
            <w:pPr>
              <w:spacing w:lineRule="exact" w:line="600"/>
              <w:jc w:val="center"/>
            </w:pPr>
            <w:r/>
            <w:r>
              <w:rPr>
                <w:rFonts w:ascii="仿宋_GB2312" w:hAnsi="仿宋_GB2312" w:eastAsia="仿宋_GB2312"/>
                <w:b w:val="0"/>
                <w:color w:val="000000"/>
                <w:sz w:val="32"/>
              </w:rPr>
              <w:t>揭榜挂帅</w:t>
            </w:r>
          </w:p>
        </w:tc>
      </w:tr>
      <w:tr>
        <w:tc>
          <w:tcPr>
            <w:tcW w:type="dxa" w:w="2835"/>
          </w:tcPr>
          <w:p>
            <w:pPr>
              <w:spacing w:lineRule="exact" w:line="600"/>
              <w:jc w:val="center"/>
            </w:pPr>
            <w:r/>
            <w:r>
              <w:rPr>
                <w:rFonts w:ascii="仿宋_GB2312" w:hAnsi="仿宋_GB2312" w:eastAsia="仿宋_GB2312"/>
                <w:b w:val="0"/>
                <w:color w:val="000000"/>
                <w:sz w:val="32"/>
              </w:rPr>
              <w:t>成果转化</w:t>
            </w:r>
          </w:p>
        </w:tc>
        <w:tc>
          <w:tcPr>
            <w:tcW w:type="dxa" w:w="3402"/>
          </w:tcPr>
          <w:p>
            <w:pPr>
              <w:spacing w:lineRule="exact" w:line="600"/>
              <w:jc w:val="center"/>
            </w:pPr>
            <w:r/>
            <w:r>
              <w:rPr>
                <w:rFonts w:ascii="仿宋_GB2312" w:hAnsi="仿宋_GB2312" w:eastAsia="仿宋_GB2312"/>
                <w:b w:val="0"/>
                <w:color w:val="000000"/>
                <w:sz w:val="32"/>
              </w:rPr>
              <w:t>专利产业化</w:t>
            </w:r>
          </w:p>
        </w:tc>
        <w:tc>
          <w:tcPr>
            <w:tcW w:type="dxa" w:w="2835"/>
          </w:tcPr>
          <w:p>
            <w:pPr>
              <w:spacing w:lineRule="exact" w:line="600"/>
              <w:jc w:val="center"/>
            </w:pPr>
            <w:r/>
            <w:r>
              <w:rPr>
                <w:rFonts w:ascii="仿宋_GB2312" w:hAnsi="仿宋_GB2312" w:eastAsia="仿宋_GB2312"/>
                <w:b w:val="0"/>
                <w:color w:val="000000"/>
                <w:sz w:val="32"/>
              </w:rPr>
              <w:t>知识产权质押</w:t>
            </w:r>
          </w:p>
        </w:tc>
      </w:tr>
      <w:tr>
        <w:tc>
          <w:tcPr>
            <w:tcW w:type="dxa" w:w="2835"/>
          </w:tcPr>
          <w:p>
            <w:pPr>
              <w:spacing w:lineRule="exact" w:line="600"/>
              <w:jc w:val="center"/>
            </w:pPr>
            <w:r/>
            <w:r>
              <w:rPr>
                <w:rFonts w:ascii="仿宋_GB2312" w:hAnsi="仿宋_GB2312" w:eastAsia="仿宋_GB2312"/>
                <w:b w:val="0"/>
                <w:color w:val="000000"/>
                <w:sz w:val="32"/>
              </w:rPr>
              <w:t>人才引育</w:t>
            </w:r>
          </w:p>
        </w:tc>
        <w:tc>
          <w:tcPr>
            <w:tcW w:type="dxa" w:w="3402"/>
          </w:tcPr>
          <w:p>
            <w:pPr>
              <w:spacing w:lineRule="exact" w:line="600"/>
              <w:jc w:val="center"/>
            </w:pPr>
            <w:r/>
            <w:r>
              <w:rPr>
                <w:rFonts w:ascii="仿宋_GB2312" w:hAnsi="仿宋_GB2312" w:eastAsia="仿宋_GB2312"/>
                <w:b w:val="0"/>
                <w:color w:val="000000"/>
                <w:sz w:val="32"/>
              </w:rPr>
              <w:t>高端团队</w:t>
            </w:r>
          </w:p>
        </w:tc>
        <w:tc>
          <w:tcPr>
            <w:tcW w:type="dxa" w:w="2835"/>
          </w:tcPr>
          <w:p>
            <w:pPr>
              <w:spacing w:lineRule="exact" w:line="600"/>
              <w:jc w:val="center"/>
            </w:pPr>
            <w:r/>
            <w:r>
              <w:rPr>
                <w:rFonts w:ascii="仿宋_GB2312" w:hAnsi="仿宋_GB2312" w:eastAsia="仿宋_GB2312"/>
                <w:b w:val="0"/>
                <w:color w:val="000000"/>
                <w:sz w:val="32"/>
              </w:rPr>
              <w:t>人才基金</w:t>
            </w:r>
          </w:p>
        </w:tc>
      </w:tr>
    </w:tbl>
    <w:p>
      <w:pPr>
        <w:spacing w:lineRule="exact" w:line="600" w:before="120" w:after="120"/>
        <w:ind w:firstLine="420"/>
        <w:jc w:val="left"/>
      </w:pPr>
      <w:r>
        <w:rPr>
          <w:rFonts w:ascii="楷体_GB2312" w:hAnsi="楷体_GB2312" w:eastAsia="楷体_GB2312"/>
          <w:b w:val="0"/>
          <w:color w:val="000000"/>
          <w:sz w:val="32"/>
        </w:rPr>
        <w:t>（三）绿色低碳与数字化改造融资</w:t>
      </w:r>
    </w:p>
    <w:p>
      <w:pPr>
        <w:spacing w:lineRule="exact" w:line="600" w:before="0" w:after="0"/>
        <w:ind w:firstLine="420"/>
        <w:jc w:val="both"/>
      </w:pPr>
      <w:r>
        <w:rPr>
          <w:rFonts w:ascii="仿宋_GB2312" w:hAnsi="仿宋_GB2312" w:eastAsia="仿宋_GB2312"/>
          <w:b w:val="0"/>
          <w:color w:val="000000"/>
          <w:sz w:val="32"/>
        </w:rPr>
        <w:t>再生铝项目、减碳改造、数字化车间建设符合绿色信贷与转型金融导向。集群企业可对接碳减排支持工具、绿色债券、数字化转型专项资金（烟台市试点配套补助）等。对中小企业而言，智能化改造一次性投入较大，适合通过设备更新改造再贷款、政银担风险补偿、供应链金融等渠道获得低成本资金，加快「老树发新枝」式升级。</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绿色/数字融资</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对接工具</w:t>
            </w:r>
          </w:p>
        </w:tc>
      </w:tr>
      <w:tr>
        <w:tc>
          <w:tcPr>
            <w:tcW w:type="dxa" w:w="2835"/>
          </w:tcPr>
          <w:p>
            <w:pPr>
              <w:spacing w:lineRule="exact" w:line="600"/>
              <w:jc w:val="center"/>
            </w:pPr>
            <w:r/>
            <w:r>
              <w:rPr>
                <w:rFonts w:ascii="仿宋_GB2312" w:hAnsi="仿宋_GB2312" w:eastAsia="仿宋_GB2312"/>
                <w:b w:val="0"/>
                <w:color w:val="000000"/>
                <w:sz w:val="32"/>
              </w:rPr>
              <w:t>再生铝</w:t>
            </w:r>
          </w:p>
        </w:tc>
        <w:tc>
          <w:tcPr>
            <w:tcW w:type="dxa" w:w="3402"/>
          </w:tcPr>
          <w:p>
            <w:pPr>
              <w:spacing w:lineRule="exact" w:line="600"/>
              <w:jc w:val="center"/>
            </w:pPr>
            <w:r/>
            <w:r>
              <w:rPr>
                <w:rFonts w:ascii="仿宋_GB2312" w:hAnsi="仿宋_GB2312" w:eastAsia="仿宋_GB2312"/>
                <w:b w:val="0"/>
                <w:color w:val="000000"/>
                <w:sz w:val="32"/>
              </w:rPr>
              <w:t>循环利用产线</w:t>
            </w:r>
          </w:p>
        </w:tc>
        <w:tc>
          <w:tcPr>
            <w:tcW w:type="dxa" w:w="2835"/>
          </w:tcPr>
          <w:p>
            <w:pPr>
              <w:spacing w:lineRule="exact" w:line="600"/>
              <w:jc w:val="center"/>
            </w:pPr>
            <w:r/>
            <w:r>
              <w:rPr>
                <w:rFonts w:ascii="仿宋_GB2312" w:hAnsi="仿宋_GB2312" w:eastAsia="仿宋_GB2312"/>
                <w:b w:val="0"/>
                <w:color w:val="000000"/>
                <w:sz w:val="32"/>
              </w:rPr>
              <w:t>绿色债券</w:t>
            </w:r>
          </w:p>
        </w:tc>
      </w:tr>
      <w:tr>
        <w:tc>
          <w:tcPr>
            <w:tcW w:type="dxa" w:w="2835"/>
          </w:tcPr>
          <w:p>
            <w:pPr>
              <w:spacing w:lineRule="exact" w:line="600"/>
              <w:jc w:val="center"/>
            </w:pPr>
            <w:r/>
            <w:r>
              <w:rPr>
                <w:rFonts w:ascii="仿宋_GB2312" w:hAnsi="仿宋_GB2312" w:eastAsia="仿宋_GB2312"/>
                <w:b w:val="0"/>
                <w:color w:val="000000"/>
                <w:sz w:val="32"/>
              </w:rPr>
              <w:t>减碳改造</w:t>
            </w:r>
          </w:p>
        </w:tc>
        <w:tc>
          <w:tcPr>
            <w:tcW w:type="dxa" w:w="3402"/>
          </w:tcPr>
          <w:p>
            <w:pPr>
              <w:spacing w:lineRule="exact" w:line="600"/>
              <w:jc w:val="center"/>
            </w:pPr>
            <w:r/>
            <w:r>
              <w:rPr>
                <w:rFonts w:ascii="仿宋_GB2312" w:hAnsi="仿宋_GB2312" w:eastAsia="仿宋_GB2312"/>
                <w:b w:val="0"/>
                <w:color w:val="000000"/>
                <w:sz w:val="32"/>
              </w:rPr>
              <w:t>能效提升</w:t>
            </w:r>
          </w:p>
        </w:tc>
        <w:tc>
          <w:tcPr>
            <w:tcW w:type="dxa" w:w="2835"/>
          </w:tcPr>
          <w:p>
            <w:pPr>
              <w:spacing w:lineRule="exact" w:line="600"/>
              <w:jc w:val="center"/>
            </w:pPr>
            <w:r/>
            <w:r>
              <w:rPr>
                <w:rFonts w:ascii="仿宋_GB2312" w:hAnsi="仿宋_GB2312" w:eastAsia="仿宋_GB2312"/>
                <w:b w:val="0"/>
                <w:color w:val="000000"/>
                <w:sz w:val="32"/>
              </w:rPr>
              <w:t>碳减排工具</w:t>
            </w:r>
          </w:p>
        </w:tc>
      </w:tr>
      <w:tr>
        <w:tc>
          <w:tcPr>
            <w:tcW w:type="dxa" w:w="2835"/>
          </w:tcPr>
          <w:p>
            <w:pPr>
              <w:spacing w:lineRule="exact" w:line="600"/>
              <w:jc w:val="center"/>
            </w:pPr>
            <w:r/>
            <w:r>
              <w:rPr>
                <w:rFonts w:ascii="仿宋_GB2312" w:hAnsi="仿宋_GB2312" w:eastAsia="仿宋_GB2312"/>
                <w:b w:val="0"/>
                <w:color w:val="000000"/>
                <w:sz w:val="32"/>
              </w:rPr>
              <w:t>数字化车间</w:t>
            </w:r>
          </w:p>
        </w:tc>
        <w:tc>
          <w:tcPr>
            <w:tcW w:type="dxa" w:w="3402"/>
          </w:tcPr>
          <w:p>
            <w:pPr>
              <w:spacing w:lineRule="exact" w:line="600"/>
              <w:jc w:val="center"/>
            </w:pPr>
            <w:r/>
            <w:r>
              <w:rPr>
                <w:rFonts w:ascii="仿宋_GB2312" w:hAnsi="仿宋_GB2312" w:eastAsia="仿宋_GB2312"/>
                <w:b w:val="0"/>
                <w:color w:val="000000"/>
                <w:sz w:val="32"/>
              </w:rPr>
              <w:t>智能产线</w:t>
            </w:r>
          </w:p>
        </w:tc>
        <w:tc>
          <w:tcPr>
            <w:tcW w:type="dxa" w:w="2835"/>
          </w:tcPr>
          <w:p>
            <w:pPr>
              <w:spacing w:lineRule="exact" w:line="600"/>
              <w:jc w:val="center"/>
            </w:pPr>
            <w:r/>
            <w:r>
              <w:rPr>
                <w:rFonts w:ascii="仿宋_GB2312" w:hAnsi="仿宋_GB2312" w:eastAsia="仿宋_GB2312"/>
                <w:b w:val="0"/>
                <w:color w:val="000000"/>
                <w:sz w:val="32"/>
              </w:rPr>
              <w:t>转型金融</w:t>
            </w:r>
          </w:p>
        </w:tc>
      </w:tr>
      <w:tr>
        <w:tc>
          <w:tcPr>
            <w:tcW w:type="dxa" w:w="2835"/>
          </w:tcPr>
          <w:p>
            <w:pPr>
              <w:spacing w:lineRule="exact" w:line="600"/>
              <w:jc w:val="center"/>
            </w:pPr>
            <w:r/>
            <w:r>
              <w:rPr>
                <w:rFonts w:ascii="仿宋_GB2312" w:hAnsi="仿宋_GB2312" w:eastAsia="仿宋_GB2312"/>
                <w:b w:val="0"/>
                <w:color w:val="000000"/>
                <w:sz w:val="32"/>
              </w:rPr>
              <w:t>设备更新</w:t>
            </w:r>
          </w:p>
        </w:tc>
        <w:tc>
          <w:tcPr>
            <w:tcW w:type="dxa" w:w="3402"/>
          </w:tcPr>
          <w:p>
            <w:pPr>
              <w:spacing w:lineRule="exact" w:line="600"/>
              <w:jc w:val="center"/>
            </w:pPr>
            <w:r/>
            <w:r>
              <w:rPr>
                <w:rFonts w:ascii="仿宋_GB2312" w:hAnsi="仿宋_GB2312" w:eastAsia="仿宋_GB2312"/>
                <w:b w:val="0"/>
                <w:color w:val="000000"/>
                <w:sz w:val="32"/>
              </w:rPr>
              <w:t>中小企业技改</w:t>
            </w:r>
          </w:p>
        </w:tc>
        <w:tc>
          <w:tcPr>
            <w:tcW w:type="dxa" w:w="2835"/>
          </w:tcPr>
          <w:p>
            <w:pPr>
              <w:spacing w:lineRule="exact" w:line="600"/>
              <w:jc w:val="center"/>
            </w:pPr>
            <w:r/>
            <w:r>
              <w:rPr>
                <w:rFonts w:ascii="仿宋_GB2312" w:hAnsi="仿宋_GB2312" w:eastAsia="仿宋_GB2312"/>
                <w:b w:val="0"/>
                <w:color w:val="000000"/>
                <w:sz w:val="32"/>
              </w:rPr>
              <w:t>再贷款/担保</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南山铝业股份有限公司（600219）：龙口交通铝材集群链主龙头，全产业链铝深加工上市企业。2023年营收288.44亿元、归母净利润34.74亿元；拥有氧化铝340万吨、电解铝81.6万吨、汽车板20万吨（三期达40万吨）、航空板5万吨、动力电池箔2.1万吨产能；是国内唯一同时向波音、空客、中国商飞供货的铝企，航空板应用于C919/ARJ21，汽车板供货宝马、蔚来、理想、小米等。入选2023年度山东省新材料领军企业50强，再获制造业单项冠军。来源：公司2023年年报、公司官网、山东省工信厅。</w:t>
      </w:r>
    </w:p>
    <w:p>
      <w:pPr>
        <w:spacing w:lineRule="exact" w:line="600" w:before="0" w:after="0"/>
        <w:ind w:firstLine="420"/>
        <w:jc w:val="both"/>
      </w:pPr>
      <w:r>
        <w:rPr>
          <w:rFonts w:ascii="仿宋_GB2312" w:hAnsi="仿宋_GB2312" w:eastAsia="仿宋_GB2312"/>
          <w:b w:val="0"/>
          <w:color w:val="000000"/>
          <w:sz w:val="32"/>
        </w:rPr>
        <w:t>丛林铝业科技（山东）有限责任公司（原龙口市丛林铝材有限公司）：高端工业铝型材与轻量化装备骨干企业。拥有15条大型铝挤压生产线（含世界首台万吨油压双动铝挤压机，2005年获国家科技进步一等奖）、8条铝合金自动焊接线、6台五轴数控加工中心，年产高端工业铝型材10万—12万吨；是国内高速列车铝合金车体材料主要供应商，曾为「和谐号」CRH动车组提供全部国产化车体结构材料，客户含中国中车、阿尔斯通、庞巴迪、西门子；2020年由安徽海创集团等收购重整，现有5家子公司、1200余名员工、100项国家发明专利。来源：丛林铝业官网、百度百科、天眼查。</w:t>
      </w:r>
    </w:p>
    <w:p>
      <w:pPr>
        <w:spacing w:lineRule="exact" w:line="600" w:before="0" w:after="0"/>
        <w:ind w:firstLine="420"/>
        <w:jc w:val="both"/>
      </w:pPr>
      <w:r>
        <w:rPr>
          <w:rFonts w:ascii="仿宋_GB2312" w:hAnsi="仿宋_GB2312" w:eastAsia="仿宋_GB2312"/>
          <w:b w:val="0"/>
          <w:color w:val="000000"/>
          <w:sz w:val="32"/>
        </w:rPr>
        <w:t>山东航桥新材料科技有限公司（公开可核主体为「航桥新材料科技（滨州）有限公司」）：交通铝材应用及铝基复合材料方向的锻造企业。注：任务简报标注该公司「待核」，公开资料可核的航桥新材料为北京航空材料研究院与魏桥铝电合资企业，位于滨州邹平，投资2亿元、2016年8月投产，锻件生产能力1万吨/年，拥有500MN等4台锻压机；其商用车铝合金传动轴锻件、铝合金推力杆锻件为国内首创，CR350高铁牵引梁铝合金锻件实现进口替代并批量供应国内高铁线路，应用于汽车、航空航天、轨道交通高端锻件。龙口本地「交通铝材应用」环节以丛林铝业轻量化汽车部件、南山汽车板下游配套为主体。来源：山东省工信厅、滨州日报、铝加网。</w:t>
      </w:r>
    </w:p>
    <w:p>
      <w:pPr>
        <w:spacing w:lineRule="exact" w:line="600" w:before="0" w:after="0"/>
        <w:jc w:val="left"/>
      </w:pPr>
      <w:r>
        <w:rPr>
          <w:rFonts w:ascii="仿宋_GB2312" w:hAnsi="仿宋_GB2312" w:eastAsia="仿宋_GB2312"/>
          <w:b w:val="0"/>
          <w:color w:val="000000"/>
          <w:sz w:val="28"/>
        </w:rPr>
        <w:t>主要数据来源：龙口市人民政府官网：《我市坚持创新驱动推进高端铝材料产业绿色高质量发展》（2023-08-14）、《我市创新引领推动高端铝材料产业绿色高质量发展》（2024-05-29）、《山东龙口：去年铝产业产值超过860亿元》转引；新华网：《山东龙口：加快迈向智慧制造新「铝」程》（2025-09-05），披露2024年集群总产值1189.9亿元、企业187家；山东省人民政府：《山东省铝行业高质量发展行动计划（2024—2027年）》审议通过报道（2024-09-09）；南山铝业（600219）2023年年度报告及年报摘要（上交所/公司官网）；中邮证券、东吴证券关于南山铝业的研报（披露产能、毛利结构）；丛林铝业科技（山东）有限责任公司官网及百度百科（产能、装备、认证）；中国有色金属加工工业协会、安泰科：2023年中国铝加工材产量数据；行业研究报告：2023年中国汽车铝材市场规模1567亿元；山东省工信厅、滨州日报：航桥新材料科技（滨州）有限公司公开信息；albiz/铝加网：龙口铝产业链与诺维科海外订单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