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山东烟台芝罘区(环境控制装备)特色产业集群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环境治理装备行业深度分析报告</w:t>
      </w:r>
    </w:p>
    <w:p>
      <w:pPr>
        <w:spacing w:lineRule="exact" w:line="600" w:before="0" w:after="0"/>
        <w:jc w:val="left"/>
      </w:pPr>
      <w:r>
        <w:rPr>
          <w:rFonts w:ascii="仿宋_GB2312" w:hAnsi="仿宋_GB2312" w:eastAsia="仿宋_GB2312"/>
          <w:b w:val="0"/>
          <w:color w:val="000000"/>
          <w:sz w:val="28"/>
        </w:rPr>
        <w:t>本报告数据来源于冰轮环境（000811）2023年年度报告及公告、烟台市芝罘区政府官网公开报道、工业和信息化部关于环保装备制造业的公开数据、中国环保机械行业协会解读。数据截至2023—2024年。其中诚佑环保、烟台市环保工程咨询设计院公开财务数据有限，已标注「公开资料有限」，以集群共性研判与冰轮环境公开信息为主体。</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环境治理装备是芝罘区环境控制装备特色产业集群的核心环节，以冰轮环境技术股份有限公司为龙头。冰轮环境2023年实现营业收入74.95亿元（同比+22.86%）、归母净利润6.55亿元（同比+53.73%），毛利率25.56%（+2.87pct），主营涵盖低温冷冻设备、中央空调设备、节能制热设备、能源化工压缩/液化装备、精密铸件、智能仓储装备、氢能装备等。2023年环保装备制造业全国总产值超9700亿元（2025年目标1.3万亿元），环境治理装备是其中需求最稳、利润较好的细分。冰轮环境在碳捕集利用领域技术居全国领先，服务的碳捕集客户年降碳量达三千多万吨，并获批国家级绿色工厂、国家级服务型制造示范企业。挑战在于传统制冷空调竞争加剧、海外需求波动及原材料价格风险。</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冰轮环境2023营收</w:t>
            </w:r>
          </w:p>
        </w:tc>
        <w:tc>
          <w:tcPr>
            <w:tcW w:type="dxa" w:w="2835"/>
          </w:tcPr>
          <w:p>
            <w:pPr>
              <w:spacing w:lineRule="exact" w:line="600"/>
              <w:jc w:val="center"/>
            </w:pPr>
            <w:r/>
            <w:r>
              <w:rPr>
                <w:rFonts w:ascii="仿宋_GB2312" w:hAnsi="仿宋_GB2312" w:eastAsia="仿宋_GB2312"/>
                <w:b w:val="0"/>
                <w:color w:val="000000"/>
                <w:sz w:val="32"/>
              </w:rPr>
              <w:t>74.95亿元（+22.86%）</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冰轮环境2023归母净利润</w:t>
            </w:r>
          </w:p>
        </w:tc>
        <w:tc>
          <w:tcPr>
            <w:tcW w:type="dxa" w:w="2835"/>
          </w:tcPr>
          <w:p>
            <w:pPr>
              <w:spacing w:lineRule="exact" w:line="600"/>
              <w:jc w:val="center"/>
            </w:pPr>
            <w:r/>
            <w:r>
              <w:rPr>
                <w:rFonts w:ascii="仿宋_GB2312" w:hAnsi="仿宋_GB2312" w:eastAsia="仿宋_GB2312"/>
                <w:b w:val="0"/>
                <w:color w:val="000000"/>
                <w:sz w:val="32"/>
              </w:rPr>
              <w:t>6.55亿元（+53.73%）</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冰轮环境毛利率</w:t>
            </w:r>
          </w:p>
        </w:tc>
        <w:tc>
          <w:tcPr>
            <w:tcW w:type="dxa" w:w="2835"/>
          </w:tcPr>
          <w:p>
            <w:pPr>
              <w:spacing w:lineRule="exact" w:line="600"/>
              <w:jc w:val="center"/>
            </w:pPr>
            <w:r/>
            <w:r>
              <w:rPr>
                <w:rFonts w:ascii="仿宋_GB2312" w:hAnsi="仿宋_GB2312" w:eastAsia="仿宋_GB2312"/>
                <w:b w:val="0"/>
                <w:color w:val="000000"/>
                <w:sz w:val="32"/>
              </w:rPr>
              <w:t>25.56%（+2.87pct）</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工业产品销售收入</w:t>
            </w:r>
          </w:p>
        </w:tc>
        <w:tc>
          <w:tcPr>
            <w:tcW w:type="dxa" w:w="2835"/>
          </w:tcPr>
          <w:p>
            <w:pPr>
              <w:spacing w:lineRule="exact" w:line="600"/>
              <w:jc w:val="center"/>
            </w:pPr>
            <w:r/>
            <w:r>
              <w:rPr>
                <w:rFonts w:ascii="仿宋_GB2312" w:hAnsi="仿宋_GB2312" w:eastAsia="仿宋_GB2312"/>
                <w:b w:val="0"/>
                <w:color w:val="000000"/>
                <w:sz w:val="32"/>
              </w:rPr>
              <w:t>65.28亿元（占87.08%）</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国外收入</w:t>
            </w:r>
          </w:p>
        </w:tc>
        <w:tc>
          <w:tcPr>
            <w:tcW w:type="dxa" w:w="2835"/>
          </w:tcPr>
          <w:p>
            <w:pPr>
              <w:spacing w:lineRule="exact" w:line="600"/>
              <w:jc w:val="center"/>
            </w:pPr>
            <w:r/>
            <w:r>
              <w:rPr>
                <w:rFonts w:ascii="仿宋_GB2312" w:hAnsi="仿宋_GB2312" w:eastAsia="仿宋_GB2312"/>
                <w:b w:val="0"/>
                <w:color w:val="000000"/>
                <w:sz w:val="32"/>
              </w:rPr>
              <w:t>23.28亿元（占33.01%）</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员工人数</w:t>
            </w:r>
          </w:p>
        </w:tc>
        <w:tc>
          <w:tcPr>
            <w:tcW w:type="dxa" w:w="2835"/>
          </w:tcPr>
          <w:p>
            <w:pPr>
              <w:spacing w:lineRule="exact" w:line="600"/>
              <w:jc w:val="center"/>
            </w:pPr>
            <w:r/>
            <w:r>
              <w:rPr>
                <w:rFonts w:ascii="仿宋_GB2312" w:hAnsi="仿宋_GB2312" w:eastAsia="仿宋_GB2312"/>
                <w:b w:val="0"/>
                <w:color w:val="000000"/>
                <w:sz w:val="32"/>
              </w:rPr>
              <w:t>4489人</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研发投入</w:t>
            </w:r>
          </w:p>
        </w:tc>
        <w:tc>
          <w:tcPr>
            <w:tcW w:type="dxa" w:w="2835"/>
          </w:tcPr>
          <w:p>
            <w:pPr>
              <w:spacing w:lineRule="exact" w:line="600"/>
              <w:jc w:val="center"/>
            </w:pPr>
            <w:r/>
            <w:r>
              <w:rPr>
                <w:rFonts w:ascii="仿宋_GB2312" w:hAnsi="仿宋_GB2312" w:eastAsia="仿宋_GB2312"/>
                <w:b w:val="0"/>
                <w:color w:val="000000"/>
                <w:sz w:val="32"/>
              </w:rPr>
              <w:t>2.84亿元（占3.79%）</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835"/>
          </w:tcPr>
          <w:p>
            <w:pPr>
              <w:spacing w:lineRule="exact" w:line="600"/>
              <w:jc w:val="center"/>
            </w:pPr>
            <w:r/>
            <w:r>
              <w:rPr>
                <w:rFonts w:ascii="仿宋_GB2312" w:hAnsi="仿宋_GB2312" w:eastAsia="仿宋_GB2312"/>
                <w:b w:val="0"/>
                <w:color w:val="000000"/>
                <w:sz w:val="32"/>
              </w:rPr>
              <w:t>49.72%</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碳捕集年降碳量</w:t>
            </w:r>
          </w:p>
        </w:tc>
        <w:tc>
          <w:tcPr>
            <w:tcW w:type="dxa" w:w="2835"/>
          </w:tcPr>
          <w:p>
            <w:pPr>
              <w:spacing w:lineRule="exact" w:line="600"/>
              <w:jc w:val="center"/>
            </w:pPr>
            <w:r/>
            <w:r>
              <w:rPr>
                <w:rFonts w:ascii="仿宋_GB2312" w:hAnsi="仿宋_GB2312" w:eastAsia="仿宋_GB2312"/>
                <w:b w:val="0"/>
                <w:color w:val="000000"/>
                <w:sz w:val="32"/>
              </w:rPr>
              <w:t>三千多万吨</w:t>
            </w:r>
          </w:p>
        </w:tc>
        <w:tc>
          <w:tcPr>
            <w:tcW w:type="dxa" w:w="3118"/>
          </w:tcPr>
          <w:p>
            <w:pPr>
              <w:spacing w:lineRule="exact" w:line="600"/>
              <w:jc w:val="center"/>
            </w:pPr>
            <w:r/>
            <w:r>
              <w:rPr>
                <w:rFonts w:ascii="仿宋_GB2312" w:hAnsi="仿宋_GB2312" w:eastAsia="仿宋_GB2312"/>
                <w:b w:val="0"/>
                <w:color w:val="000000"/>
                <w:sz w:val="32"/>
              </w:rPr>
              <w:t>冰轮/报道</w:t>
            </w:r>
          </w:p>
        </w:tc>
      </w:tr>
      <w:tr>
        <w:tc>
          <w:tcPr>
            <w:tcW w:type="dxa" w:w="2835"/>
          </w:tcPr>
          <w:p>
            <w:pPr>
              <w:spacing w:lineRule="exact" w:line="600"/>
              <w:jc w:val="center"/>
            </w:pPr>
            <w:r/>
            <w:r>
              <w:rPr>
                <w:rFonts w:ascii="仿宋_GB2312" w:hAnsi="仿宋_GB2312" w:eastAsia="仿宋_GB2312"/>
                <w:b w:val="0"/>
                <w:color w:val="000000"/>
                <w:sz w:val="32"/>
              </w:rPr>
              <w:t>国家级绿色工厂</w:t>
            </w:r>
          </w:p>
        </w:tc>
        <w:tc>
          <w:tcPr>
            <w:tcW w:type="dxa" w:w="2835"/>
          </w:tcPr>
          <w:p>
            <w:pPr>
              <w:spacing w:lineRule="exact" w:line="600"/>
              <w:jc w:val="center"/>
            </w:pPr>
            <w:r/>
            <w:r>
              <w:rPr>
                <w:rFonts w:ascii="仿宋_GB2312" w:hAnsi="仿宋_GB2312" w:eastAsia="仿宋_GB2312"/>
                <w:b w:val="0"/>
                <w:color w:val="000000"/>
                <w:sz w:val="32"/>
              </w:rPr>
              <w:t>获批</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国家级服务型制造示范</w:t>
            </w:r>
          </w:p>
        </w:tc>
        <w:tc>
          <w:tcPr>
            <w:tcW w:type="dxa" w:w="2835"/>
          </w:tcPr>
          <w:p>
            <w:pPr>
              <w:spacing w:lineRule="exact" w:line="600"/>
              <w:jc w:val="center"/>
            </w:pPr>
            <w:r/>
            <w:r>
              <w:rPr>
                <w:rFonts w:ascii="仿宋_GB2312" w:hAnsi="仿宋_GB2312" w:eastAsia="仿宋_GB2312"/>
                <w:b w:val="0"/>
                <w:color w:val="000000"/>
                <w:sz w:val="32"/>
              </w:rPr>
              <w:t>获批</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2023环保装备总产值</w:t>
            </w:r>
          </w:p>
        </w:tc>
        <w:tc>
          <w:tcPr>
            <w:tcW w:type="dxa" w:w="2835"/>
          </w:tcPr>
          <w:p>
            <w:pPr>
              <w:spacing w:lineRule="exact" w:line="600"/>
              <w:jc w:val="center"/>
            </w:pPr>
            <w:r/>
            <w:r>
              <w:rPr>
                <w:rFonts w:ascii="仿宋_GB2312" w:hAnsi="仿宋_GB2312" w:eastAsia="仿宋_GB2312"/>
                <w:b w:val="0"/>
                <w:color w:val="000000"/>
                <w:sz w:val="32"/>
              </w:rPr>
              <w:t>超9700亿元</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2025环保装备目标</w:t>
            </w:r>
          </w:p>
        </w:tc>
        <w:tc>
          <w:tcPr>
            <w:tcW w:type="dxa" w:w="2835"/>
          </w:tcPr>
          <w:p>
            <w:pPr>
              <w:spacing w:lineRule="exact" w:line="600"/>
              <w:jc w:val="center"/>
            </w:pPr>
            <w:r/>
            <w:r>
              <w:rPr>
                <w:rFonts w:ascii="仿宋_GB2312" w:hAnsi="仿宋_GB2312" w:eastAsia="仿宋_GB2312"/>
                <w:b w:val="0"/>
                <w:color w:val="000000"/>
                <w:sz w:val="32"/>
              </w:rPr>
              <w:t>1.3万亿元</w:t>
            </w:r>
          </w:p>
        </w:tc>
        <w:tc>
          <w:tcPr>
            <w:tcW w:type="dxa" w:w="3118"/>
          </w:tcPr>
          <w:p>
            <w:pPr>
              <w:spacing w:lineRule="exact" w:line="600"/>
              <w:jc w:val="center"/>
            </w:pPr>
            <w:r/>
            <w:r>
              <w:rPr>
                <w:rFonts w:ascii="仿宋_GB2312" w:hAnsi="仿宋_GB2312" w:eastAsia="仿宋_GB2312"/>
                <w:b w:val="0"/>
                <w:color w:val="000000"/>
                <w:sz w:val="32"/>
              </w:rPr>
              <w:t>行动计划</w:t>
            </w:r>
          </w:p>
        </w:tc>
      </w:tr>
      <w:tr>
        <w:tc>
          <w:tcPr>
            <w:tcW w:type="dxa" w:w="2835"/>
          </w:tcPr>
          <w:p>
            <w:pPr>
              <w:spacing w:lineRule="exact" w:line="600"/>
              <w:jc w:val="center"/>
            </w:pPr>
            <w:r/>
            <w:r>
              <w:rPr>
                <w:rFonts w:ascii="仿宋_GB2312" w:hAnsi="仿宋_GB2312" w:eastAsia="仿宋_GB2312"/>
                <w:b w:val="0"/>
                <w:color w:val="000000"/>
                <w:sz w:val="32"/>
              </w:rPr>
              <w:t>芝罘海工集群产值</w:t>
            </w:r>
          </w:p>
        </w:tc>
        <w:tc>
          <w:tcPr>
            <w:tcW w:type="dxa" w:w="2835"/>
          </w:tcPr>
          <w:p>
            <w:pPr>
              <w:spacing w:lineRule="exact" w:line="600"/>
              <w:jc w:val="center"/>
            </w:pPr>
            <w:r/>
            <w:r>
              <w:rPr>
                <w:rFonts w:ascii="仿宋_GB2312" w:hAnsi="仿宋_GB2312" w:eastAsia="仿宋_GB2312"/>
                <w:b w:val="0"/>
                <w:color w:val="000000"/>
                <w:sz w:val="32"/>
              </w:rPr>
              <w:t>2023超120亿元</w:t>
            </w:r>
          </w:p>
        </w:tc>
        <w:tc>
          <w:tcPr>
            <w:tcW w:type="dxa" w:w="3118"/>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首台套入围产品</w:t>
            </w:r>
          </w:p>
        </w:tc>
        <w:tc>
          <w:tcPr>
            <w:tcW w:type="dxa" w:w="2835"/>
          </w:tcPr>
          <w:p>
            <w:pPr>
              <w:spacing w:lineRule="exact" w:line="600"/>
              <w:jc w:val="center"/>
            </w:pPr>
            <w:r/>
            <w:r>
              <w:rPr>
                <w:rFonts w:ascii="仿宋_GB2312" w:hAnsi="仿宋_GB2312" w:eastAsia="仿宋_GB2312"/>
                <w:b w:val="0"/>
                <w:color w:val="000000"/>
                <w:sz w:val="32"/>
              </w:rPr>
              <w:t>4项</w:t>
            </w:r>
          </w:p>
        </w:tc>
        <w:tc>
          <w:tcPr>
            <w:tcW w:type="dxa" w:w="3118"/>
          </w:tcPr>
          <w:p>
            <w:pPr>
              <w:spacing w:lineRule="exact" w:line="600"/>
              <w:jc w:val="center"/>
            </w:pPr>
            <w:r/>
            <w:r>
              <w:rPr>
                <w:rFonts w:ascii="仿宋_GB2312" w:hAnsi="仿宋_GB2312" w:eastAsia="仿宋_GB2312"/>
                <w:b w:val="0"/>
                <w:color w:val="000000"/>
                <w:sz w:val="32"/>
              </w:rPr>
              <w:t>山东省</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国家将环保装备制造业作为绿色低碳转型的重要基础与新质生产力手段。工信部等三部门《环保装备制造业高质量发展行动计划（2022—2025年）》提出，到2025年环保装备制造业产值力争达到1.3万亿元。2023年国务院新闻发布会披露，全年环保装备制造业总产值预计超过9700亿元。政策鼓励先进环保技术装备研发推广，定期发布《国家鼓励发展的重大环保技术装备目录》，冰轮环境多项产品入选节能降碳技术装备推荐目录，环境治理装备企业迎来政策红利期。</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政策/规划</w:t>
            </w:r>
          </w:p>
        </w:tc>
        <w:tc>
          <w:tcPr>
            <w:tcW w:type="dxa" w:w="3685"/>
          </w:tcPr>
          <w:p>
            <w:pPr>
              <w:spacing w:lineRule="exact" w:line="600"/>
              <w:jc w:val="center"/>
            </w:pPr>
            <w:r/>
            <w:r>
              <w:rPr>
                <w:rFonts w:ascii="黑体" w:hAnsi="黑体" w:eastAsia="黑体"/>
                <w:b/>
                <w:color w:val="000000"/>
                <w:sz w:val="32"/>
              </w:rPr>
              <w:t>核心目标</w:t>
            </w:r>
          </w:p>
        </w:tc>
        <w:tc>
          <w:tcPr>
            <w:tcW w:type="dxa" w:w="2835"/>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环保装备高质量发展行动计划</w:t>
            </w:r>
          </w:p>
        </w:tc>
        <w:tc>
          <w:tcPr>
            <w:tcW w:type="dxa" w:w="3685"/>
          </w:tcPr>
          <w:p>
            <w:pPr>
              <w:spacing w:lineRule="exact" w:line="600"/>
              <w:jc w:val="center"/>
            </w:pPr>
            <w:r/>
            <w:r>
              <w:rPr>
                <w:rFonts w:ascii="仿宋_GB2312" w:hAnsi="仿宋_GB2312" w:eastAsia="仿宋_GB2312"/>
                <w:b w:val="0"/>
                <w:color w:val="000000"/>
                <w:sz w:val="32"/>
              </w:rPr>
              <w:t>2025产值1.3万亿元</w:t>
            </w:r>
          </w:p>
        </w:tc>
        <w:tc>
          <w:tcPr>
            <w:tcW w:type="dxa" w:w="2835"/>
          </w:tcPr>
          <w:p>
            <w:pPr>
              <w:spacing w:lineRule="exact" w:line="600"/>
              <w:jc w:val="center"/>
            </w:pPr>
            <w:r/>
            <w:r>
              <w:rPr>
                <w:rFonts w:ascii="仿宋_GB2312" w:hAnsi="仿宋_GB2312" w:eastAsia="仿宋_GB2312"/>
                <w:b w:val="0"/>
                <w:color w:val="000000"/>
                <w:sz w:val="32"/>
              </w:rPr>
              <w:t>工信部等三部门</w:t>
            </w:r>
          </w:p>
        </w:tc>
      </w:tr>
      <w:tr>
        <w:tc>
          <w:tcPr>
            <w:tcW w:type="dxa" w:w="3118"/>
          </w:tcPr>
          <w:p>
            <w:pPr>
              <w:spacing w:lineRule="exact" w:line="600"/>
              <w:jc w:val="center"/>
            </w:pPr>
            <w:r/>
            <w:r>
              <w:rPr>
                <w:rFonts w:ascii="仿宋_GB2312" w:hAnsi="仿宋_GB2312" w:eastAsia="仿宋_GB2312"/>
                <w:b w:val="0"/>
                <w:color w:val="000000"/>
                <w:sz w:val="32"/>
              </w:rPr>
              <w:t>2023环保装备总产值</w:t>
            </w:r>
          </w:p>
        </w:tc>
        <w:tc>
          <w:tcPr>
            <w:tcW w:type="dxa" w:w="3685"/>
          </w:tcPr>
          <w:p>
            <w:pPr>
              <w:spacing w:lineRule="exact" w:line="600"/>
              <w:jc w:val="center"/>
            </w:pPr>
            <w:r/>
            <w:r>
              <w:rPr>
                <w:rFonts w:ascii="仿宋_GB2312" w:hAnsi="仿宋_GB2312" w:eastAsia="仿宋_GB2312"/>
                <w:b w:val="0"/>
                <w:color w:val="000000"/>
                <w:sz w:val="32"/>
              </w:rPr>
              <w:t>超9700亿元</w:t>
            </w:r>
          </w:p>
        </w:tc>
        <w:tc>
          <w:tcPr>
            <w:tcW w:type="dxa" w:w="2835"/>
          </w:tcPr>
          <w:p>
            <w:pPr>
              <w:spacing w:lineRule="exact" w:line="600"/>
              <w:jc w:val="center"/>
            </w:pPr>
            <w:r/>
            <w:r>
              <w:rPr>
                <w:rFonts w:ascii="仿宋_GB2312" w:hAnsi="仿宋_GB2312" w:eastAsia="仿宋_GB2312"/>
                <w:b w:val="0"/>
                <w:color w:val="000000"/>
                <w:sz w:val="32"/>
              </w:rPr>
              <w:t>工信部发布会</w:t>
            </w:r>
          </w:p>
        </w:tc>
      </w:tr>
      <w:tr>
        <w:tc>
          <w:tcPr>
            <w:tcW w:type="dxa" w:w="3118"/>
          </w:tcPr>
          <w:p>
            <w:pPr>
              <w:spacing w:lineRule="exact" w:line="600"/>
              <w:jc w:val="center"/>
            </w:pPr>
            <w:r/>
            <w:r>
              <w:rPr>
                <w:rFonts w:ascii="仿宋_GB2312" w:hAnsi="仿宋_GB2312" w:eastAsia="仿宋_GB2312"/>
                <w:b w:val="0"/>
                <w:color w:val="000000"/>
                <w:sz w:val="32"/>
              </w:rPr>
              <w:t>重大环保技术装备目录（2023版）</w:t>
            </w:r>
          </w:p>
        </w:tc>
        <w:tc>
          <w:tcPr>
            <w:tcW w:type="dxa" w:w="3685"/>
          </w:tcPr>
          <w:p>
            <w:pPr>
              <w:spacing w:lineRule="exact" w:line="600"/>
              <w:jc w:val="center"/>
            </w:pPr>
            <w:r/>
            <w:r>
              <w:rPr>
                <w:rFonts w:ascii="仿宋_GB2312" w:hAnsi="仿宋_GB2312" w:eastAsia="仿宋_GB2312"/>
                <w:b w:val="0"/>
                <w:color w:val="000000"/>
                <w:sz w:val="32"/>
              </w:rPr>
              <w:t>158种装备</w:t>
            </w:r>
          </w:p>
        </w:tc>
        <w:tc>
          <w:tcPr>
            <w:tcW w:type="dxa" w:w="2835"/>
          </w:tcPr>
          <w:p>
            <w:pPr>
              <w:spacing w:lineRule="exact" w:line="600"/>
              <w:jc w:val="center"/>
            </w:pPr>
            <w:r/>
            <w:r>
              <w:rPr>
                <w:rFonts w:ascii="仿宋_GB2312" w:hAnsi="仿宋_GB2312" w:eastAsia="仿宋_GB2312"/>
                <w:b w:val="0"/>
                <w:color w:val="000000"/>
                <w:sz w:val="32"/>
              </w:rPr>
              <w:t>工信部/生态环境部</w:t>
            </w:r>
          </w:p>
        </w:tc>
      </w:tr>
      <w:tr>
        <w:tc>
          <w:tcPr>
            <w:tcW w:type="dxa" w:w="3118"/>
          </w:tcPr>
          <w:p>
            <w:pPr>
              <w:spacing w:lineRule="exact" w:line="600"/>
              <w:jc w:val="center"/>
            </w:pPr>
            <w:r/>
            <w:r>
              <w:rPr>
                <w:rFonts w:ascii="仿宋_GB2312" w:hAnsi="仿宋_GB2312" w:eastAsia="仿宋_GB2312"/>
                <w:b w:val="0"/>
                <w:color w:val="000000"/>
                <w:sz w:val="32"/>
              </w:rPr>
              <w:t>芝罘制造业强市方案</w:t>
            </w:r>
          </w:p>
        </w:tc>
        <w:tc>
          <w:tcPr>
            <w:tcW w:type="dxa" w:w="3685"/>
          </w:tcPr>
          <w:p>
            <w:pPr>
              <w:spacing w:lineRule="exact" w:line="600"/>
              <w:jc w:val="center"/>
            </w:pPr>
            <w:r/>
            <w:r>
              <w:rPr>
                <w:rFonts w:ascii="仿宋_GB2312" w:hAnsi="仿宋_GB2312" w:eastAsia="仿宋_GB2312"/>
                <w:b w:val="0"/>
                <w:color w:val="000000"/>
                <w:sz w:val="32"/>
              </w:rPr>
              <w:t>支持首台套/工业互联网</w:t>
            </w:r>
          </w:p>
        </w:tc>
        <w:tc>
          <w:tcPr>
            <w:tcW w:type="dxa" w:w="2835"/>
          </w:tcPr>
          <w:p>
            <w:pPr>
              <w:spacing w:lineRule="exact" w:line="600"/>
              <w:jc w:val="center"/>
            </w:pPr>
            <w:r/>
            <w:r>
              <w:rPr>
                <w:rFonts w:ascii="仿宋_GB2312" w:hAnsi="仿宋_GB2312" w:eastAsia="仿宋_GB2312"/>
                <w:b w:val="0"/>
                <w:color w:val="000000"/>
                <w:sz w:val="32"/>
              </w:rPr>
              <w:t>芝罘区政府</w:t>
            </w:r>
          </w:p>
        </w:tc>
      </w:tr>
    </w:tbl>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芝罘区将环境控制装备作为先进制造业重要方向，以冰轮环境为链主企业，注册地位于烟台市芝罘区冰轮路1号。芝罘区深入实施制造强市战略，出台《关于推进制造业强市建设三年行动方案》，对新认定国家级技术创新示范企业最高奖励100万元，对首台（套）重大装备按首年销售额30%给予最高50万—100万元奖励，并设1000万元专项资金支持工业互联网与数字化转型。区内同步形成以中集来福士为链主、冰轮环境为骨干的高端海工装备集群（2023年产值超120亿元），环境控制装备与海工温控协同发展的产业生态逐步成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区域指标</w:t>
            </w:r>
          </w:p>
        </w:tc>
        <w:tc>
          <w:tcPr>
            <w:tcW w:type="dxa" w:w="3685"/>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链主企业</w:t>
            </w:r>
          </w:p>
        </w:tc>
        <w:tc>
          <w:tcPr>
            <w:tcW w:type="dxa" w:w="3685"/>
          </w:tcPr>
          <w:p>
            <w:pPr>
              <w:spacing w:lineRule="exact" w:line="600"/>
              <w:jc w:val="center"/>
            </w:pPr>
            <w:r/>
            <w:r>
              <w:rPr>
                <w:rFonts w:ascii="仿宋_GB2312" w:hAnsi="仿宋_GB2312" w:eastAsia="仿宋_GB2312"/>
                <w:b w:val="0"/>
                <w:color w:val="000000"/>
                <w:sz w:val="32"/>
              </w:rPr>
              <w:t>冰轮环境（芝罘区冰轮路1号）</w:t>
            </w:r>
          </w:p>
        </w:tc>
        <w:tc>
          <w:tcPr>
            <w:tcW w:type="dxa" w:w="2551"/>
          </w:tcPr>
          <w:p>
            <w:pPr>
              <w:spacing w:lineRule="exact" w:line="600"/>
              <w:jc w:val="center"/>
            </w:pPr>
            <w:r/>
            <w:r>
              <w:rPr>
                <w:rFonts w:ascii="仿宋_GB2312" w:hAnsi="仿宋_GB2312" w:eastAsia="仿宋_GB2312"/>
                <w:b w:val="0"/>
                <w:color w:val="000000"/>
                <w:sz w:val="32"/>
              </w:rPr>
              <w:t>天眼查/年报</w:t>
            </w:r>
          </w:p>
        </w:tc>
      </w:tr>
      <w:tr>
        <w:tc>
          <w:tcPr>
            <w:tcW w:type="dxa" w:w="2835"/>
          </w:tcPr>
          <w:p>
            <w:pPr>
              <w:spacing w:lineRule="exact" w:line="600"/>
              <w:jc w:val="center"/>
            </w:pPr>
            <w:r/>
            <w:r>
              <w:rPr>
                <w:rFonts w:ascii="仿宋_GB2312" w:hAnsi="仿宋_GB2312" w:eastAsia="仿宋_GB2312"/>
                <w:b w:val="0"/>
                <w:color w:val="000000"/>
                <w:sz w:val="32"/>
              </w:rPr>
              <w:t>技改奖励</w:t>
            </w:r>
          </w:p>
        </w:tc>
        <w:tc>
          <w:tcPr>
            <w:tcW w:type="dxa" w:w="3685"/>
          </w:tcPr>
          <w:p>
            <w:pPr>
              <w:spacing w:lineRule="exact" w:line="600"/>
              <w:jc w:val="center"/>
            </w:pPr>
            <w:r/>
            <w:r>
              <w:rPr>
                <w:rFonts w:ascii="仿宋_GB2312" w:hAnsi="仿宋_GB2312" w:eastAsia="仿宋_GB2312"/>
                <w:b w:val="0"/>
                <w:color w:val="000000"/>
                <w:sz w:val="32"/>
              </w:rPr>
              <w:t>首台套最高100万元</w:t>
            </w:r>
          </w:p>
        </w:tc>
        <w:tc>
          <w:tcPr>
            <w:tcW w:type="dxa" w:w="2551"/>
          </w:tcPr>
          <w:p>
            <w:pPr>
              <w:spacing w:lineRule="exact" w:line="600"/>
              <w:jc w:val="center"/>
            </w:pPr>
            <w:r/>
            <w:r>
              <w:rPr>
                <w:rFonts w:ascii="仿宋_GB2312" w:hAnsi="仿宋_GB2312" w:eastAsia="仿宋_GB2312"/>
                <w:b w:val="0"/>
                <w:color w:val="000000"/>
                <w:sz w:val="32"/>
              </w:rPr>
              <w:t>芝罘区政策</w:t>
            </w:r>
          </w:p>
        </w:tc>
      </w:tr>
      <w:tr>
        <w:tc>
          <w:tcPr>
            <w:tcW w:type="dxa" w:w="2835"/>
          </w:tcPr>
          <w:p>
            <w:pPr>
              <w:spacing w:lineRule="exact" w:line="600"/>
              <w:jc w:val="center"/>
            </w:pPr>
            <w:r/>
            <w:r>
              <w:rPr>
                <w:rFonts w:ascii="仿宋_GB2312" w:hAnsi="仿宋_GB2312" w:eastAsia="仿宋_GB2312"/>
                <w:b w:val="0"/>
                <w:color w:val="000000"/>
                <w:sz w:val="32"/>
              </w:rPr>
              <w:t>工业互联网专项资金</w:t>
            </w:r>
          </w:p>
        </w:tc>
        <w:tc>
          <w:tcPr>
            <w:tcW w:type="dxa" w:w="3685"/>
          </w:tcPr>
          <w:p>
            <w:pPr>
              <w:spacing w:lineRule="exact" w:line="600"/>
              <w:jc w:val="center"/>
            </w:pPr>
            <w:r/>
            <w:r>
              <w:rPr>
                <w:rFonts w:ascii="仿宋_GB2312" w:hAnsi="仿宋_GB2312" w:eastAsia="仿宋_GB2312"/>
                <w:b w:val="0"/>
                <w:color w:val="000000"/>
                <w:sz w:val="32"/>
              </w:rPr>
              <w:t>1000万元</w:t>
            </w:r>
          </w:p>
        </w:tc>
        <w:tc>
          <w:tcPr>
            <w:tcW w:type="dxa" w:w="2551"/>
          </w:tcPr>
          <w:p>
            <w:pPr>
              <w:spacing w:lineRule="exact" w:line="600"/>
              <w:jc w:val="center"/>
            </w:pPr>
            <w:r/>
            <w:r>
              <w:rPr>
                <w:rFonts w:ascii="仿宋_GB2312" w:hAnsi="仿宋_GB2312" w:eastAsia="仿宋_GB2312"/>
                <w:b w:val="0"/>
                <w:color w:val="000000"/>
                <w:sz w:val="32"/>
              </w:rPr>
              <w:t>芝罘区政策</w:t>
            </w:r>
          </w:p>
        </w:tc>
      </w:tr>
      <w:tr>
        <w:tc>
          <w:tcPr>
            <w:tcW w:type="dxa" w:w="2835"/>
          </w:tcPr>
          <w:p>
            <w:pPr>
              <w:spacing w:lineRule="exact" w:line="600"/>
              <w:jc w:val="center"/>
            </w:pPr>
            <w:r/>
            <w:r>
              <w:rPr>
                <w:rFonts w:ascii="仿宋_GB2312" w:hAnsi="仿宋_GB2312" w:eastAsia="仿宋_GB2312"/>
                <w:b w:val="0"/>
                <w:color w:val="000000"/>
                <w:sz w:val="32"/>
              </w:rPr>
              <w:t>相关海工集群产值</w:t>
            </w:r>
          </w:p>
        </w:tc>
        <w:tc>
          <w:tcPr>
            <w:tcW w:type="dxa" w:w="3685"/>
          </w:tcPr>
          <w:p>
            <w:pPr>
              <w:spacing w:lineRule="exact" w:line="600"/>
              <w:jc w:val="center"/>
            </w:pPr>
            <w:r/>
            <w:r>
              <w:rPr>
                <w:rFonts w:ascii="仿宋_GB2312" w:hAnsi="仿宋_GB2312" w:eastAsia="仿宋_GB2312"/>
                <w:b w:val="0"/>
                <w:color w:val="000000"/>
                <w:sz w:val="32"/>
              </w:rPr>
              <w:t>2023超120亿元</w:t>
            </w:r>
          </w:p>
        </w:tc>
        <w:tc>
          <w:tcPr>
            <w:tcW w:type="dxa" w:w="2551"/>
          </w:tcPr>
          <w:p>
            <w:pPr>
              <w:spacing w:lineRule="exact" w:line="600"/>
              <w:jc w:val="center"/>
            </w:pPr>
            <w:r/>
            <w:r>
              <w:rPr>
                <w:rFonts w:ascii="仿宋_GB2312" w:hAnsi="仿宋_GB2312" w:eastAsia="仿宋_GB2312"/>
                <w:b w:val="0"/>
                <w:color w:val="000000"/>
                <w:sz w:val="32"/>
              </w:rPr>
              <w:t>芝罘区政府</w:t>
            </w:r>
          </w:p>
        </w:tc>
      </w:tr>
    </w:tbl>
    <w:p>
      <w:pPr>
        <w:spacing w:lineRule="exact" w:line="600" w:before="120" w:after="120"/>
        <w:ind w:firstLine="420"/>
        <w:jc w:val="left"/>
      </w:pPr>
      <w:r>
        <w:rPr>
          <w:rFonts w:ascii="楷体_GB2312" w:hAnsi="楷体_GB2312" w:eastAsia="楷体_GB2312"/>
          <w:b w:val="0"/>
          <w:color w:val="000000"/>
          <w:sz w:val="32"/>
        </w:rPr>
        <w:t>（三）宏观经济与需求背景</w:t>
      </w:r>
    </w:p>
    <w:p>
      <w:pPr>
        <w:spacing w:lineRule="exact" w:line="600" w:before="0" w:after="0"/>
        <w:ind w:firstLine="420"/>
        <w:jc w:val="both"/>
      </w:pPr>
      <w:r>
        <w:rPr>
          <w:rFonts w:ascii="仿宋_GB2312" w:hAnsi="仿宋_GB2312" w:eastAsia="仿宋_GB2312"/>
          <w:b w:val="0"/>
          <w:color w:val="000000"/>
          <w:sz w:val="32"/>
        </w:rPr>
        <w:t>环境治理装备需求来自工业节能、碳捕集、石化、医药、食品冷链、数据中心、核电、轨道交通等多领域。2023年环保装备制造业规范条件企业共358家，实现产值1470亿元（占全行业15.2%），其中大气治理企业单位产值最高（7.3亿元/家），固废处理装备利润率较高（11.6%，超行业约4pct）。在「双碳」目标下，工业减碳、碳捕集封存利用（CCUS）、氢能装备等成为环境治理装备新增长极，冰轮环境碳捕集客户年降碳量三千多万吨，显示细分需求旺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行业指标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环保装备总产值</w:t>
            </w:r>
          </w:p>
        </w:tc>
        <w:tc>
          <w:tcPr>
            <w:tcW w:type="dxa" w:w="3118"/>
          </w:tcPr>
          <w:p>
            <w:pPr>
              <w:spacing w:lineRule="exact" w:line="600"/>
              <w:jc w:val="center"/>
            </w:pPr>
            <w:r/>
            <w:r>
              <w:rPr>
                <w:rFonts w:ascii="仿宋_GB2312" w:hAnsi="仿宋_GB2312" w:eastAsia="仿宋_GB2312"/>
                <w:b w:val="0"/>
                <w:color w:val="000000"/>
                <w:sz w:val="32"/>
              </w:rPr>
              <w:t>超9700亿元</w:t>
            </w:r>
          </w:p>
        </w:tc>
        <w:tc>
          <w:tcPr>
            <w:tcW w:type="dxa" w:w="3118"/>
          </w:tcPr>
          <w:p>
            <w:pPr>
              <w:spacing w:lineRule="exact" w:line="600"/>
              <w:jc w:val="center"/>
            </w:pPr>
            <w:r/>
            <w:r>
              <w:rPr>
                <w:rFonts w:ascii="仿宋_GB2312" w:hAnsi="仿宋_GB2312" w:eastAsia="仿宋_GB2312"/>
                <w:b w:val="0"/>
                <w:color w:val="000000"/>
                <w:sz w:val="32"/>
              </w:rPr>
              <w:t>全国</w:t>
            </w:r>
          </w:p>
        </w:tc>
      </w:tr>
      <w:tr>
        <w:tc>
          <w:tcPr>
            <w:tcW w:type="dxa" w:w="2835"/>
          </w:tcPr>
          <w:p>
            <w:pPr>
              <w:spacing w:lineRule="exact" w:line="600"/>
              <w:jc w:val="center"/>
            </w:pPr>
            <w:r/>
            <w:r>
              <w:rPr>
                <w:rFonts w:ascii="仿宋_GB2312" w:hAnsi="仿宋_GB2312" w:eastAsia="仿宋_GB2312"/>
                <w:b w:val="0"/>
                <w:color w:val="000000"/>
                <w:sz w:val="32"/>
              </w:rPr>
              <w:t>规范条件企业</w:t>
            </w:r>
          </w:p>
        </w:tc>
        <w:tc>
          <w:tcPr>
            <w:tcW w:type="dxa" w:w="3118"/>
          </w:tcPr>
          <w:p>
            <w:pPr>
              <w:spacing w:lineRule="exact" w:line="600"/>
              <w:jc w:val="center"/>
            </w:pPr>
            <w:r/>
            <w:r>
              <w:rPr>
                <w:rFonts w:ascii="仿宋_GB2312" w:hAnsi="仿宋_GB2312" w:eastAsia="仿宋_GB2312"/>
                <w:b w:val="0"/>
                <w:color w:val="000000"/>
                <w:sz w:val="32"/>
              </w:rPr>
              <w:t>358家</w:t>
            </w:r>
          </w:p>
        </w:tc>
        <w:tc>
          <w:tcPr>
            <w:tcW w:type="dxa" w:w="3118"/>
          </w:tcPr>
          <w:p>
            <w:pPr>
              <w:spacing w:lineRule="exact" w:line="600"/>
              <w:jc w:val="center"/>
            </w:pPr>
            <w:r/>
            <w:r>
              <w:rPr>
                <w:rFonts w:ascii="仿宋_GB2312" w:hAnsi="仿宋_GB2312" w:eastAsia="仿宋_GB2312"/>
                <w:b w:val="0"/>
                <w:color w:val="000000"/>
                <w:sz w:val="32"/>
              </w:rPr>
              <w:t>产值1470亿</w:t>
            </w:r>
          </w:p>
        </w:tc>
      </w:tr>
      <w:tr>
        <w:tc>
          <w:tcPr>
            <w:tcW w:type="dxa" w:w="2835"/>
          </w:tcPr>
          <w:p>
            <w:pPr>
              <w:spacing w:lineRule="exact" w:line="600"/>
              <w:jc w:val="center"/>
            </w:pPr>
            <w:r/>
            <w:r>
              <w:rPr>
                <w:rFonts w:ascii="仿宋_GB2312" w:hAnsi="仿宋_GB2312" w:eastAsia="仿宋_GB2312"/>
                <w:b w:val="0"/>
                <w:color w:val="000000"/>
                <w:sz w:val="32"/>
              </w:rPr>
              <w:t>大气治理单位产值</w:t>
            </w:r>
          </w:p>
        </w:tc>
        <w:tc>
          <w:tcPr>
            <w:tcW w:type="dxa" w:w="3118"/>
          </w:tcPr>
          <w:p>
            <w:pPr>
              <w:spacing w:lineRule="exact" w:line="600"/>
              <w:jc w:val="center"/>
            </w:pPr>
            <w:r/>
            <w:r>
              <w:rPr>
                <w:rFonts w:ascii="仿宋_GB2312" w:hAnsi="仿宋_GB2312" w:eastAsia="仿宋_GB2312"/>
                <w:b w:val="0"/>
                <w:color w:val="000000"/>
                <w:sz w:val="32"/>
              </w:rPr>
              <w:t>7.3亿元/家</w:t>
            </w:r>
          </w:p>
        </w:tc>
        <w:tc>
          <w:tcPr>
            <w:tcW w:type="dxa" w:w="3118"/>
          </w:tcPr>
          <w:p>
            <w:pPr>
              <w:spacing w:lineRule="exact" w:line="600"/>
              <w:jc w:val="center"/>
            </w:pPr>
            <w:r/>
            <w:r>
              <w:rPr>
                <w:rFonts w:ascii="仿宋_GB2312" w:hAnsi="仿宋_GB2312" w:eastAsia="仿宋_GB2312"/>
                <w:b w:val="0"/>
                <w:color w:val="000000"/>
                <w:sz w:val="32"/>
              </w:rPr>
              <w:t>最高</w:t>
            </w:r>
          </w:p>
        </w:tc>
      </w:tr>
      <w:tr>
        <w:tc>
          <w:tcPr>
            <w:tcW w:type="dxa" w:w="2835"/>
          </w:tcPr>
          <w:p>
            <w:pPr>
              <w:spacing w:lineRule="exact" w:line="600"/>
              <w:jc w:val="center"/>
            </w:pPr>
            <w:r/>
            <w:r>
              <w:rPr>
                <w:rFonts w:ascii="仿宋_GB2312" w:hAnsi="仿宋_GB2312" w:eastAsia="仿宋_GB2312"/>
                <w:b w:val="0"/>
                <w:color w:val="000000"/>
                <w:sz w:val="32"/>
              </w:rPr>
              <w:t>固废装备利润率</w:t>
            </w:r>
          </w:p>
        </w:tc>
        <w:tc>
          <w:tcPr>
            <w:tcW w:type="dxa" w:w="3118"/>
          </w:tcPr>
          <w:p>
            <w:pPr>
              <w:spacing w:lineRule="exact" w:line="600"/>
              <w:jc w:val="center"/>
            </w:pPr>
            <w:r/>
            <w:r>
              <w:rPr>
                <w:rFonts w:ascii="仿宋_GB2312" w:hAnsi="仿宋_GB2312" w:eastAsia="仿宋_GB2312"/>
                <w:b w:val="0"/>
                <w:color w:val="000000"/>
                <w:sz w:val="32"/>
              </w:rPr>
              <w:t>11.6%</w:t>
            </w:r>
          </w:p>
        </w:tc>
        <w:tc>
          <w:tcPr>
            <w:tcW w:type="dxa" w:w="3118"/>
          </w:tcPr>
          <w:p>
            <w:pPr>
              <w:spacing w:lineRule="exact" w:line="600"/>
              <w:jc w:val="center"/>
            </w:pPr>
            <w:r/>
            <w:r>
              <w:rPr>
                <w:rFonts w:ascii="仿宋_GB2312" w:hAnsi="仿宋_GB2312" w:eastAsia="仿宋_GB2312"/>
                <w:b w:val="0"/>
                <w:color w:val="000000"/>
                <w:sz w:val="32"/>
              </w:rPr>
              <w:t>超行业4pct</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（一）上游：零部件与材料</w:t>
      </w:r>
    </w:p>
    <w:p>
      <w:pPr>
        <w:spacing w:lineRule="exact" w:line="600" w:before="0" w:after="0"/>
        <w:ind w:firstLine="420"/>
        <w:jc w:val="both"/>
      </w:pPr>
      <w:r>
        <w:rPr>
          <w:rFonts w:ascii="仿宋_GB2312" w:hAnsi="仿宋_GB2312" w:eastAsia="仿宋_GB2312"/>
          <w:b w:val="0"/>
          <w:color w:val="000000"/>
          <w:sz w:val="32"/>
        </w:rPr>
        <w:t>环境治理装备上游包括压缩机、电机、换热器、控制系统、钢材与铜管等。冰轮环境具备压缩机等核心部件自研自制能力，其哈特福德压缩机数字工厂是全球工业制冷空调行业首座复杂离散型智能压缩机原生工厂。上游钢材、铜等价格波动影响成本，2023年公司通过规模化采购与国产替代降低依赖；前五大供应商采购金额4.34亿元，占年度采购总额8.91%，供应链集中度较低、稳定性较强。</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上游环节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核心部件</w:t>
            </w:r>
          </w:p>
        </w:tc>
        <w:tc>
          <w:tcPr>
            <w:tcW w:type="dxa" w:w="3402"/>
          </w:tcPr>
          <w:p>
            <w:pPr>
              <w:spacing w:lineRule="exact" w:line="600"/>
              <w:jc w:val="center"/>
            </w:pPr>
            <w:r/>
            <w:r>
              <w:rPr>
                <w:rFonts w:ascii="仿宋_GB2312" w:hAnsi="仿宋_GB2312" w:eastAsia="仿宋_GB2312"/>
                <w:b w:val="0"/>
                <w:color w:val="000000"/>
                <w:sz w:val="32"/>
              </w:rPr>
              <w:t>压缩机自研自制</w:t>
            </w:r>
          </w:p>
        </w:tc>
        <w:tc>
          <w:tcPr>
            <w:tcW w:type="dxa" w:w="2835"/>
          </w:tcPr>
          <w:p>
            <w:pPr>
              <w:spacing w:lineRule="exact" w:line="600"/>
              <w:jc w:val="center"/>
            </w:pPr>
            <w:r/>
            <w:r>
              <w:rPr>
                <w:rFonts w:ascii="仿宋_GB2312" w:hAnsi="仿宋_GB2312" w:eastAsia="仿宋_GB2312"/>
                <w:b w:val="0"/>
                <w:color w:val="000000"/>
                <w:sz w:val="32"/>
              </w:rPr>
              <w:t>哈特福德工厂</w:t>
            </w:r>
          </w:p>
        </w:tc>
      </w:tr>
      <w:tr>
        <w:tc>
          <w:tcPr>
            <w:tcW w:type="dxa" w:w="2835"/>
          </w:tcPr>
          <w:p>
            <w:pPr>
              <w:spacing w:lineRule="exact" w:line="600"/>
              <w:jc w:val="center"/>
            </w:pPr>
            <w:r/>
            <w:r>
              <w:rPr>
                <w:rFonts w:ascii="仿宋_GB2312" w:hAnsi="仿宋_GB2312" w:eastAsia="仿宋_GB2312"/>
                <w:b w:val="0"/>
                <w:color w:val="000000"/>
                <w:sz w:val="32"/>
              </w:rPr>
              <w:t>材料</w:t>
            </w:r>
          </w:p>
        </w:tc>
        <w:tc>
          <w:tcPr>
            <w:tcW w:type="dxa" w:w="3402"/>
          </w:tcPr>
          <w:p>
            <w:pPr>
              <w:spacing w:lineRule="exact" w:line="600"/>
              <w:jc w:val="center"/>
            </w:pPr>
            <w:r/>
            <w:r>
              <w:rPr>
                <w:rFonts w:ascii="仿宋_GB2312" w:hAnsi="仿宋_GB2312" w:eastAsia="仿宋_GB2312"/>
                <w:b w:val="0"/>
                <w:color w:val="000000"/>
                <w:sz w:val="32"/>
              </w:rPr>
              <w:t>钢材/铜管</w:t>
            </w:r>
          </w:p>
        </w:tc>
        <w:tc>
          <w:tcPr>
            <w:tcW w:type="dxa" w:w="2835"/>
          </w:tcPr>
          <w:p>
            <w:pPr>
              <w:spacing w:lineRule="exact" w:line="600"/>
              <w:jc w:val="center"/>
            </w:pPr>
            <w:r/>
            <w:r>
              <w:rPr>
                <w:rFonts w:ascii="仿宋_GB2312" w:hAnsi="仿宋_GB2312" w:eastAsia="仿宋_GB2312"/>
                <w:b w:val="0"/>
                <w:color w:val="000000"/>
                <w:sz w:val="32"/>
              </w:rPr>
              <w:t>价格敏感</w:t>
            </w:r>
          </w:p>
        </w:tc>
      </w:tr>
      <w:tr>
        <w:tc>
          <w:tcPr>
            <w:tcW w:type="dxa" w:w="2835"/>
          </w:tcPr>
          <w:p>
            <w:pPr>
              <w:spacing w:lineRule="exact" w:line="600"/>
              <w:jc w:val="center"/>
            </w:pPr>
            <w:r/>
            <w:r>
              <w:rPr>
                <w:rFonts w:ascii="仿宋_GB2312" w:hAnsi="仿宋_GB2312" w:eastAsia="仿宋_GB2312"/>
                <w:b w:val="0"/>
                <w:color w:val="000000"/>
                <w:sz w:val="32"/>
              </w:rPr>
              <w:t>前五大供应商占比</w:t>
            </w:r>
          </w:p>
        </w:tc>
        <w:tc>
          <w:tcPr>
            <w:tcW w:type="dxa" w:w="3402"/>
          </w:tcPr>
          <w:p>
            <w:pPr>
              <w:spacing w:lineRule="exact" w:line="600"/>
              <w:jc w:val="center"/>
            </w:pPr>
            <w:r/>
            <w:r>
              <w:rPr>
                <w:rFonts w:ascii="仿宋_GB2312" w:hAnsi="仿宋_GB2312" w:eastAsia="仿宋_GB2312"/>
                <w:b w:val="0"/>
                <w:color w:val="000000"/>
                <w:sz w:val="32"/>
              </w:rPr>
              <w:t>8.91%</w:t>
            </w:r>
          </w:p>
        </w:tc>
        <w:tc>
          <w:tcPr>
            <w:tcW w:type="dxa" w:w="2835"/>
          </w:tcPr>
          <w:p>
            <w:pPr>
              <w:spacing w:lineRule="exact" w:line="600"/>
              <w:jc w:val="center"/>
            </w:pPr>
            <w:r/>
            <w:r>
              <w:rPr>
                <w:rFonts w:ascii="仿宋_GB2312" w:hAnsi="仿宋_GB2312" w:eastAsia="仿宋_GB2312"/>
                <w:b w:val="0"/>
                <w:color w:val="000000"/>
                <w:sz w:val="32"/>
              </w:rPr>
              <w:t>采购分散</w:t>
            </w:r>
          </w:p>
        </w:tc>
      </w:tr>
      <w:tr>
        <w:tc>
          <w:tcPr>
            <w:tcW w:type="dxa" w:w="2835"/>
          </w:tcPr>
          <w:p>
            <w:pPr>
              <w:spacing w:lineRule="exact" w:line="600"/>
              <w:jc w:val="center"/>
            </w:pPr>
            <w:r/>
            <w:r>
              <w:rPr>
                <w:rFonts w:ascii="仿宋_GB2312" w:hAnsi="仿宋_GB2312" w:eastAsia="仿宋_GB2312"/>
                <w:b w:val="0"/>
                <w:color w:val="000000"/>
                <w:sz w:val="32"/>
              </w:rPr>
              <w:t>控制系统</w:t>
            </w:r>
          </w:p>
        </w:tc>
        <w:tc>
          <w:tcPr>
            <w:tcW w:type="dxa" w:w="3402"/>
          </w:tcPr>
          <w:p>
            <w:pPr>
              <w:spacing w:lineRule="exact" w:line="600"/>
              <w:jc w:val="center"/>
            </w:pPr>
            <w:r/>
            <w:r>
              <w:rPr>
                <w:rFonts w:ascii="仿宋_GB2312" w:hAnsi="仿宋_GB2312" w:eastAsia="仿宋_GB2312"/>
                <w:b w:val="0"/>
                <w:color w:val="000000"/>
                <w:sz w:val="32"/>
              </w:rPr>
              <w:t>自研智能控制</w:t>
            </w:r>
          </w:p>
        </w:tc>
        <w:tc>
          <w:tcPr>
            <w:tcW w:type="dxa" w:w="2835"/>
          </w:tcPr>
          <w:p>
            <w:pPr>
              <w:spacing w:lineRule="exact" w:line="600"/>
              <w:jc w:val="center"/>
            </w:pPr>
            <w:r/>
            <w:r>
              <w:rPr>
                <w:rFonts w:ascii="仿宋_GB2312" w:hAnsi="仿宋_GB2312" w:eastAsia="仿宋_GB2312"/>
                <w:b w:val="0"/>
                <w:color w:val="000000"/>
                <w:sz w:val="32"/>
              </w:rPr>
              <w:t>数字化</w:t>
            </w:r>
          </w:p>
        </w:tc>
      </w:tr>
    </w:tbl>
    <w:p>
      <w:pPr>
        <w:spacing w:lineRule="exact" w:line="600" w:before="120" w:after="120"/>
        <w:ind w:firstLine="420"/>
        <w:jc w:val="left"/>
      </w:pPr>
      <w:r>
        <w:rPr>
          <w:rFonts w:ascii="楷体_GB2312" w:hAnsi="楷体_GB2312" w:eastAsia="楷体_GB2312"/>
          <w:b w:val="0"/>
          <w:color w:val="000000"/>
          <w:sz w:val="32"/>
        </w:rPr>
        <w:t>（二）中游：装备制造与集成</w:t>
      </w:r>
    </w:p>
    <w:p>
      <w:pPr>
        <w:spacing w:lineRule="exact" w:line="600" w:before="0" w:after="0"/>
        <w:ind w:firstLine="420"/>
        <w:jc w:val="both"/>
      </w:pPr>
      <w:r>
        <w:rPr>
          <w:rFonts w:ascii="仿宋_GB2312" w:hAnsi="仿宋_GB2312" w:eastAsia="仿宋_GB2312"/>
          <w:b w:val="0"/>
          <w:color w:val="000000"/>
          <w:sz w:val="32"/>
        </w:rPr>
        <w:t>中游以装备研发制造与系统集成为主。冰轮环境主营低温冷冻设备、中央空调设备、节能制热设备、能源化工压缩/液化装备、精密铸件、智能仓储装备、氢能装备等，2023年工业产品销售收入65.28亿元（占营收87.08%），同比增长34.32%，毛利率27.18%（+3.94pct）。公司具备工艺+自动化+数字化融合的核心智能控制技术，在智能制造、智慧物流、能效驱动细分领域打造数智服务系统，形成「装备+系统集成+服务」的中游能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中游业务</w:t>
            </w:r>
          </w:p>
        </w:tc>
        <w:tc>
          <w:tcPr>
            <w:tcW w:type="dxa" w:w="3118"/>
          </w:tcPr>
          <w:p>
            <w:pPr>
              <w:spacing w:lineRule="exact" w:line="600"/>
              <w:jc w:val="center"/>
            </w:pPr>
            <w:r/>
            <w:r>
              <w:rPr>
                <w:rFonts w:ascii="黑体" w:hAnsi="黑体" w:eastAsia="黑体"/>
                <w:b/>
                <w:color w:val="000000"/>
                <w:sz w:val="32"/>
              </w:rPr>
              <w:t>2023营收</w:t>
            </w:r>
          </w:p>
        </w:tc>
        <w:tc>
          <w:tcPr>
            <w:tcW w:type="dxa" w:w="3118"/>
          </w:tcPr>
          <w:p>
            <w:pPr>
              <w:spacing w:lineRule="exact" w:line="600"/>
              <w:jc w:val="center"/>
            </w:pPr>
            <w:r/>
            <w:r>
              <w:rPr>
                <w:rFonts w:ascii="黑体" w:hAnsi="黑体" w:eastAsia="黑体"/>
                <w:b/>
                <w:color w:val="000000"/>
                <w:sz w:val="32"/>
              </w:rPr>
              <w:t>占比/毛利</w:t>
            </w:r>
          </w:p>
        </w:tc>
      </w:tr>
      <w:tr>
        <w:tc>
          <w:tcPr>
            <w:tcW w:type="dxa" w:w="2835"/>
          </w:tcPr>
          <w:p>
            <w:pPr>
              <w:spacing w:lineRule="exact" w:line="600"/>
              <w:jc w:val="center"/>
            </w:pPr>
            <w:r/>
            <w:r>
              <w:rPr>
                <w:rFonts w:ascii="仿宋_GB2312" w:hAnsi="仿宋_GB2312" w:eastAsia="仿宋_GB2312"/>
                <w:b w:val="0"/>
                <w:color w:val="000000"/>
                <w:sz w:val="32"/>
              </w:rPr>
              <w:t>工业产品销售收入</w:t>
            </w:r>
          </w:p>
        </w:tc>
        <w:tc>
          <w:tcPr>
            <w:tcW w:type="dxa" w:w="3118"/>
          </w:tcPr>
          <w:p>
            <w:pPr>
              <w:spacing w:lineRule="exact" w:line="600"/>
              <w:jc w:val="center"/>
            </w:pPr>
            <w:r/>
            <w:r>
              <w:rPr>
                <w:rFonts w:ascii="仿宋_GB2312" w:hAnsi="仿宋_GB2312" w:eastAsia="仿宋_GB2312"/>
                <w:b w:val="0"/>
                <w:color w:val="000000"/>
                <w:sz w:val="32"/>
              </w:rPr>
              <w:t>65.28亿元</w:t>
            </w:r>
          </w:p>
        </w:tc>
        <w:tc>
          <w:tcPr>
            <w:tcW w:type="dxa" w:w="3118"/>
          </w:tcPr>
          <w:p>
            <w:pPr>
              <w:spacing w:lineRule="exact" w:line="600"/>
              <w:jc w:val="center"/>
            </w:pPr>
            <w:r/>
            <w:r>
              <w:rPr>
                <w:rFonts w:ascii="仿宋_GB2312" w:hAnsi="仿宋_GB2312" w:eastAsia="仿宋_GB2312"/>
                <w:b w:val="0"/>
                <w:color w:val="000000"/>
                <w:sz w:val="32"/>
              </w:rPr>
              <w:t>87.08%/27.18%</w:t>
            </w:r>
          </w:p>
        </w:tc>
      </w:tr>
      <w:tr>
        <w:tc>
          <w:tcPr>
            <w:tcW w:type="dxa" w:w="2835"/>
          </w:tcPr>
          <w:p>
            <w:pPr>
              <w:spacing w:lineRule="exact" w:line="600"/>
              <w:jc w:val="center"/>
            </w:pPr>
            <w:r/>
            <w:r>
              <w:rPr>
                <w:rFonts w:ascii="仿宋_GB2312" w:hAnsi="仿宋_GB2312" w:eastAsia="仿宋_GB2312"/>
                <w:b w:val="0"/>
                <w:color w:val="000000"/>
                <w:sz w:val="32"/>
              </w:rPr>
              <w:t>工程施工</w:t>
            </w:r>
          </w:p>
        </w:tc>
        <w:tc>
          <w:tcPr>
            <w:tcW w:type="dxa" w:w="3118"/>
          </w:tcPr>
          <w:p>
            <w:pPr>
              <w:spacing w:lineRule="exact" w:line="600"/>
              <w:jc w:val="center"/>
            </w:pPr>
            <w:r/>
            <w:r>
              <w:rPr>
                <w:rFonts w:ascii="仿宋_GB2312" w:hAnsi="仿宋_GB2312" w:eastAsia="仿宋_GB2312"/>
                <w:b w:val="0"/>
                <w:color w:val="000000"/>
                <w:sz w:val="32"/>
              </w:rPr>
              <w:t>4.94亿元</w:t>
            </w:r>
          </w:p>
        </w:tc>
        <w:tc>
          <w:tcPr>
            <w:tcW w:type="dxa" w:w="3118"/>
          </w:tcPr>
          <w:p>
            <w:pPr>
              <w:spacing w:lineRule="exact" w:line="600"/>
              <w:jc w:val="center"/>
            </w:pPr>
            <w:r/>
            <w:r>
              <w:rPr>
                <w:rFonts w:ascii="仿宋_GB2312" w:hAnsi="仿宋_GB2312" w:eastAsia="仿宋_GB2312"/>
                <w:b w:val="0"/>
                <w:color w:val="000000"/>
                <w:sz w:val="32"/>
              </w:rPr>
              <w:t>6.59%/0.56%</w:t>
            </w:r>
          </w:p>
        </w:tc>
      </w:tr>
      <w:tr>
        <w:tc>
          <w:tcPr>
            <w:tcW w:type="dxa" w:w="2835"/>
          </w:tcPr>
          <w:p>
            <w:pPr>
              <w:spacing w:lineRule="exact" w:line="600"/>
              <w:jc w:val="center"/>
            </w:pPr>
            <w:r/>
            <w:r>
              <w:rPr>
                <w:rFonts w:ascii="仿宋_GB2312" w:hAnsi="仿宋_GB2312" w:eastAsia="仿宋_GB2312"/>
                <w:b w:val="0"/>
                <w:color w:val="000000"/>
                <w:sz w:val="32"/>
              </w:rPr>
              <w:t>其他产品</w:t>
            </w:r>
          </w:p>
        </w:tc>
        <w:tc>
          <w:tcPr>
            <w:tcW w:type="dxa" w:w="3118"/>
          </w:tcPr>
          <w:p>
            <w:pPr>
              <w:spacing w:lineRule="exact" w:line="600"/>
              <w:jc w:val="center"/>
            </w:pPr>
            <w:r/>
            <w:r>
              <w:rPr>
                <w:rFonts w:ascii="仿宋_GB2312" w:hAnsi="仿宋_GB2312" w:eastAsia="仿宋_GB2312"/>
                <w:b w:val="0"/>
                <w:color w:val="000000"/>
                <w:sz w:val="32"/>
              </w:rPr>
              <w:t>1.98亿元</w:t>
            </w:r>
          </w:p>
        </w:tc>
        <w:tc>
          <w:tcPr>
            <w:tcW w:type="dxa" w:w="3118"/>
          </w:tcPr>
          <w:p>
            <w:pPr>
              <w:spacing w:lineRule="exact" w:line="600"/>
              <w:jc w:val="center"/>
            </w:pPr>
            <w:r/>
            <w:r>
              <w:rPr>
                <w:rFonts w:ascii="仿宋_GB2312" w:hAnsi="仿宋_GB2312" w:eastAsia="仿宋_GB2312"/>
                <w:b w:val="0"/>
                <w:color w:val="000000"/>
                <w:sz w:val="32"/>
              </w:rPr>
              <w:t>2.64%</w:t>
            </w:r>
          </w:p>
        </w:tc>
      </w:tr>
      <w:tr>
        <w:tc>
          <w:tcPr>
            <w:tcW w:type="dxa" w:w="2835"/>
          </w:tcPr>
          <w:p>
            <w:pPr>
              <w:spacing w:lineRule="exact" w:line="600"/>
              <w:jc w:val="center"/>
            </w:pPr>
            <w:r/>
            <w:r>
              <w:rPr>
                <w:rFonts w:ascii="仿宋_GB2312" w:hAnsi="仿宋_GB2312" w:eastAsia="仿宋_GB2312"/>
                <w:b w:val="0"/>
                <w:color w:val="000000"/>
                <w:sz w:val="32"/>
              </w:rPr>
              <w:t>其他业务</w:t>
            </w:r>
          </w:p>
        </w:tc>
        <w:tc>
          <w:tcPr>
            <w:tcW w:type="dxa" w:w="3118"/>
          </w:tcPr>
          <w:p>
            <w:pPr>
              <w:spacing w:lineRule="exact" w:line="600"/>
              <w:jc w:val="center"/>
            </w:pPr>
            <w:r/>
            <w:r>
              <w:rPr>
                <w:rFonts w:ascii="仿宋_GB2312" w:hAnsi="仿宋_GB2312" w:eastAsia="仿宋_GB2312"/>
                <w:b w:val="0"/>
                <w:color w:val="000000"/>
                <w:sz w:val="32"/>
              </w:rPr>
              <w:t>2.76亿元</w:t>
            </w:r>
          </w:p>
        </w:tc>
        <w:tc>
          <w:tcPr>
            <w:tcW w:type="dxa" w:w="3118"/>
          </w:tcPr>
          <w:p>
            <w:pPr>
              <w:spacing w:lineRule="exact" w:line="600"/>
              <w:jc w:val="center"/>
            </w:pPr>
            <w:r/>
            <w:r>
              <w:rPr>
                <w:rFonts w:ascii="仿宋_GB2312" w:hAnsi="仿宋_GB2312" w:eastAsia="仿宋_GB2312"/>
                <w:b w:val="0"/>
                <w:color w:val="000000"/>
                <w:sz w:val="32"/>
              </w:rPr>
              <w:t>3.69%</w:t>
            </w:r>
          </w:p>
        </w:tc>
      </w:tr>
    </w:tbl>
    <w:p>
      <w:pPr>
        <w:spacing w:lineRule="exact" w:line="600" w:before="120" w:after="120"/>
        <w:ind w:firstLine="420"/>
        <w:jc w:val="left"/>
      </w:pPr>
      <w:r>
        <w:rPr>
          <w:rFonts w:ascii="楷体_GB2312" w:hAnsi="楷体_GB2312" w:eastAsia="楷体_GB2312"/>
          <w:b w:val="0"/>
          <w:color w:val="000000"/>
          <w:sz w:val="32"/>
        </w:rPr>
        <w:t>（三）下游：应用场景</w:t>
      </w:r>
    </w:p>
    <w:p>
      <w:pPr>
        <w:spacing w:lineRule="exact" w:line="600" w:before="0" w:after="0"/>
        <w:ind w:firstLine="420"/>
        <w:jc w:val="both"/>
      </w:pPr>
      <w:r>
        <w:rPr>
          <w:rFonts w:ascii="仿宋_GB2312" w:hAnsi="仿宋_GB2312" w:eastAsia="仿宋_GB2312"/>
          <w:b w:val="0"/>
          <w:color w:val="000000"/>
          <w:sz w:val="32"/>
        </w:rPr>
        <w:t>下游应用广泛。冰轮环境产品服务于食品冷链、石化、医药、能源、冰雪体育，以及大型场馆、轨道交通、核电、数据中心、学校、医院等。2023年国外收入23.28亿元（占33.01%），国内收入47.24亿元（占66.99%），海外订单、工业气体压缩/液化装备、精细化工制冷工艺段取得突破。碳捕集利用客户年降碳三千多万吨，CO2增压液化机组可将化工CO2变为食品级/工业级液态CO2，下游场景持续拓展。</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下游场景</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占比</w:t>
            </w:r>
          </w:p>
        </w:tc>
      </w:tr>
      <w:tr>
        <w:tc>
          <w:tcPr>
            <w:tcW w:type="dxa" w:w="2835"/>
          </w:tcPr>
          <w:p>
            <w:pPr>
              <w:spacing w:lineRule="exact" w:line="600"/>
              <w:jc w:val="center"/>
            </w:pPr>
            <w:r/>
            <w:r>
              <w:rPr>
                <w:rFonts w:ascii="仿宋_GB2312" w:hAnsi="仿宋_GB2312" w:eastAsia="仿宋_GB2312"/>
                <w:b w:val="0"/>
                <w:color w:val="000000"/>
                <w:sz w:val="32"/>
              </w:rPr>
              <w:t>国内收入</w:t>
            </w:r>
          </w:p>
        </w:tc>
        <w:tc>
          <w:tcPr>
            <w:tcW w:type="dxa" w:w="3402"/>
          </w:tcPr>
          <w:p>
            <w:pPr>
              <w:spacing w:lineRule="exact" w:line="600"/>
              <w:jc w:val="center"/>
            </w:pPr>
            <w:r/>
            <w:r>
              <w:rPr>
                <w:rFonts w:ascii="仿宋_GB2312" w:hAnsi="仿宋_GB2312" w:eastAsia="仿宋_GB2312"/>
                <w:b w:val="0"/>
                <w:color w:val="000000"/>
                <w:sz w:val="32"/>
              </w:rPr>
              <w:t>47.24亿元</w:t>
            </w:r>
          </w:p>
        </w:tc>
        <w:tc>
          <w:tcPr>
            <w:tcW w:type="dxa" w:w="2835"/>
          </w:tcPr>
          <w:p>
            <w:pPr>
              <w:spacing w:lineRule="exact" w:line="600"/>
              <w:jc w:val="center"/>
            </w:pPr>
            <w:r/>
            <w:r>
              <w:rPr>
                <w:rFonts w:ascii="仿宋_GB2312" w:hAnsi="仿宋_GB2312" w:eastAsia="仿宋_GB2312"/>
                <w:b w:val="0"/>
                <w:color w:val="000000"/>
                <w:sz w:val="32"/>
              </w:rPr>
              <w:t>66.99%</w:t>
            </w:r>
          </w:p>
        </w:tc>
      </w:tr>
      <w:tr>
        <w:tc>
          <w:tcPr>
            <w:tcW w:type="dxa" w:w="2835"/>
          </w:tcPr>
          <w:p>
            <w:pPr>
              <w:spacing w:lineRule="exact" w:line="600"/>
              <w:jc w:val="center"/>
            </w:pPr>
            <w:r/>
            <w:r>
              <w:rPr>
                <w:rFonts w:ascii="仿宋_GB2312" w:hAnsi="仿宋_GB2312" w:eastAsia="仿宋_GB2312"/>
                <w:b w:val="0"/>
                <w:color w:val="000000"/>
                <w:sz w:val="32"/>
              </w:rPr>
              <w:t>国外收入</w:t>
            </w:r>
          </w:p>
        </w:tc>
        <w:tc>
          <w:tcPr>
            <w:tcW w:type="dxa" w:w="3402"/>
          </w:tcPr>
          <w:p>
            <w:pPr>
              <w:spacing w:lineRule="exact" w:line="600"/>
              <w:jc w:val="center"/>
            </w:pPr>
            <w:r/>
            <w:r>
              <w:rPr>
                <w:rFonts w:ascii="仿宋_GB2312" w:hAnsi="仿宋_GB2312" w:eastAsia="仿宋_GB2312"/>
                <w:b w:val="0"/>
                <w:color w:val="000000"/>
                <w:sz w:val="32"/>
              </w:rPr>
              <w:t>23.28亿元</w:t>
            </w:r>
          </w:p>
        </w:tc>
        <w:tc>
          <w:tcPr>
            <w:tcW w:type="dxa" w:w="2835"/>
          </w:tcPr>
          <w:p>
            <w:pPr>
              <w:spacing w:lineRule="exact" w:line="600"/>
              <w:jc w:val="center"/>
            </w:pPr>
            <w:r/>
            <w:r>
              <w:rPr>
                <w:rFonts w:ascii="仿宋_GB2312" w:hAnsi="仿宋_GB2312" w:eastAsia="仿宋_GB2312"/>
                <w:b w:val="0"/>
                <w:color w:val="000000"/>
                <w:sz w:val="32"/>
              </w:rPr>
              <w:t>33.01%</w:t>
            </w:r>
          </w:p>
        </w:tc>
      </w:tr>
      <w:tr>
        <w:tc>
          <w:tcPr>
            <w:tcW w:type="dxa" w:w="2835"/>
          </w:tcPr>
          <w:p>
            <w:pPr>
              <w:spacing w:lineRule="exact" w:line="600"/>
              <w:jc w:val="center"/>
            </w:pPr>
            <w:r/>
            <w:r>
              <w:rPr>
                <w:rFonts w:ascii="仿宋_GB2312" w:hAnsi="仿宋_GB2312" w:eastAsia="仿宋_GB2312"/>
                <w:b w:val="0"/>
                <w:color w:val="000000"/>
                <w:sz w:val="32"/>
              </w:rPr>
              <w:t>食品冷链/石化/医药</w:t>
            </w:r>
          </w:p>
        </w:tc>
        <w:tc>
          <w:tcPr>
            <w:tcW w:type="dxa" w:w="3402"/>
          </w:tcPr>
          <w:p>
            <w:pPr>
              <w:spacing w:lineRule="exact" w:line="600"/>
              <w:jc w:val="center"/>
            </w:pPr>
            <w:r/>
            <w:r>
              <w:rPr>
                <w:rFonts w:ascii="仿宋_GB2312" w:hAnsi="仿宋_GB2312" w:eastAsia="仿宋_GB2312"/>
                <w:b w:val="0"/>
                <w:color w:val="000000"/>
                <w:sz w:val="32"/>
              </w:rPr>
              <w:t>多领域</w:t>
            </w:r>
          </w:p>
        </w:tc>
        <w:tc>
          <w:tcPr>
            <w:tcW w:type="dxa" w:w="2835"/>
          </w:tcPr>
          <w:p>
            <w:pPr>
              <w:spacing w:lineRule="exact" w:line="600"/>
              <w:jc w:val="center"/>
            </w:pPr>
            <w:r/>
            <w:r>
              <w:rPr>
                <w:rFonts w:ascii="仿宋_GB2312" w:hAnsi="仿宋_GB2312" w:eastAsia="仿宋_GB2312"/>
                <w:b w:val="0"/>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碳捕集</w:t>
            </w:r>
          </w:p>
        </w:tc>
        <w:tc>
          <w:tcPr>
            <w:tcW w:type="dxa" w:w="3402"/>
          </w:tcPr>
          <w:p>
            <w:pPr>
              <w:spacing w:lineRule="exact" w:line="600"/>
              <w:jc w:val="center"/>
            </w:pPr>
            <w:r/>
            <w:r>
              <w:rPr>
                <w:rFonts w:ascii="仿宋_GB2312" w:hAnsi="仿宋_GB2312" w:eastAsia="仿宋_GB2312"/>
                <w:b w:val="0"/>
                <w:color w:val="000000"/>
                <w:sz w:val="32"/>
              </w:rPr>
              <w:t>年降碳三千万吨</w:t>
            </w:r>
          </w:p>
        </w:tc>
        <w:tc>
          <w:tcPr>
            <w:tcW w:type="dxa" w:w="2835"/>
          </w:tcPr>
          <w:p>
            <w:pPr>
              <w:spacing w:lineRule="exact" w:line="600"/>
              <w:jc w:val="center"/>
            </w:pPr>
            <w:r/>
            <w:r>
              <w:rPr>
                <w:rFonts w:ascii="仿宋_GB2312" w:hAnsi="仿宋_GB2312" w:eastAsia="仿宋_GB2312"/>
                <w:b w:val="0"/>
                <w:color w:val="000000"/>
                <w:sz w:val="32"/>
              </w:rPr>
              <w:t>新兴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（一）环保装备市场供需</w:t>
      </w:r>
    </w:p>
    <w:p>
      <w:pPr>
        <w:spacing w:lineRule="exact" w:line="600" w:before="0" w:after="0"/>
        <w:ind w:firstLine="420"/>
        <w:jc w:val="both"/>
      </w:pPr>
      <w:r>
        <w:rPr>
          <w:rFonts w:ascii="仿宋_GB2312" w:hAnsi="仿宋_GB2312" w:eastAsia="仿宋_GB2312"/>
          <w:b w:val="0"/>
          <w:color w:val="000000"/>
          <w:sz w:val="32"/>
        </w:rPr>
        <w:t>2023年环保装备制造业总产值超9700亿元，较2016年6200亿元、2022年9600亿元稳步增长，距2025年1.3万亿元目标仍有空间，行业处于扩张期。环境治理装备（大气、水、固废）是主要构成，其中大气治理单位产值最高（7.3亿元/家）。碳捕集、氢能、工业热管理等新兴环境治理装备需求快速释放，冰轮环境新产品、新技术、新产业营收占比超70%，反映治理装备向高效低碳升级的供需趋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市场指标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趋势</w:t>
            </w:r>
          </w:p>
        </w:tc>
      </w:tr>
      <w:tr>
        <w:tc>
          <w:tcPr>
            <w:tcW w:type="dxa" w:w="2835"/>
          </w:tcPr>
          <w:p>
            <w:pPr>
              <w:spacing w:lineRule="exact" w:line="600"/>
              <w:jc w:val="center"/>
            </w:pPr>
            <w:r/>
            <w:r>
              <w:rPr>
                <w:rFonts w:ascii="仿宋_GB2312" w:hAnsi="仿宋_GB2312" w:eastAsia="仿宋_GB2312"/>
                <w:b w:val="0"/>
                <w:color w:val="000000"/>
                <w:sz w:val="32"/>
              </w:rPr>
              <w:t>2023总产值</w:t>
            </w:r>
          </w:p>
        </w:tc>
        <w:tc>
          <w:tcPr>
            <w:tcW w:type="dxa" w:w="3118"/>
          </w:tcPr>
          <w:p>
            <w:pPr>
              <w:spacing w:lineRule="exact" w:line="600"/>
              <w:jc w:val="center"/>
            </w:pPr>
            <w:r/>
            <w:r>
              <w:rPr>
                <w:rFonts w:ascii="仿宋_GB2312" w:hAnsi="仿宋_GB2312" w:eastAsia="仿宋_GB2312"/>
                <w:b w:val="0"/>
                <w:color w:val="000000"/>
                <w:sz w:val="32"/>
              </w:rPr>
              <w:t>超9700亿元</w:t>
            </w:r>
          </w:p>
        </w:tc>
        <w:tc>
          <w:tcPr>
            <w:tcW w:type="dxa" w:w="3118"/>
          </w:tcPr>
          <w:p>
            <w:pPr>
              <w:spacing w:lineRule="exact" w:line="600"/>
              <w:jc w:val="center"/>
            </w:pPr>
            <w:r/>
            <w:r>
              <w:rPr>
                <w:rFonts w:ascii="仿宋_GB2312" w:hAnsi="仿宋_GB2312" w:eastAsia="仿宋_GB2312"/>
                <w:b w:val="0"/>
                <w:color w:val="000000"/>
                <w:sz w:val="32"/>
              </w:rPr>
              <w:t>扩张</w:t>
            </w:r>
          </w:p>
        </w:tc>
      </w:tr>
      <w:tr>
        <w:tc>
          <w:tcPr>
            <w:tcW w:type="dxa" w:w="2835"/>
          </w:tcPr>
          <w:p>
            <w:pPr>
              <w:spacing w:lineRule="exact" w:line="600"/>
              <w:jc w:val="center"/>
            </w:pPr>
            <w:r/>
            <w:r>
              <w:rPr>
                <w:rFonts w:ascii="仿宋_GB2312" w:hAnsi="仿宋_GB2312" w:eastAsia="仿宋_GB2312"/>
                <w:b w:val="0"/>
                <w:color w:val="000000"/>
                <w:sz w:val="32"/>
              </w:rPr>
              <w:t>2022总产值</w:t>
            </w:r>
          </w:p>
        </w:tc>
        <w:tc>
          <w:tcPr>
            <w:tcW w:type="dxa" w:w="3118"/>
          </w:tcPr>
          <w:p>
            <w:pPr>
              <w:spacing w:lineRule="exact" w:line="600"/>
              <w:jc w:val="center"/>
            </w:pPr>
            <w:r/>
            <w:r>
              <w:rPr>
                <w:rFonts w:ascii="仿宋_GB2312" w:hAnsi="仿宋_GB2312" w:eastAsia="仿宋_GB2312"/>
                <w:b w:val="0"/>
                <w:color w:val="000000"/>
                <w:sz w:val="32"/>
              </w:rPr>
              <w:t>9600亿元</w:t>
            </w:r>
          </w:p>
        </w:tc>
        <w:tc>
          <w:tcPr>
            <w:tcW w:type="dxa" w:w="3118"/>
          </w:tcPr>
          <w:p>
            <w:pPr>
              <w:spacing w:lineRule="exact" w:line="600"/>
              <w:jc w:val="center"/>
            </w:pPr>
            <w:r/>
            <w:r>
              <w:rPr>
                <w:rFonts w:ascii="仿宋_GB2312" w:hAnsi="仿宋_GB2312" w:eastAsia="仿宋_GB2312"/>
                <w:b w:val="0"/>
                <w:color w:val="000000"/>
                <w:sz w:val="32"/>
              </w:rPr>
              <w:t>+</w:t>
            </w:r>
          </w:p>
        </w:tc>
      </w:tr>
      <w:tr>
        <w:tc>
          <w:tcPr>
            <w:tcW w:type="dxa" w:w="2835"/>
          </w:tcPr>
          <w:p>
            <w:pPr>
              <w:spacing w:lineRule="exact" w:line="600"/>
              <w:jc w:val="center"/>
            </w:pPr>
            <w:r/>
            <w:r>
              <w:rPr>
                <w:rFonts w:ascii="仿宋_GB2312" w:hAnsi="仿宋_GB2312" w:eastAsia="仿宋_GB2312"/>
                <w:b w:val="0"/>
                <w:color w:val="000000"/>
                <w:sz w:val="32"/>
              </w:rPr>
              <w:t>2025目标</w:t>
            </w:r>
          </w:p>
        </w:tc>
        <w:tc>
          <w:tcPr>
            <w:tcW w:type="dxa" w:w="3118"/>
          </w:tcPr>
          <w:p>
            <w:pPr>
              <w:spacing w:lineRule="exact" w:line="600"/>
              <w:jc w:val="center"/>
            </w:pPr>
            <w:r/>
            <w:r>
              <w:rPr>
                <w:rFonts w:ascii="仿宋_GB2312" w:hAnsi="仿宋_GB2312" w:eastAsia="仿宋_GB2312"/>
                <w:b w:val="0"/>
                <w:color w:val="000000"/>
                <w:sz w:val="32"/>
              </w:rPr>
              <w:t>1.3万亿元</w:t>
            </w:r>
          </w:p>
        </w:tc>
        <w:tc>
          <w:tcPr>
            <w:tcW w:type="dxa" w:w="3118"/>
          </w:tcPr>
          <w:p>
            <w:pPr>
              <w:spacing w:lineRule="exact" w:line="600"/>
              <w:jc w:val="center"/>
            </w:pPr>
            <w:r/>
            <w:r>
              <w:rPr>
                <w:rFonts w:ascii="仿宋_GB2312" w:hAnsi="仿宋_GB2312" w:eastAsia="仿宋_GB2312"/>
                <w:b w:val="0"/>
                <w:color w:val="000000"/>
                <w:sz w:val="32"/>
              </w:rPr>
              <w:t>政策</w:t>
            </w:r>
          </w:p>
        </w:tc>
      </w:tr>
      <w:tr>
        <w:tc>
          <w:tcPr>
            <w:tcW w:type="dxa" w:w="2835"/>
          </w:tcPr>
          <w:p>
            <w:pPr>
              <w:spacing w:lineRule="exact" w:line="600"/>
              <w:jc w:val="center"/>
            </w:pPr>
            <w:r/>
            <w:r>
              <w:rPr>
                <w:rFonts w:ascii="仿宋_GB2312" w:hAnsi="仿宋_GB2312" w:eastAsia="仿宋_GB2312"/>
                <w:b w:val="0"/>
                <w:color w:val="000000"/>
                <w:sz w:val="32"/>
              </w:rPr>
              <w:t>新兴业务占比</w:t>
            </w:r>
          </w:p>
        </w:tc>
        <w:tc>
          <w:tcPr>
            <w:tcW w:type="dxa" w:w="3118"/>
          </w:tcPr>
          <w:p>
            <w:pPr>
              <w:spacing w:lineRule="exact" w:line="600"/>
              <w:jc w:val="center"/>
            </w:pPr>
            <w:r/>
            <w:r>
              <w:rPr>
                <w:rFonts w:ascii="仿宋_GB2312" w:hAnsi="仿宋_GB2312" w:eastAsia="仿宋_GB2312"/>
                <w:b w:val="0"/>
                <w:color w:val="000000"/>
                <w:sz w:val="32"/>
              </w:rPr>
              <w:t>超70%</w:t>
            </w:r>
          </w:p>
        </w:tc>
        <w:tc>
          <w:tcPr>
            <w:tcW w:type="dxa" w:w="3118"/>
          </w:tcPr>
          <w:p>
            <w:pPr>
              <w:spacing w:lineRule="exact" w:line="600"/>
              <w:jc w:val="center"/>
            </w:pPr>
            <w:r/>
            <w:r>
              <w:rPr>
                <w:rFonts w:ascii="仿宋_GB2312" w:hAnsi="仿宋_GB2312" w:eastAsia="仿宋_GB2312"/>
                <w:b w:val="0"/>
                <w:color w:val="000000"/>
                <w:sz w:val="32"/>
              </w:rPr>
              <w:t>冰轮</w:t>
            </w:r>
          </w:p>
        </w:tc>
      </w:tr>
    </w:tbl>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环境治理装备行业集中度偏低、大中小企业融通。358家规范条件企业数量仅占行业2.8%但产值占15.2%，优质企业引领明显。冰轮环境作为气温控制领域系统解决方案提供商，在制冷主业、碳捕集、工业气体压缩液化等细分具备领先优势，获批国家级绿色工厂、国家级服务型制造示范企业，7项产品入选国家/省节能降碳技术装备推荐目录，子公司山东深蓝、冰轮换热、顿汉布仕获评国家级专精特新「小巨人」。前五大客户销售占比仅6.10%，客户分散、竞争壁垒来自技术而非绑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竞争维度</w:t>
            </w:r>
          </w:p>
        </w:tc>
        <w:tc>
          <w:tcPr>
            <w:tcW w:type="dxa" w:w="3402"/>
          </w:tcPr>
          <w:p>
            <w:pPr>
              <w:spacing w:lineRule="exact" w:line="600"/>
              <w:jc w:val="center"/>
            </w:pPr>
            <w:r/>
            <w:r>
              <w:rPr>
                <w:rFonts w:ascii="黑体" w:hAnsi="黑体" w:eastAsia="黑体"/>
                <w:b/>
                <w:color w:val="000000"/>
                <w:sz w:val="32"/>
              </w:rPr>
              <w:t>冰轮地位</w:t>
            </w:r>
          </w:p>
        </w:tc>
        <w:tc>
          <w:tcPr>
            <w:tcW w:type="dxa" w:w="2835"/>
          </w:tcPr>
          <w:p>
            <w:pPr>
              <w:spacing w:lineRule="exact" w:line="600"/>
              <w:jc w:val="center"/>
            </w:pPr>
            <w:r/>
            <w:r>
              <w:rPr>
                <w:rFonts w:ascii="黑体" w:hAnsi="黑体" w:eastAsia="黑体"/>
                <w:b/>
                <w:color w:val="000000"/>
                <w:sz w:val="32"/>
              </w:rPr>
              <w:t>依据</w:t>
            </w:r>
          </w:p>
        </w:tc>
      </w:tr>
      <w:tr>
        <w:tc>
          <w:tcPr>
            <w:tcW w:type="dxa" w:w="2835"/>
          </w:tcPr>
          <w:p>
            <w:pPr>
              <w:spacing w:lineRule="exact" w:line="600"/>
              <w:jc w:val="center"/>
            </w:pPr>
            <w:r/>
            <w:r>
              <w:rPr>
                <w:rFonts w:ascii="仿宋_GB2312" w:hAnsi="仿宋_GB2312" w:eastAsia="仿宋_GB2312"/>
                <w:b w:val="0"/>
                <w:color w:val="000000"/>
                <w:sz w:val="32"/>
              </w:rPr>
              <w:t>绿色工厂</w:t>
            </w:r>
          </w:p>
        </w:tc>
        <w:tc>
          <w:tcPr>
            <w:tcW w:type="dxa" w:w="3402"/>
          </w:tcPr>
          <w:p>
            <w:pPr>
              <w:spacing w:lineRule="exact" w:line="600"/>
              <w:jc w:val="center"/>
            </w:pPr>
            <w:r/>
            <w:r>
              <w:rPr>
                <w:rFonts w:ascii="仿宋_GB2312" w:hAnsi="仿宋_GB2312" w:eastAsia="仿宋_GB2312"/>
                <w:b w:val="0"/>
                <w:color w:val="000000"/>
                <w:sz w:val="32"/>
              </w:rPr>
              <w:t>国家级</w:t>
            </w:r>
          </w:p>
        </w:tc>
        <w:tc>
          <w:tcPr>
            <w:tcW w:type="dxa" w:w="2835"/>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服务型制造</w:t>
            </w:r>
          </w:p>
        </w:tc>
        <w:tc>
          <w:tcPr>
            <w:tcW w:type="dxa" w:w="3402"/>
          </w:tcPr>
          <w:p>
            <w:pPr>
              <w:spacing w:lineRule="exact" w:line="600"/>
              <w:jc w:val="center"/>
            </w:pPr>
            <w:r/>
            <w:r>
              <w:rPr>
                <w:rFonts w:ascii="仿宋_GB2312" w:hAnsi="仿宋_GB2312" w:eastAsia="仿宋_GB2312"/>
                <w:b w:val="0"/>
                <w:color w:val="000000"/>
                <w:sz w:val="32"/>
              </w:rPr>
              <w:t>国家级示范</w:t>
            </w:r>
          </w:p>
        </w:tc>
        <w:tc>
          <w:tcPr>
            <w:tcW w:type="dxa" w:w="2835"/>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专精特新</w:t>
            </w:r>
          </w:p>
        </w:tc>
        <w:tc>
          <w:tcPr>
            <w:tcW w:type="dxa" w:w="3402"/>
          </w:tcPr>
          <w:p>
            <w:pPr>
              <w:spacing w:lineRule="exact" w:line="600"/>
              <w:jc w:val="center"/>
            </w:pPr>
            <w:r/>
            <w:r>
              <w:rPr>
                <w:rFonts w:ascii="仿宋_GB2312" w:hAnsi="仿宋_GB2312" w:eastAsia="仿宋_GB2312"/>
                <w:b w:val="0"/>
                <w:color w:val="000000"/>
                <w:sz w:val="32"/>
              </w:rPr>
              <w:t>3家子公司小巨人</w:t>
            </w:r>
          </w:p>
        </w:tc>
        <w:tc>
          <w:tcPr>
            <w:tcW w:type="dxa" w:w="2835"/>
          </w:tcPr>
          <w:p>
            <w:pPr>
              <w:spacing w:lineRule="exact" w:line="600"/>
              <w:jc w:val="center"/>
            </w:pPr>
            <w:r/>
            <w:r>
              <w:rPr>
                <w:rFonts w:ascii="仿宋_GB2312" w:hAnsi="仿宋_GB2312" w:eastAsia="仿宋_GB2312"/>
                <w:b w:val="0"/>
                <w:color w:val="000000"/>
                <w:sz w:val="32"/>
              </w:rPr>
              <w:t>国家级</w:t>
            </w:r>
          </w:p>
        </w:tc>
      </w:tr>
      <w:tr>
        <w:tc>
          <w:tcPr>
            <w:tcW w:type="dxa" w:w="2835"/>
          </w:tcPr>
          <w:p>
            <w:pPr>
              <w:spacing w:lineRule="exact" w:line="600"/>
              <w:jc w:val="center"/>
            </w:pPr>
            <w:r/>
            <w:r>
              <w:rPr>
                <w:rFonts w:ascii="仿宋_GB2312" w:hAnsi="仿宋_GB2312" w:eastAsia="仿宋_GB2312"/>
                <w:b w:val="0"/>
                <w:color w:val="000000"/>
                <w:sz w:val="32"/>
              </w:rPr>
              <w:t>客户集中度</w:t>
            </w:r>
          </w:p>
        </w:tc>
        <w:tc>
          <w:tcPr>
            <w:tcW w:type="dxa" w:w="3402"/>
          </w:tcPr>
          <w:p>
            <w:pPr>
              <w:spacing w:lineRule="exact" w:line="600"/>
              <w:jc w:val="center"/>
            </w:pPr>
            <w:r/>
            <w:r>
              <w:rPr>
                <w:rFonts w:ascii="仿宋_GB2312" w:hAnsi="仿宋_GB2312" w:eastAsia="仿宋_GB2312"/>
                <w:b w:val="0"/>
                <w:color w:val="000000"/>
                <w:sz w:val="32"/>
              </w:rPr>
              <w:t>前五大6.10%</w:t>
            </w:r>
          </w:p>
        </w:tc>
        <w:tc>
          <w:tcPr>
            <w:tcW w:type="dxa" w:w="2835"/>
          </w:tcPr>
          <w:p>
            <w:pPr>
              <w:spacing w:lineRule="exact" w:line="600"/>
              <w:jc w:val="center"/>
            </w:pPr>
            <w:r/>
            <w:r>
              <w:rPr>
                <w:rFonts w:ascii="仿宋_GB2312" w:hAnsi="仿宋_GB2312" w:eastAsia="仿宋_GB2312"/>
                <w:b w:val="0"/>
                <w:color w:val="000000"/>
                <w:sz w:val="32"/>
              </w:rPr>
              <w:t>分散</w:t>
            </w:r>
          </w:p>
        </w:tc>
      </w:tr>
    </w:tbl>
    <w:p>
      <w:pPr>
        <w:spacing w:lineRule="exact" w:line="600" w:before="120" w:after="120"/>
        <w:ind w:firstLine="420"/>
        <w:jc w:val="left"/>
      </w:pPr>
      <w:r>
        <w:rPr>
          <w:rFonts w:ascii="楷体_GB2312" w:hAnsi="楷体_GB2312" w:eastAsia="楷体_GB2312"/>
          <w:b w:val="0"/>
          <w:color w:val="000000"/>
          <w:sz w:val="32"/>
        </w:rPr>
        <w:t>（三）进出口与海外</w:t>
      </w:r>
    </w:p>
    <w:p>
      <w:pPr>
        <w:spacing w:lineRule="exact" w:line="600" w:before="0" w:after="0"/>
        <w:ind w:firstLine="420"/>
        <w:jc w:val="both"/>
      </w:pPr>
      <w:r>
        <w:rPr>
          <w:rFonts w:ascii="仿宋_GB2312" w:hAnsi="仿宋_GB2312" w:eastAsia="仿宋_GB2312"/>
          <w:b w:val="0"/>
          <w:color w:val="000000"/>
          <w:sz w:val="32"/>
        </w:rPr>
        <w:t>冰轮环境海外收入23.28亿元（占33.01%），子公司海外订单、工业气体压缩/液化装备取得突破，产品出口全球。但环境治理装备整体受国际贸易与海外需求波动影响，2023年部分海外市场需求疲软。公司在碳捕集、工业热管理、氢能装备领域加快低碳能源产业转型，以核心技术拓展海外市场，降低单一区域波动风险。行业共性研判：高端治理装备（如部分监测分析仪器）仍被国外垄断，国产替代空间大。</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海外指标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国外收入</w:t>
            </w:r>
          </w:p>
        </w:tc>
        <w:tc>
          <w:tcPr>
            <w:tcW w:type="dxa" w:w="3118"/>
          </w:tcPr>
          <w:p>
            <w:pPr>
              <w:spacing w:lineRule="exact" w:line="600"/>
              <w:jc w:val="center"/>
            </w:pPr>
            <w:r/>
            <w:r>
              <w:rPr>
                <w:rFonts w:ascii="仿宋_GB2312" w:hAnsi="仿宋_GB2312" w:eastAsia="仿宋_GB2312"/>
                <w:b w:val="0"/>
                <w:color w:val="000000"/>
                <w:sz w:val="32"/>
              </w:rPr>
              <w:t>23.28亿元</w:t>
            </w:r>
          </w:p>
        </w:tc>
        <w:tc>
          <w:tcPr>
            <w:tcW w:type="dxa" w:w="3118"/>
          </w:tcPr>
          <w:p>
            <w:pPr>
              <w:spacing w:lineRule="exact" w:line="600"/>
              <w:jc w:val="center"/>
            </w:pPr>
            <w:r/>
            <w:r>
              <w:rPr>
                <w:rFonts w:ascii="仿宋_GB2312" w:hAnsi="仿宋_GB2312" w:eastAsia="仿宋_GB2312"/>
                <w:b w:val="0"/>
                <w:color w:val="000000"/>
                <w:sz w:val="32"/>
              </w:rPr>
              <w:t>占33.01%</w:t>
            </w:r>
          </w:p>
        </w:tc>
      </w:tr>
      <w:tr>
        <w:tc>
          <w:tcPr>
            <w:tcW w:type="dxa" w:w="2835"/>
          </w:tcPr>
          <w:p>
            <w:pPr>
              <w:spacing w:lineRule="exact" w:line="600"/>
              <w:jc w:val="center"/>
            </w:pPr>
            <w:r/>
            <w:r>
              <w:rPr>
                <w:rFonts w:ascii="仿宋_GB2312" w:hAnsi="仿宋_GB2312" w:eastAsia="仿宋_GB2312"/>
                <w:b w:val="0"/>
                <w:color w:val="000000"/>
                <w:sz w:val="32"/>
              </w:rPr>
              <w:t>海外突破</w:t>
            </w:r>
          </w:p>
        </w:tc>
        <w:tc>
          <w:tcPr>
            <w:tcW w:type="dxa" w:w="3118"/>
          </w:tcPr>
          <w:p>
            <w:pPr>
              <w:spacing w:lineRule="exact" w:line="600"/>
              <w:jc w:val="center"/>
            </w:pPr>
            <w:r/>
            <w:r>
              <w:rPr>
                <w:rFonts w:ascii="仿宋_GB2312" w:hAnsi="仿宋_GB2312" w:eastAsia="仿宋_GB2312"/>
                <w:b w:val="0"/>
                <w:color w:val="000000"/>
                <w:sz w:val="32"/>
              </w:rPr>
              <w:t>气体压缩/液化</w:t>
            </w:r>
          </w:p>
        </w:tc>
        <w:tc>
          <w:tcPr>
            <w:tcW w:type="dxa" w:w="3118"/>
          </w:tcPr>
          <w:p>
            <w:pPr>
              <w:spacing w:lineRule="exact" w:line="600"/>
              <w:jc w:val="center"/>
            </w:pPr>
            <w:r/>
            <w:r>
              <w:rPr>
                <w:rFonts w:ascii="仿宋_GB2312" w:hAnsi="仿宋_GB2312" w:eastAsia="仿宋_GB2312"/>
                <w:b w:val="0"/>
                <w:color w:val="000000"/>
                <w:sz w:val="32"/>
              </w:rPr>
              <w:t>订单</w:t>
            </w:r>
          </w:p>
        </w:tc>
      </w:tr>
      <w:tr>
        <w:tc>
          <w:tcPr>
            <w:tcW w:type="dxa" w:w="2835"/>
          </w:tcPr>
          <w:p>
            <w:pPr>
              <w:spacing w:lineRule="exact" w:line="600"/>
              <w:jc w:val="center"/>
            </w:pPr>
            <w:r/>
            <w:r>
              <w:rPr>
                <w:rFonts w:ascii="仿宋_GB2312" w:hAnsi="仿宋_GB2312" w:eastAsia="仿宋_GB2312"/>
                <w:b w:val="0"/>
                <w:color w:val="000000"/>
                <w:sz w:val="32"/>
              </w:rPr>
              <w:t>高端进口替代</w:t>
            </w:r>
          </w:p>
        </w:tc>
        <w:tc>
          <w:tcPr>
            <w:tcW w:type="dxa" w:w="3118"/>
          </w:tcPr>
          <w:p>
            <w:pPr>
              <w:spacing w:lineRule="exact" w:line="600"/>
              <w:jc w:val="center"/>
            </w:pPr>
            <w:r/>
            <w:r>
              <w:rPr>
                <w:rFonts w:ascii="仿宋_GB2312" w:hAnsi="仿宋_GB2312" w:eastAsia="仿宋_GB2312"/>
                <w:b w:val="0"/>
                <w:color w:val="000000"/>
                <w:sz w:val="32"/>
              </w:rPr>
              <w:t>空间大</w:t>
            </w:r>
          </w:p>
        </w:tc>
        <w:tc>
          <w:tcPr>
            <w:tcW w:type="dxa" w:w="3118"/>
          </w:tcPr>
          <w:p>
            <w:pPr>
              <w:spacing w:lineRule="exact" w:line="600"/>
              <w:jc w:val="center"/>
            </w:pPr>
            <w:r/>
            <w:r>
              <w:rPr>
                <w:rFonts w:ascii="仿宋_GB2312" w:hAnsi="仿宋_GB2312" w:eastAsia="仿宋_GB2312"/>
                <w:b w:val="0"/>
                <w:color w:val="000000"/>
                <w:sz w:val="32"/>
              </w:rPr>
              <w:t>行业研判</w:t>
            </w:r>
          </w:p>
        </w:tc>
      </w:tr>
      <w:tr>
        <w:tc>
          <w:tcPr>
            <w:tcW w:type="dxa" w:w="2835"/>
          </w:tcPr>
          <w:p>
            <w:pPr>
              <w:spacing w:lineRule="exact" w:line="600"/>
              <w:jc w:val="center"/>
            </w:pPr>
            <w:r/>
            <w:r>
              <w:rPr>
                <w:rFonts w:ascii="仿宋_GB2312" w:hAnsi="仿宋_GB2312" w:eastAsia="仿宋_GB2312"/>
                <w:b w:val="0"/>
                <w:color w:val="000000"/>
                <w:sz w:val="32"/>
              </w:rPr>
              <w:t>风险</w:t>
            </w:r>
          </w:p>
        </w:tc>
        <w:tc>
          <w:tcPr>
            <w:tcW w:type="dxa" w:w="3118"/>
          </w:tcPr>
          <w:p>
            <w:pPr>
              <w:spacing w:lineRule="exact" w:line="600"/>
              <w:jc w:val="center"/>
            </w:pPr>
            <w:r/>
            <w:r>
              <w:rPr>
                <w:rFonts w:ascii="仿宋_GB2312" w:hAnsi="仿宋_GB2312" w:eastAsia="仿宋_GB2312"/>
                <w:b w:val="0"/>
                <w:color w:val="000000"/>
                <w:sz w:val="32"/>
              </w:rPr>
              <w:t>需求波动</w:t>
            </w:r>
          </w:p>
        </w:tc>
        <w:tc>
          <w:tcPr>
            <w:tcW w:type="dxa" w:w="3118"/>
          </w:tcPr>
          <w:p>
            <w:pPr>
              <w:spacing w:lineRule="exact" w:line="600"/>
              <w:jc w:val="center"/>
            </w:pPr>
            <w:r/>
            <w:r>
              <w:rPr>
                <w:rFonts w:ascii="仿宋_GB2312" w:hAnsi="仿宋_GB2312" w:eastAsia="仿宋_GB2312"/>
                <w:b w:val="0"/>
                <w:color w:val="000000"/>
                <w:sz w:val="32"/>
              </w:rPr>
              <w:t>贸易</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w:t>
      </w:r>
    </w:p>
    <w:p>
      <w:pPr>
        <w:spacing w:lineRule="exact" w:line="600" w:before="0" w:after="0"/>
        <w:ind w:firstLine="420"/>
        <w:jc w:val="both"/>
      </w:pPr>
      <w:r>
        <w:rPr>
          <w:rFonts w:ascii="仿宋_GB2312" w:hAnsi="仿宋_GB2312" w:eastAsia="仿宋_GB2312"/>
          <w:b w:val="0"/>
          <w:color w:val="000000"/>
          <w:sz w:val="32"/>
        </w:rPr>
        <w:t>芝罘区环境控制装备集群以冰轮环境为链主，注册地芝罘区冰轮路1号，周边集聚压缩机、换热、精密铸件等配套企业。「冰轮芝罘冷热装备智能制造工业园」入选山东省级数字经济园区（示范型园区）。芝罘区在制造业强市战略下，以「链长领建、链办推动、链主牵引」机制推进高端装备集群，区内高端海工装备集群2023年产值超120亿元、增速超96%，环境控制装备与海工温控协同，形成「龙头+骨干+配套」的产业生态。</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集聚指标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链主</w:t>
            </w:r>
          </w:p>
        </w:tc>
        <w:tc>
          <w:tcPr>
            <w:tcW w:type="dxa" w:w="3402"/>
          </w:tcPr>
          <w:p>
            <w:pPr>
              <w:spacing w:lineRule="exact" w:line="600"/>
              <w:jc w:val="center"/>
            </w:pPr>
            <w:r/>
            <w:r>
              <w:rPr>
                <w:rFonts w:ascii="仿宋_GB2312" w:hAnsi="仿宋_GB2312" w:eastAsia="仿宋_GB2312"/>
                <w:b w:val="0"/>
                <w:color w:val="000000"/>
                <w:sz w:val="32"/>
              </w:rPr>
              <w:t>冰轮环境</w:t>
            </w:r>
          </w:p>
        </w:tc>
        <w:tc>
          <w:tcPr>
            <w:tcW w:type="dxa" w:w="2835"/>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数字经济园区</w:t>
            </w:r>
          </w:p>
        </w:tc>
        <w:tc>
          <w:tcPr>
            <w:tcW w:type="dxa" w:w="3402"/>
          </w:tcPr>
          <w:p>
            <w:pPr>
              <w:spacing w:lineRule="exact" w:line="600"/>
              <w:jc w:val="center"/>
            </w:pPr>
            <w:r/>
            <w:r>
              <w:rPr>
                <w:rFonts w:ascii="仿宋_GB2312" w:hAnsi="仿宋_GB2312" w:eastAsia="仿宋_GB2312"/>
                <w:b w:val="0"/>
                <w:color w:val="000000"/>
                <w:sz w:val="32"/>
              </w:rPr>
              <w:t>省级示范型</w:t>
            </w:r>
          </w:p>
        </w:tc>
        <w:tc>
          <w:tcPr>
            <w:tcW w:type="dxa" w:w="2835"/>
          </w:tcPr>
          <w:p>
            <w:pPr>
              <w:spacing w:lineRule="exact" w:line="600"/>
              <w:jc w:val="center"/>
            </w:pPr>
            <w:r/>
            <w:r>
              <w:rPr>
                <w:rFonts w:ascii="仿宋_GB2312" w:hAnsi="仿宋_GB2312" w:eastAsia="仿宋_GB2312"/>
                <w:b w:val="0"/>
                <w:color w:val="000000"/>
                <w:sz w:val="32"/>
              </w:rPr>
              <w:t>山东省级</w:t>
            </w:r>
          </w:p>
        </w:tc>
      </w:tr>
      <w:tr>
        <w:tc>
          <w:tcPr>
            <w:tcW w:type="dxa" w:w="2835"/>
          </w:tcPr>
          <w:p>
            <w:pPr>
              <w:spacing w:lineRule="exact" w:line="600"/>
              <w:jc w:val="center"/>
            </w:pPr>
            <w:r/>
            <w:r>
              <w:rPr>
                <w:rFonts w:ascii="仿宋_GB2312" w:hAnsi="仿宋_GB2312" w:eastAsia="仿宋_GB2312"/>
                <w:b w:val="0"/>
                <w:color w:val="000000"/>
                <w:sz w:val="32"/>
              </w:rPr>
              <w:t>海工集群产值</w:t>
            </w:r>
          </w:p>
        </w:tc>
        <w:tc>
          <w:tcPr>
            <w:tcW w:type="dxa" w:w="3402"/>
          </w:tcPr>
          <w:p>
            <w:pPr>
              <w:spacing w:lineRule="exact" w:line="600"/>
              <w:jc w:val="center"/>
            </w:pPr>
            <w:r/>
            <w:r>
              <w:rPr>
                <w:rFonts w:ascii="仿宋_GB2312" w:hAnsi="仿宋_GB2312" w:eastAsia="仿宋_GB2312"/>
                <w:b w:val="0"/>
                <w:color w:val="000000"/>
                <w:sz w:val="32"/>
              </w:rPr>
              <w:t>2023超120亿</w:t>
            </w:r>
          </w:p>
        </w:tc>
        <w:tc>
          <w:tcPr>
            <w:tcW w:type="dxa" w:w="2835"/>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机制</w:t>
            </w:r>
          </w:p>
        </w:tc>
        <w:tc>
          <w:tcPr>
            <w:tcW w:type="dxa" w:w="3402"/>
          </w:tcPr>
          <w:p>
            <w:pPr>
              <w:spacing w:lineRule="exact" w:line="600"/>
              <w:jc w:val="center"/>
            </w:pPr>
            <w:r/>
            <w:r>
              <w:rPr>
                <w:rFonts w:ascii="仿宋_GB2312" w:hAnsi="仿宋_GB2312" w:eastAsia="仿宋_GB2312"/>
                <w:b w:val="0"/>
                <w:color w:val="000000"/>
                <w:sz w:val="32"/>
              </w:rPr>
              <w:t>链长/链办/链主</w:t>
            </w:r>
          </w:p>
        </w:tc>
        <w:tc>
          <w:tcPr>
            <w:tcW w:type="dxa" w:w="2835"/>
          </w:tcPr>
          <w:p>
            <w:pPr>
              <w:spacing w:lineRule="exact" w:line="600"/>
              <w:jc w:val="center"/>
            </w:pPr>
            <w:r/>
            <w:r>
              <w:rPr>
                <w:rFonts w:ascii="仿宋_GB2312" w:hAnsi="仿宋_GB2312" w:eastAsia="仿宋_GB2312"/>
                <w:b w:val="0"/>
                <w:color w:val="000000"/>
                <w:sz w:val="32"/>
              </w:rPr>
              <w:t>芝罘区</w:t>
            </w:r>
          </w:p>
        </w:tc>
      </w:tr>
    </w:tbl>
    <w:p>
      <w:pPr>
        <w:spacing w:lineRule="exact" w:line="600" w:before="120" w:after="120"/>
        <w:ind w:firstLine="420"/>
        <w:jc w:val="left"/>
      </w:pPr>
      <w:r>
        <w:rPr>
          <w:rFonts w:ascii="楷体_GB2312" w:hAnsi="楷体_GB2312" w:eastAsia="楷体_GB2312"/>
          <w:b w:val="0"/>
          <w:color w:val="000000"/>
          <w:sz w:val="32"/>
        </w:rPr>
        <w:t>（二）链主企业能力</w:t>
      </w:r>
    </w:p>
    <w:p>
      <w:pPr>
        <w:spacing w:lineRule="exact" w:line="600" w:before="0" w:after="0"/>
        <w:ind w:firstLine="420"/>
        <w:jc w:val="both"/>
      </w:pPr>
      <w:r>
        <w:rPr>
          <w:rFonts w:ascii="仿宋_GB2312" w:hAnsi="仿宋_GB2312" w:eastAsia="仿宋_GB2312"/>
          <w:b w:val="0"/>
          <w:color w:val="000000"/>
          <w:sz w:val="32"/>
        </w:rPr>
        <w:t>冰轮环境2023年营收74.95亿元（+22.86%）、归母净利润6.55亿元（+53.73%）、扣非5.66亿元（+50.49%），员工4489人，人均创收166.99万元、人均创利14.58万元。公司获2023年度山东省装备制造业科技创新奖一等奖、山东省高质量发展企业奖励；「零散天然气液化用撬装式混合制冷剂喷油螺杆压缩机组」等4项产品入围2023年度山东省首台（套）技术装备及关键核心零部件名单。链主带动压缩机、换热、铸件等配套协同发展。</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链主指标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营业收入</w:t>
            </w:r>
          </w:p>
        </w:tc>
        <w:tc>
          <w:tcPr>
            <w:tcW w:type="dxa" w:w="3118"/>
          </w:tcPr>
          <w:p>
            <w:pPr>
              <w:spacing w:lineRule="exact" w:line="600"/>
              <w:jc w:val="center"/>
            </w:pPr>
            <w:r/>
            <w:r>
              <w:rPr>
                <w:rFonts w:ascii="仿宋_GB2312" w:hAnsi="仿宋_GB2312" w:eastAsia="仿宋_GB2312"/>
                <w:b w:val="0"/>
                <w:color w:val="000000"/>
                <w:sz w:val="32"/>
              </w:rPr>
              <w:t>74.95亿元</w:t>
            </w:r>
          </w:p>
        </w:tc>
        <w:tc>
          <w:tcPr>
            <w:tcW w:type="dxa" w:w="3118"/>
          </w:tcPr>
          <w:p>
            <w:pPr>
              <w:spacing w:lineRule="exact" w:line="600"/>
              <w:jc w:val="center"/>
            </w:pPr>
            <w:r/>
            <w:r>
              <w:rPr>
                <w:rFonts w:ascii="仿宋_GB2312" w:hAnsi="仿宋_GB2312" w:eastAsia="仿宋_GB2312"/>
                <w:b w:val="0"/>
                <w:color w:val="000000"/>
                <w:sz w:val="32"/>
              </w:rPr>
              <w:t>+22.86%</w:t>
            </w:r>
          </w:p>
        </w:tc>
      </w:tr>
      <w:tr>
        <w:tc>
          <w:tcPr>
            <w:tcW w:type="dxa" w:w="2835"/>
          </w:tcPr>
          <w:p>
            <w:pPr>
              <w:spacing w:lineRule="exact" w:line="600"/>
              <w:jc w:val="center"/>
            </w:pPr>
            <w:r/>
            <w:r>
              <w:rPr>
                <w:rFonts w:ascii="仿宋_GB2312" w:hAnsi="仿宋_GB2312" w:eastAsia="仿宋_GB2312"/>
                <w:b w:val="0"/>
                <w:color w:val="000000"/>
                <w:sz w:val="32"/>
              </w:rPr>
              <w:t>归母净利润</w:t>
            </w:r>
          </w:p>
        </w:tc>
        <w:tc>
          <w:tcPr>
            <w:tcW w:type="dxa" w:w="3118"/>
          </w:tcPr>
          <w:p>
            <w:pPr>
              <w:spacing w:lineRule="exact" w:line="600"/>
              <w:jc w:val="center"/>
            </w:pPr>
            <w:r/>
            <w:r>
              <w:rPr>
                <w:rFonts w:ascii="仿宋_GB2312" w:hAnsi="仿宋_GB2312" w:eastAsia="仿宋_GB2312"/>
                <w:b w:val="0"/>
                <w:color w:val="000000"/>
                <w:sz w:val="32"/>
              </w:rPr>
              <w:t>6.55亿元</w:t>
            </w:r>
          </w:p>
        </w:tc>
        <w:tc>
          <w:tcPr>
            <w:tcW w:type="dxa" w:w="3118"/>
          </w:tcPr>
          <w:p>
            <w:pPr>
              <w:spacing w:lineRule="exact" w:line="600"/>
              <w:jc w:val="center"/>
            </w:pPr>
            <w:r/>
            <w:r>
              <w:rPr>
                <w:rFonts w:ascii="仿宋_GB2312" w:hAnsi="仿宋_GB2312" w:eastAsia="仿宋_GB2312"/>
                <w:b w:val="0"/>
                <w:color w:val="000000"/>
                <w:sz w:val="32"/>
              </w:rPr>
              <w:t>+53.73%</w:t>
            </w:r>
          </w:p>
        </w:tc>
      </w:tr>
      <w:tr>
        <w:tc>
          <w:tcPr>
            <w:tcW w:type="dxa" w:w="2835"/>
          </w:tcPr>
          <w:p>
            <w:pPr>
              <w:spacing w:lineRule="exact" w:line="600"/>
              <w:jc w:val="center"/>
            </w:pPr>
            <w:r/>
            <w:r>
              <w:rPr>
                <w:rFonts w:ascii="仿宋_GB2312" w:hAnsi="仿宋_GB2312" w:eastAsia="仿宋_GB2312"/>
                <w:b w:val="0"/>
                <w:color w:val="000000"/>
                <w:sz w:val="32"/>
              </w:rPr>
              <w:t>员工数</w:t>
            </w:r>
          </w:p>
        </w:tc>
        <w:tc>
          <w:tcPr>
            <w:tcW w:type="dxa" w:w="3118"/>
          </w:tcPr>
          <w:p>
            <w:pPr>
              <w:spacing w:lineRule="exact" w:line="600"/>
              <w:jc w:val="center"/>
            </w:pPr>
            <w:r/>
            <w:r>
              <w:rPr>
                <w:rFonts w:ascii="仿宋_GB2312" w:hAnsi="仿宋_GB2312" w:eastAsia="仿宋_GB2312"/>
                <w:b w:val="0"/>
                <w:color w:val="000000"/>
                <w:sz w:val="32"/>
              </w:rPr>
              <w:t>4489人</w:t>
            </w:r>
          </w:p>
        </w:tc>
        <w:tc>
          <w:tcPr>
            <w:tcW w:type="dxa" w:w="3118"/>
          </w:tcPr>
          <w:p>
            <w:pPr>
              <w:spacing w:lineRule="exact" w:line="600"/>
              <w:jc w:val="center"/>
            </w:pPr>
            <w:r/>
            <w:r>
              <w:rPr>
                <w:rFonts w:ascii="仿宋_GB2312" w:hAnsi="仿宋_GB2312" w:eastAsia="仿宋_GB2312"/>
                <w:b w:val="0"/>
                <w:color w:val="000000"/>
                <w:sz w:val="32"/>
              </w:rPr>
              <w:t>人均创收167万</w:t>
            </w:r>
          </w:p>
        </w:tc>
      </w:tr>
      <w:tr>
        <w:tc>
          <w:tcPr>
            <w:tcW w:type="dxa" w:w="2835"/>
          </w:tcPr>
          <w:p>
            <w:pPr>
              <w:spacing w:lineRule="exact" w:line="600"/>
              <w:jc w:val="center"/>
            </w:pPr>
            <w:r/>
            <w:r>
              <w:rPr>
                <w:rFonts w:ascii="仿宋_GB2312" w:hAnsi="仿宋_GB2312" w:eastAsia="仿宋_GB2312"/>
                <w:b w:val="0"/>
                <w:color w:val="000000"/>
                <w:sz w:val="32"/>
              </w:rPr>
              <w:t>首台套产品</w:t>
            </w:r>
          </w:p>
        </w:tc>
        <w:tc>
          <w:tcPr>
            <w:tcW w:type="dxa" w:w="3118"/>
          </w:tcPr>
          <w:p>
            <w:pPr>
              <w:spacing w:lineRule="exact" w:line="600"/>
              <w:jc w:val="center"/>
            </w:pPr>
            <w:r/>
            <w:r>
              <w:rPr>
                <w:rFonts w:ascii="仿宋_GB2312" w:hAnsi="仿宋_GB2312" w:eastAsia="仿宋_GB2312"/>
                <w:b w:val="0"/>
                <w:color w:val="000000"/>
                <w:sz w:val="32"/>
              </w:rPr>
              <w:t>4项入围</w:t>
            </w:r>
          </w:p>
        </w:tc>
        <w:tc>
          <w:tcPr>
            <w:tcW w:type="dxa" w:w="3118"/>
          </w:tcPr>
          <w:p>
            <w:pPr>
              <w:spacing w:lineRule="exact" w:line="600"/>
              <w:jc w:val="center"/>
            </w:pPr>
            <w:r/>
            <w:r>
              <w:rPr>
                <w:rFonts w:ascii="仿宋_GB2312" w:hAnsi="仿宋_GB2312" w:eastAsia="仿宋_GB2312"/>
                <w:b w:val="0"/>
                <w:color w:val="000000"/>
                <w:sz w:val="32"/>
              </w:rPr>
              <w:t>省级</w:t>
            </w:r>
          </w:p>
        </w:tc>
      </w:tr>
    </w:tbl>
    <w:p>
      <w:pPr>
        <w:spacing w:lineRule="exact" w:line="600" w:before="120" w:after="120"/>
        <w:ind w:firstLine="420"/>
        <w:jc w:val="left"/>
      </w:pPr>
      <w:r>
        <w:rPr>
          <w:rFonts w:ascii="楷体_GB2312" w:hAnsi="楷体_GB2312" w:eastAsia="楷体_GB2312"/>
          <w:b w:val="0"/>
          <w:color w:val="000000"/>
          <w:sz w:val="32"/>
        </w:rPr>
        <w:t>（三）配套与专精特新</w:t>
      </w:r>
    </w:p>
    <w:p>
      <w:pPr>
        <w:spacing w:lineRule="exact" w:line="600" w:before="0" w:after="0"/>
        <w:ind w:firstLine="420"/>
        <w:jc w:val="both"/>
      </w:pPr>
      <w:r>
        <w:rPr>
          <w:rFonts w:ascii="仿宋_GB2312" w:hAnsi="仿宋_GB2312" w:eastAsia="仿宋_GB2312"/>
          <w:b w:val="0"/>
          <w:color w:val="000000"/>
          <w:sz w:val="32"/>
        </w:rPr>
        <w:t>集群配套以冰轮体系内子公司与本地装备企业为主。山东深蓝机器、烟台冰轮换热、顿汉布仕（中国）工业均获评国家级专精特新「小巨人」；宏远等8家企业获批省数字经济「晨星工厂」入库培育。芝罘区拥有国家级制造业单项冠军、专精特新小巨人等优质企业梯队。诚佑环保等本地环保治理装备企业作为集群骨干参与区域环保工程，但公开财务数据有限（标注「待核」），以集群共性研判其提供治理装备与工程服务。</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配套企业</w:t>
            </w:r>
          </w:p>
        </w:tc>
        <w:tc>
          <w:tcPr>
            <w:tcW w:type="dxa" w:w="3118"/>
          </w:tcPr>
          <w:p>
            <w:pPr>
              <w:spacing w:lineRule="exact" w:line="600"/>
              <w:jc w:val="center"/>
            </w:pPr>
            <w:r/>
            <w:r>
              <w:rPr>
                <w:rFonts w:ascii="黑体" w:hAnsi="黑体" w:eastAsia="黑体"/>
                <w:b/>
                <w:color w:val="000000"/>
                <w:sz w:val="32"/>
              </w:rPr>
              <w:t>资质</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山东深蓝/冰轮换热/顿汉布仕</w:t>
            </w:r>
          </w:p>
        </w:tc>
        <w:tc>
          <w:tcPr>
            <w:tcW w:type="dxa" w:w="3118"/>
          </w:tcPr>
          <w:p>
            <w:pPr>
              <w:spacing w:lineRule="exact" w:line="600"/>
              <w:jc w:val="center"/>
            </w:pPr>
            <w:r/>
            <w:r>
              <w:rPr>
                <w:rFonts w:ascii="仿宋_GB2312" w:hAnsi="仿宋_GB2312" w:eastAsia="仿宋_GB2312"/>
                <w:b w:val="0"/>
                <w:color w:val="000000"/>
                <w:sz w:val="32"/>
              </w:rPr>
              <w:t>国家级小巨人</w:t>
            </w:r>
          </w:p>
        </w:tc>
        <w:tc>
          <w:tcPr>
            <w:tcW w:type="dxa" w:w="3118"/>
          </w:tcPr>
          <w:p>
            <w:pPr>
              <w:spacing w:lineRule="exact" w:line="600"/>
              <w:jc w:val="center"/>
            </w:pPr>
            <w:r/>
            <w:r>
              <w:rPr>
                <w:rFonts w:ascii="仿宋_GB2312" w:hAnsi="仿宋_GB2312" w:eastAsia="仿宋_GB2312"/>
                <w:b w:val="0"/>
                <w:color w:val="000000"/>
                <w:sz w:val="32"/>
              </w:rPr>
              <w:t>冰轮子</w:t>
            </w:r>
          </w:p>
        </w:tc>
      </w:tr>
      <w:tr>
        <w:tc>
          <w:tcPr>
            <w:tcW w:type="dxa" w:w="2835"/>
          </w:tcPr>
          <w:p>
            <w:pPr>
              <w:spacing w:lineRule="exact" w:line="600"/>
              <w:jc w:val="center"/>
            </w:pPr>
            <w:r/>
            <w:r>
              <w:rPr>
                <w:rFonts w:ascii="仿宋_GB2312" w:hAnsi="仿宋_GB2312" w:eastAsia="仿宋_GB2312"/>
                <w:b w:val="0"/>
                <w:color w:val="000000"/>
                <w:sz w:val="32"/>
              </w:rPr>
              <w:t>宏远等8家</w:t>
            </w:r>
          </w:p>
        </w:tc>
        <w:tc>
          <w:tcPr>
            <w:tcW w:type="dxa" w:w="3118"/>
          </w:tcPr>
          <w:p>
            <w:pPr>
              <w:spacing w:lineRule="exact" w:line="600"/>
              <w:jc w:val="center"/>
            </w:pPr>
            <w:r/>
            <w:r>
              <w:rPr>
                <w:rFonts w:ascii="仿宋_GB2312" w:hAnsi="仿宋_GB2312" w:eastAsia="仿宋_GB2312"/>
                <w:b w:val="0"/>
                <w:color w:val="000000"/>
                <w:sz w:val="32"/>
              </w:rPr>
              <w:t>省晨星工厂</w:t>
            </w:r>
          </w:p>
        </w:tc>
        <w:tc>
          <w:tcPr>
            <w:tcW w:type="dxa" w:w="3118"/>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诚佑环保</w:t>
            </w:r>
          </w:p>
        </w:tc>
        <w:tc>
          <w:tcPr>
            <w:tcW w:type="dxa" w:w="3118"/>
          </w:tcPr>
          <w:p>
            <w:pPr>
              <w:spacing w:lineRule="exact" w:line="600"/>
              <w:jc w:val="center"/>
            </w:pPr>
            <w:r/>
            <w:r>
              <w:rPr>
                <w:rFonts w:ascii="仿宋_GB2312" w:hAnsi="仿宋_GB2312" w:eastAsia="仿宋_GB2312"/>
                <w:b w:val="0"/>
                <w:color w:val="000000"/>
                <w:sz w:val="32"/>
              </w:rPr>
              <w:t>本地骨干</w:t>
            </w:r>
          </w:p>
        </w:tc>
        <w:tc>
          <w:tcPr>
            <w:tcW w:type="dxa" w:w="3118"/>
          </w:tcPr>
          <w:p>
            <w:pPr>
              <w:spacing w:lineRule="exact" w:line="600"/>
              <w:jc w:val="center"/>
            </w:pPr>
            <w:r/>
            <w:r>
              <w:rPr>
                <w:rFonts w:ascii="仿宋_GB2312" w:hAnsi="仿宋_GB2312" w:eastAsia="仿宋_GB2312"/>
                <w:b w:val="0"/>
                <w:color w:val="000000"/>
                <w:sz w:val="32"/>
              </w:rPr>
              <w:t>公开有限</w:t>
            </w:r>
          </w:p>
        </w:tc>
      </w:tr>
      <w:tr>
        <w:tc>
          <w:tcPr>
            <w:tcW w:type="dxa" w:w="2835"/>
          </w:tcPr>
          <w:p>
            <w:pPr>
              <w:spacing w:lineRule="exact" w:line="600"/>
              <w:jc w:val="center"/>
            </w:pPr>
            <w:r/>
            <w:r>
              <w:rPr>
                <w:rFonts w:ascii="仿宋_GB2312" w:hAnsi="仿宋_GB2312" w:eastAsia="仿宋_GB2312"/>
                <w:b w:val="0"/>
                <w:color w:val="000000"/>
                <w:sz w:val="32"/>
              </w:rPr>
              <w:t>设计院</w:t>
            </w:r>
          </w:p>
        </w:tc>
        <w:tc>
          <w:tcPr>
            <w:tcW w:type="dxa" w:w="3118"/>
          </w:tcPr>
          <w:p>
            <w:pPr>
              <w:spacing w:lineRule="exact" w:line="600"/>
              <w:jc w:val="center"/>
            </w:pPr>
            <w:r/>
            <w:r>
              <w:rPr>
                <w:rFonts w:ascii="仿宋_GB2312" w:hAnsi="仿宋_GB2312" w:eastAsia="仿宋_GB2312"/>
                <w:b w:val="0"/>
                <w:color w:val="000000"/>
                <w:sz w:val="32"/>
              </w:rPr>
              <w:t>咨询设计</w:t>
            </w:r>
          </w:p>
        </w:tc>
        <w:tc>
          <w:tcPr>
            <w:tcW w:type="dxa" w:w="3118"/>
          </w:tcPr>
          <w:p>
            <w:pPr>
              <w:spacing w:lineRule="exact" w:line="600"/>
              <w:jc w:val="center"/>
            </w:pPr>
            <w:r/>
            <w:r>
              <w:rPr>
                <w:rFonts w:ascii="仿宋_GB2312" w:hAnsi="仿宋_GB2312" w:eastAsia="仿宋_GB2312"/>
                <w:b w:val="0"/>
                <w:color w:val="000000"/>
                <w:sz w:val="32"/>
              </w:rPr>
              <w:t>待核</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（一）核心技术与装备</w:t>
      </w:r>
    </w:p>
    <w:p>
      <w:pPr>
        <w:spacing w:lineRule="exact" w:line="600" w:before="0" w:after="0"/>
        <w:ind w:firstLine="420"/>
        <w:jc w:val="both"/>
      </w:pPr>
      <w:r>
        <w:rPr>
          <w:rFonts w:ascii="仿宋_GB2312" w:hAnsi="仿宋_GB2312" w:eastAsia="仿宋_GB2312"/>
          <w:b w:val="0"/>
          <w:color w:val="000000"/>
          <w:sz w:val="32"/>
        </w:rPr>
        <w:t>冰轮环境在气温控制领域掌握核心自主技术。其「零散天然气液化用撬装式混合制冷剂喷油螺杆压缩机组」、山东神舟制冷「带高低温载冷/复叠切换阀的超低温高效冷水机组」、顿汉布什「大型低碳柔性变容量螺杆式风冷冷水（热泵）机组」、冰轮换热「闭式冷却塔」均入围2023年度山东省首台（套）技术装备名单。哈特福德压缩机数字工厂是全球工业制冷空调行业首座复杂离散型智能压缩机原生工厂，体现高端装备制造能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技术/装备</w:t>
            </w:r>
          </w:p>
        </w:tc>
        <w:tc>
          <w:tcPr>
            <w:tcW w:type="dxa" w:w="3118"/>
          </w:tcPr>
          <w:p>
            <w:pPr>
              <w:spacing w:lineRule="exact" w:line="600"/>
              <w:jc w:val="center"/>
            </w:pPr>
            <w:r/>
            <w:r>
              <w:rPr>
                <w:rFonts w:ascii="黑体" w:hAnsi="黑体" w:eastAsia="黑体"/>
                <w:b/>
                <w:color w:val="000000"/>
                <w:sz w:val="32"/>
              </w:rPr>
              <w:t>荣誉</w:t>
            </w:r>
          </w:p>
        </w:tc>
        <w:tc>
          <w:tcPr>
            <w:tcW w:type="dxa" w:w="3118"/>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喷油螺杆压缩机组</w:t>
            </w:r>
          </w:p>
        </w:tc>
        <w:tc>
          <w:tcPr>
            <w:tcW w:type="dxa" w:w="3118"/>
          </w:tcPr>
          <w:p>
            <w:pPr>
              <w:spacing w:lineRule="exact" w:line="600"/>
              <w:jc w:val="center"/>
            </w:pPr>
            <w:r/>
            <w:r>
              <w:rPr>
                <w:rFonts w:ascii="仿宋_GB2312" w:hAnsi="仿宋_GB2312" w:eastAsia="仿宋_GB2312"/>
                <w:b w:val="0"/>
                <w:color w:val="000000"/>
                <w:sz w:val="32"/>
              </w:rPr>
              <w:t>省首台套</w:t>
            </w:r>
          </w:p>
        </w:tc>
        <w:tc>
          <w:tcPr>
            <w:tcW w:type="dxa" w:w="3118"/>
          </w:tcPr>
          <w:p>
            <w:pPr>
              <w:spacing w:lineRule="exact" w:line="600"/>
              <w:jc w:val="center"/>
            </w:pPr>
            <w:r/>
            <w:r>
              <w:rPr>
                <w:rFonts w:ascii="仿宋_GB2312" w:hAnsi="仿宋_GB2312" w:eastAsia="仿宋_GB2312"/>
                <w:b w:val="0"/>
                <w:color w:val="000000"/>
                <w:sz w:val="32"/>
              </w:rPr>
              <w:t>冰轮环境</w:t>
            </w:r>
          </w:p>
        </w:tc>
      </w:tr>
      <w:tr>
        <w:tc>
          <w:tcPr>
            <w:tcW w:type="dxa" w:w="2835"/>
          </w:tcPr>
          <w:p>
            <w:pPr>
              <w:spacing w:lineRule="exact" w:line="600"/>
              <w:jc w:val="center"/>
            </w:pPr>
            <w:r/>
            <w:r>
              <w:rPr>
                <w:rFonts w:ascii="仿宋_GB2312" w:hAnsi="仿宋_GB2312" w:eastAsia="仿宋_GB2312"/>
                <w:b w:val="0"/>
                <w:color w:val="000000"/>
                <w:sz w:val="32"/>
              </w:rPr>
              <w:t>超低温冷水机组</w:t>
            </w:r>
          </w:p>
        </w:tc>
        <w:tc>
          <w:tcPr>
            <w:tcW w:type="dxa" w:w="3118"/>
          </w:tcPr>
          <w:p>
            <w:pPr>
              <w:spacing w:lineRule="exact" w:line="600"/>
              <w:jc w:val="center"/>
            </w:pPr>
            <w:r/>
            <w:r>
              <w:rPr>
                <w:rFonts w:ascii="仿宋_GB2312" w:hAnsi="仿宋_GB2312" w:eastAsia="仿宋_GB2312"/>
                <w:b w:val="0"/>
                <w:color w:val="000000"/>
                <w:sz w:val="32"/>
              </w:rPr>
              <w:t>省首台套</w:t>
            </w:r>
          </w:p>
        </w:tc>
        <w:tc>
          <w:tcPr>
            <w:tcW w:type="dxa" w:w="3118"/>
          </w:tcPr>
          <w:p>
            <w:pPr>
              <w:spacing w:lineRule="exact" w:line="600"/>
              <w:jc w:val="center"/>
            </w:pPr>
            <w:r/>
            <w:r>
              <w:rPr>
                <w:rFonts w:ascii="仿宋_GB2312" w:hAnsi="仿宋_GB2312" w:eastAsia="仿宋_GB2312"/>
                <w:b w:val="0"/>
                <w:color w:val="000000"/>
                <w:sz w:val="32"/>
              </w:rPr>
              <w:t>山东神舟</w:t>
            </w:r>
          </w:p>
        </w:tc>
      </w:tr>
      <w:tr>
        <w:tc>
          <w:tcPr>
            <w:tcW w:type="dxa" w:w="2835"/>
          </w:tcPr>
          <w:p>
            <w:pPr>
              <w:spacing w:lineRule="exact" w:line="600"/>
              <w:jc w:val="center"/>
            </w:pPr>
            <w:r/>
            <w:r>
              <w:rPr>
                <w:rFonts w:ascii="仿宋_GB2312" w:hAnsi="仿宋_GB2312" w:eastAsia="仿宋_GB2312"/>
                <w:b w:val="0"/>
                <w:color w:val="000000"/>
                <w:sz w:val="32"/>
              </w:rPr>
              <w:t>变容量螺杆机组</w:t>
            </w:r>
          </w:p>
        </w:tc>
        <w:tc>
          <w:tcPr>
            <w:tcW w:type="dxa" w:w="3118"/>
          </w:tcPr>
          <w:p>
            <w:pPr>
              <w:spacing w:lineRule="exact" w:line="600"/>
              <w:jc w:val="center"/>
            </w:pPr>
            <w:r/>
            <w:r>
              <w:rPr>
                <w:rFonts w:ascii="仿宋_GB2312" w:hAnsi="仿宋_GB2312" w:eastAsia="仿宋_GB2312"/>
                <w:b w:val="0"/>
                <w:color w:val="000000"/>
                <w:sz w:val="32"/>
              </w:rPr>
              <w:t>省首台套</w:t>
            </w:r>
          </w:p>
        </w:tc>
        <w:tc>
          <w:tcPr>
            <w:tcW w:type="dxa" w:w="3118"/>
          </w:tcPr>
          <w:p>
            <w:pPr>
              <w:spacing w:lineRule="exact" w:line="600"/>
              <w:jc w:val="center"/>
            </w:pPr>
            <w:r/>
            <w:r>
              <w:rPr>
                <w:rFonts w:ascii="仿宋_GB2312" w:hAnsi="仿宋_GB2312" w:eastAsia="仿宋_GB2312"/>
                <w:b w:val="0"/>
                <w:color w:val="000000"/>
                <w:sz w:val="32"/>
              </w:rPr>
              <w:t>顿汉布什</w:t>
            </w:r>
          </w:p>
        </w:tc>
      </w:tr>
      <w:tr>
        <w:tc>
          <w:tcPr>
            <w:tcW w:type="dxa" w:w="2835"/>
          </w:tcPr>
          <w:p>
            <w:pPr>
              <w:spacing w:lineRule="exact" w:line="600"/>
              <w:jc w:val="center"/>
            </w:pPr>
            <w:r/>
            <w:r>
              <w:rPr>
                <w:rFonts w:ascii="仿宋_GB2312" w:hAnsi="仿宋_GB2312" w:eastAsia="仿宋_GB2312"/>
                <w:b w:val="0"/>
                <w:color w:val="000000"/>
                <w:sz w:val="32"/>
              </w:rPr>
              <w:t>闭式冷却塔</w:t>
            </w:r>
          </w:p>
        </w:tc>
        <w:tc>
          <w:tcPr>
            <w:tcW w:type="dxa" w:w="3118"/>
          </w:tcPr>
          <w:p>
            <w:pPr>
              <w:spacing w:lineRule="exact" w:line="600"/>
              <w:jc w:val="center"/>
            </w:pPr>
            <w:r/>
            <w:r>
              <w:rPr>
                <w:rFonts w:ascii="仿宋_GB2312" w:hAnsi="仿宋_GB2312" w:eastAsia="仿宋_GB2312"/>
                <w:b w:val="0"/>
                <w:color w:val="000000"/>
                <w:sz w:val="32"/>
              </w:rPr>
              <w:t>省首台套</w:t>
            </w:r>
          </w:p>
        </w:tc>
        <w:tc>
          <w:tcPr>
            <w:tcW w:type="dxa" w:w="3118"/>
          </w:tcPr>
          <w:p>
            <w:pPr>
              <w:spacing w:lineRule="exact" w:line="600"/>
              <w:jc w:val="center"/>
            </w:pPr>
            <w:r/>
            <w:r>
              <w:rPr>
                <w:rFonts w:ascii="仿宋_GB2312" w:hAnsi="仿宋_GB2312" w:eastAsia="仿宋_GB2312"/>
                <w:b w:val="0"/>
                <w:color w:val="000000"/>
                <w:sz w:val="32"/>
              </w:rPr>
              <w:t>冰轮换热</w:t>
            </w:r>
          </w:p>
        </w:tc>
      </w:tr>
    </w:tbl>
    <w:p>
      <w:pPr>
        <w:spacing w:lineRule="exact" w:line="600" w:before="120" w:after="120"/>
        <w:ind w:firstLine="420"/>
        <w:jc w:val="left"/>
      </w:pPr>
      <w:r>
        <w:rPr>
          <w:rFonts w:ascii="楷体_GB2312" w:hAnsi="楷体_GB2312" w:eastAsia="楷体_GB2312"/>
          <w:b w:val="0"/>
          <w:color w:val="000000"/>
          <w:sz w:val="32"/>
        </w:rPr>
        <w:t>（二）创新平台与研发</w:t>
      </w:r>
    </w:p>
    <w:p>
      <w:pPr>
        <w:spacing w:lineRule="exact" w:line="600" w:before="0" w:after="0"/>
        <w:ind w:firstLine="420"/>
        <w:jc w:val="both"/>
      </w:pPr>
      <w:r>
        <w:rPr>
          <w:rFonts w:ascii="仿宋_GB2312" w:hAnsi="仿宋_GB2312" w:eastAsia="仿宋_GB2312"/>
          <w:b w:val="0"/>
          <w:color w:val="000000"/>
          <w:sz w:val="32"/>
        </w:rPr>
        <w:t>冰轮环境建立健全全球协同研发能力，2023年研发投入2.84亿元（同比+25.87%），占营收3.79%；研发人员与费用持续增长。公司荣获中国制冷学会科技进步一等奖、特等奖，山东省装备制造业科技进步一等奖。新产品、新技术、新产业营收占比超70%。依托工艺+自动化+数字化融合形成核心智能控制技术，在智能制造、智慧物流、能效驱动细分领域打造数智服务系统，研发驱动特征明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研发指标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研发投入</w:t>
            </w:r>
          </w:p>
        </w:tc>
        <w:tc>
          <w:tcPr>
            <w:tcW w:type="dxa" w:w="3118"/>
          </w:tcPr>
          <w:p>
            <w:pPr>
              <w:spacing w:lineRule="exact" w:line="600"/>
              <w:jc w:val="center"/>
            </w:pPr>
            <w:r/>
            <w:r>
              <w:rPr>
                <w:rFonts w:ascii="仿宋_GB2312" w:hAnsi="仿宋_GB2312" w:eastAsia="仿宋_GB2312"/>
                <w:b w:val="0"/>
                <w:color w:val="000000"/>
                <w:sz w:val="32"/>
              </w:rPr>
              <w:t>2.84亿元</w:t>
            </w:r>
          </w:p>
        </w:tc>
        <w:tc>
          <w:tcPr>
            <w:tcW w:type="dxa" w:w="3118"/>
          </w:tcPr>
          <w:p>
            <w:pPr>
              <w:spacing w:lineRule="exact" w:line="600"/>
              <w:jc w:val="center"/>
            </w:pPr>
            <w:r/>
            <w:r>
              <w:rPr>
                <w:rFonts w:ascii="仿宋_GB2312" w:hAnsi="仿宋_GB2312" w:eastAsia="仿宋_GB2312"/>
                <w:b w:val="0"/>
                <w:color w:val="000000"/>
                <w:sz w:val="32"/>
              </w:rPr>
              <w:t>+25.87%</w:t>
            </w:r>
          </w:p>
        </w:tc>
      </w:tr>
      <w:tr>
        <w:tc>
          <w:tcPr>
            <w:tcW w:type="dxa" w:w="2835"/>
          </w:tcPr>
          <w:p>
            <w:pPr>
              <w:spacing w:lineRule="exact" w:line="600"/>
              <w:jc w:val="center"/>
            </w:pPr>
            <w:r/>
            <w:r>
              <w:rPr>
                <w:rFonts w:ascii="仿宋_GB2312" w:hAnsi="仿宋_GB2312" w:eastAsia="仿宋_GB2312"/>
                <w:b w:val="0"/>
                <w:color w:val="000000"/>
                <w:sz w:val="32"/>
              </w:rPr>
              <w:t>研发投入占比</w:t>
            </w:r>
          </w:p>
        </w:tc>
        <w:tc>
          <w:tcPr>
            <w:tcW w:type="dxa" w:w="3118"/>
          </w:tcPr>
          <w:p>
            <w:pPr>
              <w:spacing w:lineRule="exact" w:line="600"/>
              <w:jc w:val="center"/>
            </w:pPr>
            <w:r/>
            <w:r>
              <w:rPr>
                <w:rFonts w:ascii="仿宋_GB2312" w:hAnsi="仿宋_GB2312" w:eastAsia="仿宋_GB2312"/>
                <w:b w:val="0"/>
                <w:color w:val="000000"/>
                <w:sz w:val="32"/>
              </w:rPr>
              <w:t>3.79%</w:t>
            </w:r>
          </w:p>
        </w:tc>
        <w:tc>
          <w:tcPr>
            <w:tcW w:type="dxa" w:w="3118"/>
          </w:tcPr>
          <w:p>
            <w:pPr>
              <w:spacing w:lineRule="exact" w:line="600"/>
              <w:jc w:val="center"/>
            </w:pPr>
            <w:r/>
            <w:r>
              <w:rPr>
                <w:rFonts w:ascii="仿宋_GB2312" w:hAnsi="仿宋_GB2312" w:eastAsia="仿宋_GB2312"/>
                <w:b w:val="0"/>
                <w:color w:val="000000"/>
                <w:sz w:val="32"/>
              </w:rPr>
              <w:t>+0.09pct</w:t>
            </w:r>
          </w:p>
        </w:tc>
      </w:tr>
      <w:tr>
        <w:tc>
          <w:tcPr>
            <w:tcW w:type="dxa" w:w="2835"/>
          </w:tcPr>
          <w:p>
            <w:pPr>
              <w:spacing w:lineRule="exact" w:line="600"/>
              <w:jc w:val="center"/>
            </w:pPr>
            <w:r/>
            <w:r>
              <w:rPr>
                <w:rFonts w:ascii="仿宋_GB2312" w:hAnsi="仿宋_GB2312" w:eastAsia="仿宋_GB2312"/>
                <w:b w:val="0"/>
                <w:color w:val="000000"/>
                <w:sz w:val="32"/>
              </w:rPr>
              <w:t>新兴营收占比</w:t>
            </w:r>
          </w:p>
        </w:tc>
        <w:tc>
          <w:tcPr>
            <w:tcW w:type="dxa" w:w="3118"/>
          </w:tcPr>
          <w:p>
            <w:pPr>
              <w:spacing w:lineRule="exact" w:line="600"/>
              <w:jc w:val="center"/>
            </w:pPr>
            <w:r/>
            <w:r>
              <w:rPr>
                <w:rFonts w:ascii="仿宋_GB2312" w:hAnsi="仿宋_GB2312" w:eastAsia="仿宋_GB2312"/>
                <w:b w:val="0"/>
                <w:color w:val="000000"/>
                <w:sz w:val="32"/>
              </w:rPr>
              <w:t>超70%</w:t>
            </w:r>
          </w:p>
        </w:tc>
        <w:tc>
          <w:tcPr>
            <w:tcW w:type="dxa" w:w="3118"/>
          </w:tcPr>
          <w:p>
            <w:pPr>
              <w:spacing w:lineRule="exact" w:line="600"/>
              <w:jc w:val="center"/>
            </w:pPr>
            <w:r/>
            <w:r>
              <w:rPr>
                <w:rFonts w:ascii="仿宋_GB2312" w:hAnsi="仿宋_GB2312" w:eastAsia="仿宋_GB2312"/>
                <w:b w:val="0"/>
                <w:color w:val="000000"/>
                <w:sz w:val="32"/>
              </w:rPr>
              <w:t>新产业</w:t>
            </w:r>
          </w:p>
        </w:tc>
      </w:tr>
      <w:tr>
        <w:tc>
          <w:tcPr>
            <w:tcW w:type="dxa" w:w="2835"/>
          </w:tcPr>
          <w:p>
            <w:pPr>
              <w:spacing w:lineRule="exact" w:line="600"/>
              <w:jc w:val="center"/>
            </w:pPr>
            <w:r/>
            <w:r>
              <w:rPr>
                <w:rFonts w:ascii="仿宋_GB2312" w:hAnsi="仿宋_GB2312" w:eastAsia="仿宋_GB2312"/>
                <w:b w:val="0"/>
                <w:color w:val="000000"/>
                <w:sz w:val="32"/>
              </w:rPr>
              <w:t>科技奖励</w:t>
            </w:r>
          </w:p>
        </w:tc>
        <w:tc>
          <w:tcPr>
            <w:tcW w:type="dxa" w:w="3118"/>
          </w:tcPr>
          <w:p>
            <w:pPr>
              <w:spacing w:lineRule="exact" w:line="600"/>
              <w:jc w:val="center"/>
            </w:pPr>
            <w:r/>
            <w:r>
              <w:rPr>
                <w:rFonts w:ascii="仿宋_GB2312" w:hAnsi="仿宋_GB2312" w:eastAsia="仿宋_GB2312"/>
                <w:b w:val="0"/>
                <w:color w:val="000000"/>
                <w:sz w:val="32"/>
              </w:rPr>
              <w:t>制冷学会一等奖</w:t>
            </w:r>
          </w:p>
        </w:tc>
        <w:tc>
          <w:tcPr>
            <w:tcW w:type="dxa" w:w="3118"/>
          </w:tcPr>
          <w:p>
            <w:pPr>
              <w:spacing w:lineRule="exact" w:line="600"/>
              <w:jc w:val="center"/>
            </w:pPr>
            <w:r/>
            <w:r>
              <w:rPr>
                <w:rFonts w:ascii="仿宋_GB2312" w:hAnsi="仿宋_GB2312" w:eastAsia="仿宋_GB2312"/>
                <w:b w:val="0"/>
                <w:color w:val="000000"/>
                <w:sz w:val="32"/>
              </w:rPr>
              <w:t>国家级</w:t>
            </w:r>
          </w:p>
        </w:tc>
      </w:tr>
    </w:tbl>
    <w:p>
      <w:pPr>
        <w:spacing w:lineRule="exact" w:line="600" w:before="120" w:after="120"/>
        <w:ind w:firstLine="420"/>
        <w:jc w:val="left"/>
      </w:pPr>
      <w:r>
        <w:rPr>
          <w:rFonts w:ascii="楷体_GB2312" w:hAnsi="楷体_GB2312" w:eastAsia="楷体_GB2312"/>
          <w:b w:val="0"/>
          <w:color w:val="000000"/>
          <w:sz w:val="32"/>
        </w:rPr>
        <w:t>（三）数智化与绿色制造</w:t>
      </w:r>
    </w:p>
    <w:p>
      <w:pPr>
        <w:spacing w:lineRule="exact" w:line="600" w:before="0" w:after="0"/>
        <w:ind w:firstLine="420"/>
        <w:jc w:val="both"/>
      </w:pPr>
      <w:r>
        <w:rPr>
          <w:rFonts w:ascii="仿宋_GB2312" w:hAnsi="仿宋_GB2312" w:eastAsia="仿宋_GB2312"/>
          <w:b w:val="0"/>
          <w:color w:val="000000"/>
          <w:sz w:val="32"/>
        </w:rPr>
        <w:t>冰轮环境获批国家级绿色工厂、国家级服务型制造示范企业，哈特福德数字工厂树立智能原生标杆。2023年集团营收、利润同比分别增长21.5%、38.1%，入选烟台市倍增企业计划。7项产品入选国家和省节能降碳技术装备推荐目录。在碳捕集封存利用领域技术居全国领先，服务的碳捕集客户年降碳量达三千多万吨，绿色低碳制造与数智化深度融合。</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绿色/数智指标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国家级绿色工厂</w:t>
            </w:r>
          </w:p>
        </w:tc>
        <w:tc>
          <w:tcPr>
            <w:tcW w:type="dxa" w:w="3402"/>
          </w:tcPr>
          <w:p>
            <w:pPr>
              <w:spacing w:lineRule="exact" w:line="600"/>
              <w:jc w:val="center"/>
            </w:pPr>
            <w:r/>
            <w:r>
              <w:rPr>
                <w:rFonts w:ascii="仿宋_GB2312" w:hAnsi="仿宋_GB2312" w:eastAsia="仿宋_GB2312"/>
                <w:b w:val="0"/>
                <w:color w:val="000000"/>
                <w:sz w:val="32"/>
              </w:rPr>
              <w:t>获批</w:t>
            </w:r>
          </w:p>
        </w:tc>
        <w:tc>
          <w:tcPr>
            <w:tcW w:type="dxa" w:w="2835"/>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服务型制造示范</w:t>
            </w:r>
          </w:p>
        </w:tc>
        <w:tc>
          <w:tcPr>
            <w:tcW w:type="dxa" w:w="3402"/>
          </w:tcPr>
          <w:p>
            <w:pPr>
              <w:spacing w:lineRule="exact" w:line="600"/>
              <w:jc w:val="center"/>
            </w:pPr>
            <w:r/>
            <w:r>
              <w:rPr>
                <w:rFonts w:ascii="仿宋_GB2312" w:hAnsi="仿宋_GB2312" w:eastAsia="仿宋_GB2312"/>
                <w:b w:val="0"/>
                <w:color w:val="000000"/>
                <w:sz w:val="32"/>
              </w:rPr>
              <w:t>国家级</w:t>
            </w:r>
          </w:p>
        </w:tc>
        <w:tc>
          <w:tcPr>
            <w:tcW w:type="dxa" w:w="2835"/>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节能降碳目录</w:t>
            </w:r>
          </w:p>
        </w:tc>
        <w:tc>
          <w:tcPr>
            <w:tcW w:type="dxa" w:w="3402"/>
          </w:tcPr>
          <w:p>
            <w:pPr>
              <w:spacing w:lineRule="exact" w:line="600"/>
              <w:jc w:val="center"/>
            </w:pPr>
            <w:r/>
            <w:r>
              <w:rPr>
                <w:rFonts w:ascii="仿宋_GB2312" w:hAnsi="仿宋_GB2312" w:eastAsia="仿宋_GB2312"/>
                <w:b w:val="0"/>
                <w:color w:val="000000"/>
                <w:sz w:val="32"/>
              </w:rPr>
              <w:t>7项产品</w:t>
            </w:r>
          </w:p>
        </w:tc>
        <w:tc>
          <w:tcPr>
            <w:tcW w:type="dxa" w:w="2835"/>
          </w:tcPr>
          <w:p>
            <w:pPr>
              <w:spacing w:lineRule="exact" w:line="600"/>
              <w:jc w:val="center"/>
            </w:pPr>
            <w:r/>
            <w:r>
              <w:rPr>
                <w:rFonts w:ascii="仿宋_GB2312" w:hAnsi="仿宋_GB2312" w:eastAsia="仿宋_GB2312"/>
                <w:b w:val="0"/>
                <w:color w:val="000000"/>
                <w:sz w:val="32"/>
              </w:rPr>
              <w:t>国家/省</w:t>
            </w:r>
          </w:p>
        </w:tc>
      </w:tr>
      <w:tr>
        <w:tc>
          <w:tcPr>
            <w:tcW w:type="dxa" w:w="2835"/>
          </w:tcPr>
          <w:p>
            <w:pPr>
              <w:spacing w:lineRule="exact" w:line="600"/>
              <w:jc w:val="center"/>
            </w:pPr>
            <w:r/>
            <w:r>
              <w:rPr>
                <w:rFonts w:ascii="仿宋_GB2312" w:hAnsi="仿宋_GB2312" w:eastAsia="仿宋_GB2312"/>
                <w:b w:val="0"/>
                <w:color w:val="000000"/>
                <w:sz w:val="32"/>
              </w:rPr>
              <w:t>年降碳量</w:t>
            </w:r>
          </w:p>
        </w:tc>
        <w:tc>
          <w:tcPr>
            <w:tcW w:type="dxa" w:w="3402"/>
          </w:tcPr>
          <w:p>
            <w:pPr>
              <w:spacing w:lineRule="exact" w:line="600"/>
              <w:jc w:val="center"/>
            </w:pPr>
            <w:r/>
            <w:r>
              <w:rPr>
                <w:rFonts w:ascii="仿宋_GB2312" w:hAnsi="仿宋_GB2312" w:eastAsia="仿宋_GB2312"/>
                <w:b w:val="0"/>
                <w:color w:val="000000"/>
                <w:sz w:val="32"/>
              </w:rPr>
              <w:t>三千多万吨</w:t>
            </w:r>
          </w:p>
        </w:tc>
        <w:tc>
          <w:tcPr>
            <w:tcW w:type="dxa" w:w="2835"/>
          </w:tcPr>
          <w:p>
            <w:pPr>
              <w:spacing w:lineRule="exact" w:line="600"/>
              <w:jc w:val="center"/>
            </w:pPr>
            <w:r/>
            <w:r>
              <w:rPr>
                <w:rFonts w:ascii="仿宋_GB2312" w:hAnsi="仿宋_GB2312" w:eastAsia="仿宋_GB2312"/>
                <w:b w:val="0"/>
                <w:color w:val="000000"/>
                <w:sz w:val="32"/>
              </w:rPr>
              <w:t>冰轮</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冰轮环境成本以原材料（钢材、铜、压缩机部件）与能源为主。2023年营业成本56.02亿元，毛利率25.56%（+2.87pct），净利率8.87%（+1.94pct）。期间费用12.79亿元（费率17.07%），其中研发费用2.84亿元、销售费用6.22亿元、管理费用3.51亿元。原材料价格波动与汇率是主要成本变量；公司通过规模化采购、国产替代与套期策略应对。前五大供应商采购占比8.91%，供应链稳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营业成本</w:t>
            </w:r>
          </w:p>
        </w:tc>
        <w:tc>
          <w:tcPr>
            <w:tcW w:type="dxa" w:w="3118"/>
          </w:tcPr>
          <w:p>
            <w:pPr>
              <w:spacing w:lineRule="exact" w:line="600"/>
              <w:jc w:val="center"/>
            </w:pPr>
            <w:r/>
            <w:r>
              <w:rPr>
                <w:rFonts w:ascii="仿宋_GB2312" w:hAnsi="仿宋_GB2312" w:eastAsia="仿宋_GB2312"/>
                <w:b w:val="0"/>
                <w:color w:val="000000"/>
                <w:sz w:val="32"/>
              </w:rPr>
              <w:t>56.02亿元</w:t>
            </w:r>
          </w:p>
        </w:tc>
        <w:tc>
          <w:tcPr>
            <w:tcW w:type="dxa" w:w="3118"/>
          </w:tcPr>
          <w:p>
            <w:pPr>
              <w:spacing w:lineRule="exact" w:line="600"/>
              <w:jc w:val="center"/>
            </w:pPr>
            <w:r/>
            <w:r>
              <w:rPr>
                <w:rFonts w:ascii="仿宋_GB2312" w:hAnsi="仿宋_GB2312" w:eastAsia="仿宋_GB2312"/>
                <w:b w:val="0"/>
                <w:color w:val="000000"/>
                <w:sz w:val="32"/>
              </w:rPr>
              <w:t>—</w:t>
            </w:r>
          </w:p>
        </w:tc>
      </w:tr>
      <w:tr>
        <w:tc>
          <w:tcPr>
            <w:tcW w:type="dxa" w:w="2835"/>
          </w:tcPr>
          <w:p>
            <w:pPr>
              <w:spacing w:lineRule="exact" w:line="600"/>
              <w:jc w:val="center"/>
            </w:pPr>
            <w:r/>
            <w:r>
              <w:rPr>
                <w:rFonts w:ascii="仿宋_GB2312" w:hAnsi="仿宋_GB2312" w:eastAsia="仿宋_GB2312"/>
                <w:b w:val="0"/>
                <w:color w:val="000000"/>
                <w:sz w:val="32"/>
              </w:rPr>
              <w:t>毛利率</w:t>
            </w:r>
          </w:p>
        </w:tc>
        <w:tc>
          <w:tcPr>
            <w:tcW w:type="dxa" w:w="3118"/>
          </w:tcPr>
          <w:p>
            <w:pPr>
              <w:spacing w:lineRule="exact" w:line="600"/>
              <w:jc w:val="center"/>
            </w:pPr>
            <w:r/>
            <w:r>
              <w:rPr>
                <w:rFonts w:ascii="仿宋_GB2312" w:hAnsi="仿宋_GB2312" w:eastAsia="仿宋_GB2312"/>
                <w:b w:val="0"/>
                <w:color w:val="000000"/>
                <w:sz w:val="32"/>
              </w:rPr>
              <w:t>25.56%</w:t>
            </w:r>
          </w:p>
        </w:tc>
        <w:tc>
          <w:tcPr>
            <w:tcW w:type="dxa" w:w="3118"/>
          </w:tcPr>
          <w:p>
            <w:pPr>
              <w:spacing w:lineRule="exact" w:line="600"/>
              <w:jc w:val="center"/>
            </w:pPr>
            <w:r/>
            <w:r>
              <w:rPr>
                <w:rFonts w:ascii="仿宋_GB2312" w:hAnsi="仿宋_GB2312" w:eastAsia="仿宋_GB2312"/>
                <w:b w:val="0"/>
                <w:color w:val="000000"/>
                <w:sz w:val="32"/>
              </w:rPr>
              <w:t>+2.87pct</w:t>
            </w:r>
          </w:p>
        </w:tc>
      </w:tr>
      <w:tr>
        <w:tc>
          <w:tcPr>
            <w:tcW w:type="dxa" w:w="2835"/>
          </w:tcPr>
          <w:p>
            <w:pPr>
              <w:spacing w:lineRule="exact" w:line="600"/>
              <w:jc w:val="center"/>
            </w:pPr>
            <w:r/>
            <w:r>
              <w:rPr>
                <w:rFonts w:ascii="仿宋_GB2312" w:hAnsi="仿宋_GB2312" w:eastAsia="仿宋_GB2312"/>
                <w:b w:val="0"/>
                <w:color w:val="000000"/>
                <w:sz w:val="32"/>
              </w:rPr>
              <w:t>净利率</w:t>
            </w:r>
          </w:p>
        </w:tc>
        <w:tc>
          <w:tcPr>
            <w:tcW w:type="dxa" w:w="3118"/>
          </w:tcPr>
          <w:p>
            <w:pPr>
              <w:spacing w:lineRule="exact" w:line="600"/>
              <w:jc w:val="center"/>
            </w:pPr>
            <w:r/>
            <w:r>
              <w:rPr>
                <w:rFonts w:ascii="仿宋_GB2312" w:hAnsi="仿宋_GB2312" w:eastAsia="仿宋_GB2312"/>
                <w:b w:val="0"/>
                <w:color w:val="000000"/>
                <w:sz w:val="32"/>
              </w:rPr>
              <w:t>8.87%</w:t>
            </w:r>
          </w:p>
        </w:tc>
        <w:tc>
          <w:tcPr>
            <w:tcW w:type="dxa" w:w="3118"/>
          </w:tcPr>
          <w:p>
            <w:pPr>
              <w:spacing w:lineRule="exact" w:line="600"/>
              <w:jc w:val="center"/>
            </w:pPr>
            <w:r/>
            <w:r>
              <w:rPr>
                <w:rFonts w:ascii="仿宋_GB2312" w:hAnsi="仿宋_GB2312" w:eastAsia="仿宋_GB2312"/>
                <w:b w:val="0"/>
                <w:color w:val="000000"/>
                <w:sz w:val="32"/>
              </w:rPr>
              <w:t>+1.94pct</w:t>
            </w:r>
          </w:p>
        </w:tc>
      </w:tr>
      <w:tr>
        <w:tc>
          <w:tcPr>
            <w:tcW w:type="dxa" w:w="2835"/>
          </w:tcPr>
          <w:p>
            <w:pPr>
              <w:spacing w:lineRule="exact" w:line="600"/>
              <w:jc w:val="center"/>
            </w:pPr>
            <w:r/>
            <w:r>
              <w:rPr>
                <w:rFonts w:ascii="仿宋_GB2312" w:hAnsi="仿宋_GB2312" w:eastAsia="仿宋_GB2312"/>
                <w:b w:val="0"/>
                <w:color w:val="000000"/>
                <w:sz w:val="32"/>
              </w:rPr>
              <w:t>期间费用率</w:t>
            </w:r>
          </w:p>
        </w:tc>
        <w:tc>
          <w:tcPr>
            <w:tcW w:type="dxa" w:w="3118"/>
          </w:tcPr>
          <w:p>
            <w:pPr>
              <w:spacing w:lineRule="exact" w:line="600"/>
              <w:jc w:val="center"/>
            </w:pPr>
            <w:r/>
            <w:r>
              <w:rPr>
                <w:rFonts w:ascii="仿宋_GB2312" w:hAnsi="仿宋_GB2312" w:eastAsia="仿宋_GB2312"/>
                <w:b w:val="0"/>
                <w:color w:val="000000"/>
                <w:sz w:val="32"/>
              </w:rPr>
              <w:t>17.07%</w:t>
            </w:r>
          </w:p>
        </w:tc>
        <w:tc>
          <w:tcPr>
            <w:tcW w:type="dxa" w:w="3118"/>
          </w:tcPr>
          <w:p>
            <w:pPr>
              <w:spacing w:lineRule="exact" w:line="600"/>
              <w:jc w:val="center"/>
            </w:pPr>
            <w:r/>
            <w:r>
              <w:rPr>
                <w:rFonts w:ascii="仿宋_GB2312" w:hAnsi="仿宋_GB2312" w:eastAsia="仿宋_GB2312"/>
                <w:b w:val="0"/>
                <w:color w:val="000000"/>
                <w:sz w:val="32"/>
              </w:rPr>
              <w:t>费用12.79亿</w:t>
            </w:r>
          </w:p>
        </w:tc>
      </w:tr>
      <w:tr>
        <w:tc>
          <w:tcPr>
            <w:tcW w:type="dxa" w:w="2835"/>
          </w:tcPr>
          <w:p>
            <w:pPr>
              <w:spacing w:lineRule="exact" w:line="600"/>
              <w:jc w:val="center"/>
            </w:pPr>
            <w:r/>
            <w:r>
              <w:rPr>
                <w:rFonts w:ascii="仿宋_GB2312" w:hAnsi="仿宋_GB2312" w:eastAsia="仿宋_GB2312"/>
                <w:b w:val="0"/>
                <w:color w:val="000000"/>
                <w:sz w:val="32"/>
              </w:rPr>
              <w:t>前五大供应商占比</w:t>
            </w:r>
          </w:p>
        </w:tc>
        <w:tc>
          <w:tcPr>
            <w:tcW w:type="dxa" w:w="3118"/>
          </w:tcPr>
          <w:p>
            <w:pPr>
              <w:spacing w:lineRule="exact" w:line="600"/>
              <w:jc w:val="center"/>
            </w:pPr>
            <w:r/>
            <w:r>
              <w:rPr>
                <w:rFonts w:ascii="仿宋_GB2312" w:hAnsi="仿宋_GB2312" w:eastAsia="仿宋_GB2312"/>
                <w:b w:val="0"/>
                <w:color w:val="000000"/>
                <w:sz w:val="32"/>
              </w:rPr>
              <w:t>8.91%</w:t>
            </w:r>
          </w:p>
        </w:tc>
        <w:tc>
          <w:tcPr>
            <w:tcW w:type="dxa" w:w="3118"/>
          </w:tcPr>
          <w:p>
            <w:pPr>
              <w:spacing w:lineRule="exact" w:line="600"/>
              <w:jc w:val="center"/>
            </w:pPr>
            <w:r/>
            <w:r>
              <w:rPr>
                <w:rFonts w:ascii="仿宋_GB2312" w:hAnsi="仿宋_GB2312" w:eastAsia="仿宋_GB2312"/>
                <w:b w:val="0"/>
                <w:color w:val="000000"/>
                <w:sz w:val="32"/>
              </w:rPr>
              <w:t>稳定</w:t>
            </w:r>
          </w:p>
        </w:tc>
      </w:tr>
    </w:tbl>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冰轮环境2023年盈利大幅提升：归母净利润6.55亿元（+53.73%），扣非5.66亿元（+50.49%），加权ROE 12.52%（+3.37pct）。分业务看，工业产品销售毛利率27.18%（+3.94pct），是盈利主引擎；工程施工毛利率仅0.56%。海外收入占比33.01%贡献增量。经营性现金流3.40亿元，资产负债率49.72%（同比-1.77pct），财务结构稳健，盈利质量改善明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同比</w:t>
            </w:r>
          </w:p>
        </w:tc>
      </w:tr>
      <w:tr>
        <w:tc>
          <w:tcPr>
            <w:tcW w:type="dxa" w:w="2835"/>
          </w:tcPr>
          <w:p>
            <w:pPr>
              <w:spacing w:lineRule="exact" w:line="600"/>
              <w:jc w:val="center"/>
            </w:pPr>
            <w:r/>
            <w:r>
              <w:rPr>
                <w:rFonts w:ascii="仿宋_GB2312" w:hAnsi="仿宋_GB2312" w:eastAsia="仿宋_GB2312"/>
                <w:b w:val="0"/>
                <w:color w:val="000000"/>
                <w:sz w:val="32"/>
              </w:rPr>
              <w:t>归母净利润</w:t>
            </w:r>
          </w:p>
        </w:tc>
        <w:tc>
          <w:tcPr>
            <w:tcW w:type="dxa" w:w="3118"/>
          </w:tcPr>
          <w:p>
            <w:pPr>
              <w:spacing w:lineRule="exact" w:line="600"/>
              <w:jc w:val="center"/>
            </w:pPr>
            <w:r/>
            <w:r>
              <w:rPr>
                <w:rFonts w:ascii="仿宋_GB2312" w:hAnsi="仿宋_GB2312" w:eastAsia="仿宋_GB2312"/>
                <w:b w:val="0"/>
                <w:color w:val="000000"/>
                <w:sz w:val="32"/>
              </w:rPr>
              <w:t>6.55亿元</w:t>
            </w:r>
          </w:p>
        </w:tc>
        <w:tc>
          <w:tcPr>
            <w:tcW w:type="dxa" w:w="3118"/>
          </w:tcPr>
          <w:p>
            <w:pPr>
              <w:spacing w:lineRule="exact" w:line="600"/>
              <w:jc w:val="center"/>
            </w:pPr>
            <w:r/>
            <w:r>
              <w:rPr>
                <w:rFonts w:ascii="仿宋_GB2312" w:hAnsi="仿宋_GB2312" w:eastAsia="仿宋_GB2312"/>
                <w:b w:val="0"/>
                <w:color w:val="000000"/>
                <w:sz w:val="32"/>
              </w:rPr>
              <w:t>+53.73%</w:t>
            </w:r>
          </w:p>
        </w:tc>
      </w:tr>
      <w:tr>
        <w:tc>
          <w:tcPr>
            <w:tcW w:type="dxa" w:w="2835"/>
          </w:tcPr>
          <w:p>
            <w:pPr>
              <w:spacing w:lineRule="exact" w:line="600"/>
              <w:jc w:val="center"/>
            </w:pPr>
            <w:r/>
            <w:r>
              <w:rPr>
                <w:rFonts w:ascii="仿宋_GB2312" w:hAnsi="仿宋_GB2312" w:eastAsia="仿宋_GB2312"/>
                <w:b w:val="0"/>
                <w:color w:val="000000"/>
                <w:sz w:val="32"/>
              </w:rPr>
              <w:t>扣非净利润</w:t>
            </w:r>
          </w:p>
        </w:tc>
        <w:tc>
          <w:tcPr>
            <w:tcW w:type="dxa" w:w="3118"/>
          </w:tcPr>
          <w:p>
            <w:pPr>
              <w:spacing w:lineRule="exact" w:line="600"/>
              <w:jc w:val="center"/>
            </w:pPr>
            <w:r/>
            <w:r>
              <w:rPr>
                <w:rFonts w:ascii="仿宋_GB2312" w:hAnsi="仿宋_GB2312" w:eastAsia="仿宋_GB2312"/>
                <w:b w:val="0"/>
                <w:color w:val="000000"/>
                <w:sz w:val="32"/>
              </w:rPr>
              <w:t>5.66亿元</w:t>
            </w:r>
          </w:p>
        </w:tc>
        <w:tc>
          <w:tcPr>
            <w:tcW w:type="dxa" w:w="3118"/>
          </w:tcPr>
          <w:p>
            <w:pPr>
              <w:spacing w:lineRule="exact" w:line="600"/>
              <w:jc w:val="center"/>
            </w:pPr>
            <w:r/>
            <w:r>
              <w:rPr>
                <w:rFonts w:ascii="仿宋_GB2312" w:hAnsi="仿宋_GB2312" w:eastAsia="仿宋_GB2312"/>
                <w:b w:val="0"/>
                <w:color w:val="000000"/>
                <w:sz w:val="32"/>
              </w:rPr>
              <w:t>+50.49%</w:t>
            </w:r>
          </w:p>
        </w:tc>
      </w:tr>
      <w:tr>
        <w:tc>
          <w:tcPr>
            <w:tcW w:type="dxa" w:w="2835"/>
          </w:tcPr>
          <w:p>
            <w:pPr>
              <w:spacing w:lineRule="exact" w:line="600"/>
              <w:jc w:val="center"/>
            </w:pPr>
            <w:r/>
            <w:r>
              <w:rPr>
                <w:rFonts w:ascii="仿宋_GB2312" w:hAnsi="仿宋_GB2312" w:eastAsia="仿宋_GB2312"/>
                <w:b w:val="0"/>
                <w:color w:val="000000"/>
                <w:sz w:val="32"/>
              </w:rPr>
              <w:t>加权ROE</w:t>
            </w:r>
          </w:p>
        </w:tc>
        <w:tc>
          <w:tcPr>
            <w:tcW w:type="dxa" w:w="3118"/>
          </w:tcPr>
          <w:p>
            <w:pPr>
              <w:spacing w:lineRule="exact" w:line="600"/>
              <w:jc w:val="center"/>
            </w:pPr>
            <w:r/>
            <w:r>
              <w:rPr>
                <w:rFonts w:ascii="仿宋_GB2312" w:hAnsi="仿宋_GB2312" w:eastAsia="仿宋_GB2312"/>
                <w:b w:val="0"/>
                <w:color w:val="000000"/>
                <w:sz w:val="32"/>
              </w:rPr>
              <w:t>12.52%</w:t>
            </w:r>
          </w:p>
        </w:tc>
        <w:tc>
          <w:tcPr>
            <w:tcW w:type="dxa" w:w="3118"/>
          </w:tcPr>
          <w:p>
            <w:pPr>
              <w:spacing w:lineRule="exact" w:line="600"/>
              <w:jc w:val="center"/>
            </w:pPr>
            <w:r/>
            <w:r>
              <w:rPr>
                <w:rFonts w:ascii="仿宋_GB2312" w:hAnsi="仿宋_GB2312" w:eastAsia="仿宋_GB2312"/>
                <w:b w:val="0"/>
                <w:color w:val="000000"/>
                <w:sz w:val="32"/>
              </w:rPr>
              <w:t>+3.37pct</w:t>
            </w:r>
          </w:p>
        </w:tc>
      </w:tr>
      <w:tr>
        <w:tc>
          <w:tcPr>
            <w:tcW w:type="dxa" w:w="2835"/>
          </w:tcPr>
          <w:p>
            <w:pPr>
              <w:spacing w:lineRule="exact" w:line="600"/>
              <w:jc w:val="center"/>
            </w:pPr>
            <w:r/>
            <w:r>
              <w:rPr>
                <w:rFonts w:ascii="仿宋_GB2312" w:hAnsi="仿宋_GB2312" w:eastAsia="仿宋_GB2312"/>
                <w:b w:val="0"/>
                <w:color w:val="000000"/>
                <w:sz w:val="32"/>
              </w:rPr>
              <w:t>工业产品毛利率</w:t>
            </w:r>
          </w:p>
        </w:tc>
        <w:tc>
          <w:tcPr>
            <w:tcW w:type="dxa" w:w="3118"/>
          </w:tcPr>
          <w:p>
            <w:pPr>
              <w:spacing w:lineRule="exact" w:line="600"/>
              <w:jc w:val="center"/>
            </w:pPr>
            <w:r/>
            <w:r>
              <w:rPr>
                <w:rFonts w:ascii="仿宋_GB2312" w:hAnsi="仿宋_GB2312" w:eastAsia="仿宋_GB2312"/>
                <w:b w:val="0"/>
                <w:color w:val="000000"/>
                <w:sz w:val="32"/>
              </w:rPr>
              <w:t>27.18%</w:t>
            </w:r>
          </w:p>
        </w:tc>
        <w:tc>
          <w:tcPr>
            <w:tcW w:type="dxa" w:w="3118"/>
          </w:tcPr>
          <w:p>
            <w:pPr>
              <w:spacing w:lineRule="exact" w:line="600"/>
              <w:jc w:val="center"/>
            </w:pPr>
            <w:r/>
            <w:r>
              <w:rPr>
                <w:rFonts w:ascii="仿宋_GB2312" w:hAnsi="仿宋_GB2312" w:eastAsia="仿宋_GB2312"/>
                <w:b w:val="0"/>
                <w:color w:val="000000"/>
                <w:sz w:val="32"/>
              </w:rPr>
              <w:t>+3.94pct</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3118"/>
          </w:tcPr>
          <w:p>
            <w:pPr>
              <w:spacing w:lineRule="exact" w:line="600"/>
              <w:jc w:val="center"/>
            </w:pPr>
            <w:r/>
            <w:r>
              <w:rPr>
                <w:rFonts w:ascii="仿宋_GB2312" w:hAnsi="仿宋_GB2312" w:eastAsia="仿宋_GB2312"/>
                <w:b w:val="0"/>
                <w:color w:val="000000"/>
                <w:sz w:val="32"/>
              </w:rPr>
              <w:t>49.72%</w:t>
            </w:r>
          </w:p>
        </w:tc>
        <w:tc>
          <w:tcPr>
            <w:tcW w:type="dxa" w:w="3118"/>
          </w:tcPr>
          <w:p>
            <w:pPr>
              <w:spacing w:lineRule="exact" w:line="600"/>
              <w:jc w:val="center"/>
            </w:pPr>
            <w:r/>
            <w:r>
              <w:rPr>
                <w:rFonts w:ascii="仿宋_GB2312" w:hAnsi="仿宋_GB2312" w:eastAsia="仿宋_GB2312"/>
                <w:b w:val="0"/>
                <w:color w:val="000000"/>
                <w:sz w:val="32"/>
              </w:rPr>
              <w:t>-1.77pct</w:t>
            </w:r>
          </w:p>
        </w:tc>
      </w:tr>
    </w:tbl>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芝罘区出台制造业强市政策，对国家级技术创新示范企业最高奖100万元，对首台（套）按首年销售额30%奖补，设1000万元工业互联网专项资金，对通过两化融合贯标企业最高奖30万元。烟台市倍增企业计划对冰轮环境给予表彰与奖励。人才方面，公司员工4489人、人均薪酬24.27万元，研发与制造人才储备充足；区域高校与科研院所支撑装备研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技改奖励</w:t>
            </w:r>
          </w:p>
        </w:tc>
        <w:tc>
          <w:tcPr>
            <w:tcW w:type="dxa" w:w="3402"/>
          </w:tcPr>
          <w:p>
            <w:pPr>
              <w:spacing w:lineRule="exact" w:line="600"/>
              <w:jc w:val="center"/>
            </w:pPr>
            <w:r/>
            <w:r>
              <w:rPr>
                <w:rFonts w:ascii="仿宋_GB2312" w:hAnsi="仿宋_GB2312" w:eastAsia="仿宋_GB2312"/>
                <w:b w:val="0"/>
                <w:color w:val="000000"/>
                <w:sz w:val="32"/>
              </w:rPr>
              <w:t>首台套最高100万</w:t>
            </w:r>
          </w:p>
        </w:tc>
        <w:tc>
          <w:tcPr>
            <w:tcW w:type="dxa" w:w="2835"/>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工业互联网资金</w:t>
            </w:r>
          </w:p>
        </w:tc>
        <w:tc>
          <w:tcPr>
            <w:tcW w:type="dxa" w:w="3402"/>
          </w:tcPr>
          <w:p>
            <w:pPr>
              <w:spacing w:lineRule="exact" w:line="600"/>
              <w:jc w:val="center"/>
            </w:pPr>
            <w:r/>
            <w:r>
              <w:rPr>
                <w:rFonts w:ascii="仿宋_GB2312" w:hAnsi="仿宋_GB2312" w:eastAsia="仿宋_GB2312"/>
                <w:b w:val="0"/>
                <w:color w:val="000000"/>
                <w:sz w:val="32"/>
              </w:rPr>
              <w:t>1000万元</w:t>
            </w:r>
          </w:p>
        </w:tc>
        <w:tc>
          <w:tcPr>
            <w:tcW w:type="dxa" w:w="2835"/>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两化融合奖</w:t>
            </w:r>
          </w:p>
        </w:tc>
        <w:tc>
          <w:tcPr>
            <w:tcW w:type="dxa" w:w="3402"/>
          </w:tcPr>
          <w:p>
            <w:pPr>
              <w:spacing w:lineRule="exact" w:line="600"/>
              <w:jc w:val="center"/>
            </w:pPr>
            <w:r/>
            <w:r>
              <w:rPr>
                <w:rFonts w:ascii="仿宋_GB2312" w:hAnsi="仿宋_GB2312" w:eastAsia="仿宋_GB2312"/>
                <w:b w:val="0"/>
                <w:color w:val="000000"/>
                <w:sz w:val="32"/>
              </w:rPr>
              <w:t>最高30万元</w:t>
            </w:r>
          </w:p>
        </w:tc>
        <w:tc>
          <w:tcPr>
            <w:tcW w:type="dxa" w:w="2835"/>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倍增计划</w:t>
            </w:r>
          </w:p>
        </w:tc>
        <w:tc>
          <w:tcPr>
            <w:tcW w:type="dxa" w:w="3402"/>
          </w:tcPr>
          <w:p>
            <w:pPr>
              <w:spacing w:lineRule="exact" w:line="600"/>
              <w:jc w:val="center"/>
            </w:pPr>
            <w:r/>
            <w:r>
              <w:rPr>
                <w:rFonts w:ascii="仿宋_GB2312" w:hAnsi="仿宋_GB2312" w:eastAsia="仿宋_GB2312"/>
                <w:b w:val="0"/>
                <w:color w:val="000000"/>
                <w:sz w:val="32"/>
              </w:rPr>
              <w:t>冰轮入选</w:t>
            </w:r>
          </w:p>
        </w:tc>
        <w:tc>
          <w:tcPr>
            <w:tcW w:type="dxa" w:w="2835"/>
          </w:tcPr>
          <w:p>
            <w:pPr>
              <w:spacing w:lineRule="exact" w:line="600"/>
              <w:jc w:val="center"/>
            </w:pPr>
            <w:r/>
            <w:r>
              <w:rPr>
                <w:rFonts w:ascii="仿宋_GB2312" w:hAnsi="仿宋_GB2312" w:eastAsia="仿宋_GB2312"/>
                <w:b w:val="0"/>
                <w:color w:val="000000"/>
                <w:sz w:val="32"/>
              </w:rPr>
              <w:t>烟台市</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双碳」目标推动碳捕集、工业热管理、氢能装备需求爆发，冰轮环境相关新兴业务营收占比已超70%；食品冷链、数据中心、核电、轨道交通等场景扩张拉动低温冷冻与中央空调需求；环保装备制造业2025年目标1.3万亿元、距2023年9700亿元仍有约34%空间，行业扩容确定。山东省与烟台市政策（倍增计划、首台套奖补）提供资金与场景支持，环境治理装备迎来战略机遇期。</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w:t>
            </w:r>
          </w:p>
        </w:tc>
        <w:tc>
          <w:tcPr>
            <w:tcW w:type="dxa" w:w="3402"/>
          </w:tcPr>
          <w:p>
            <w:pPr>
              <w:spacing w:lineRule="exact" w:line="600"/>
              <w:jc w:val="center"/>
            </w:pPr>
            <w:r/>
            <w:r>
              <w:rPr>
                <w:rFonts w:ascii="黑体" w:hAnsi="黑体" w:eastAsia="黑体"/>
                <w:b/>
                <w:color w:val="000000"/>
                <w:sz w:val="32"/>
              </w:rPr>
              <w:t>驱动</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双碳/CCUS</w:t>
            </w:r>
          </w:p>
        </w:tc>
        <w:tc>
          <w:tcPr>
            <w:tcW w:type="dxa" w:w="3402"/>
          </w:tcPr>
          <w:p>
            <w:pPr>
              <w:spacing w:lineRule="exact" w:line="600"/>
              <w:jc w:val="center"/>
            </w:pPr>
            <w:r/>
            <w:r>
              <w:rPr>
                <w:rFonts w:ascii="仿宋_GB2312" w:hAnsi="仿宋_GB2312" w:eastAsia="仿宋_GB2312"/>
                <w:b w:val="0"/>
                <w:color w:val="000000"/>
                <w:sz w:val="32"/>
              </w:rPr>
              <w:t>降碳需求</w:t>
            </w:r>
          </w:p>
        </w:tc>
        <w:tc>
          <w:tcPr>
            <w:tcW w:type="dxa" w:w="3118"/>
          </w:tcPr>
          <w:p>
            <w:pPr>
              <w:spacing w:lineRule="exact" w:line="600"/>
              <w:jc w:val="center"/>
            </w:pPr>
            <w:r/>
            <w:r>
              <w:rPr>
                <w:rFonts w:ascii="仿宋_GB2312" w:hAnsi="仿宋_GB2312" w:eastAsia="仿宋_GB2312"/>
                <w:b w:val="0"/>
                <w:color w:val="000000"/>
                <w:sz w:val="32"/>
              </w:rPr>
              <w:t>年降碳三千万吨</w:t>
            </w:r>
          </w:p>
        </w:tc>
      </w:tr>
      <w:tr>
        <w:tc>
          <w:tcPr>
            <w:tcW w:type="dxa" w:w="2551"/>
          </w:tcPr>
          <w:p>
            <w:pPr>
              <w:spacing w:lineRule="exact" w:line="600"/>
              <w:jc w:val="center"/>
            </w:pPr>
            <w:r/>
            <w:r>
              <w:rPr>
                <w:rFonts w:ascii="仿宋_GB2312" w:hAnsi="仿宋_GB2312" w:eastAsia="仿宋_GB2312"/>
                <w:b w:val="0"/>
                <w:color w:val="000000"/>
                <w:sz w:val="32"/>
              </w:rPr>
              <w:t>冷链/数据中心</w:t>
            </w:r>
          </w:p>
        </w:tc>
        <w:tc>
          <w:tcPr>
            <w:tcW w:type="dxa" w:w="3402"/>
          </w:tcPr>
          <w:p>
            <w:pPr>
              <w:spacing w:lineRule="exact" w:line="600"/>
              <w:jc w:val="center"/>
            </w:pPr>
            <w:r/>
            <w:r>
              <w:rPr>
                <w:rFonts w:ascii="仿宋_GB2312" w:hAnsi="仿宋_GB2312" w:eastAsia="仿宋_GB2312"/>
                <w:b w:val="0"/>
                <w:color w:val="000000"/>
                <w:sz w:val="32"/>
              </w:rPr>
              <w:t>新基建</w:t>
            </w:r>
          </w:p>
        </w:tc>
        <w:tc>
          <w:tcPr>
            <w:tcW w:type="dxa" w:w="3118"/>
          </w:tcPr>
          <w:p>
            <w:pPr>
              <w:spacing w:lineRule="exact" w:line="600"/>
              <w:jc w:val="center"/>
            </w:pPr>
            <w:r/>
            <w:r>
              <w:rPr>
                <w:rFonts w:ascii="仿宋_GB2312" w:hAnsi="仿宋_GB2312" w:eastAsia="仿宋_GB2312"/>
                <w:b w:val="0"/>
                <w:color w:val="000000"/>
                <w:sz w:val="32"/>
              </w:rPr>
              <w:t>需求稳</w:t>
            </w:r>
          </w:p>
        </w:tc>
      </w:tr>
      <w:tr>
        <w:tc>
          <w:tcPr>
            <w:tcW w:type="dxa" w:w="2551"/>
          </w:tcPr>
          <w:p>
            <w:pPr>
              <w:spacing w:lineRule="exact" w:line="600"/>
              <w:jc w:val="center"/>
            </w:pPr>
            <w:r/>
            <w:r>
              <w:rPr>
                <w:rFonts w:ascii="仿宋_GB2312" w:hAnsi="仿宋_GB2312" w:eastAsia="仿宋_GB2312"/>
                <w:b w:val="0"/>
                <w:color w:val="000000"/>
                <w:sz w:val="32"/>
              </w:rPr>
              <w:t>行业扩容</w:t>
            </w:r>
          </w:p>
        </w:tc>
        <w:tc>
          <w:tcPr>
            <w:tcW w:type="dxa" w:w="3402"/>
          </w:tcPr>
          <w:p>
            <w:pPr>
              <w:spacing w:lineRule="exact" w:line="600"/>
              <w:jc w:val="center"/>
            </w:pPr>
            <w:r/>
            <w:r>
              <w:rPr>
                <w:rFonts w:ascii="仿宋_GB2312" w:hAnsi="仿宋_GB2312" w:eastAsia="仿宋_GB2312"/>
                <w:b w:val="0"/>
                <w:color w:val="000000"/>
                <w:sz w:val="32"/>
              </w:rPr>
              <w:t>2025达1.3万亿</w:t>
            </w:r>
          </w:p>
        </w:tc>
        <w:tc>
          <w:tcPr>
            <w:tcW w:type="dxa" w:w="3118"/>
          </w:tcPr>
          <w:p>
            <w:pPr>
              <w:spacing w:lineRule="exact" w:line="600"/>
              <w:jc w:val="center"/>
            </w:pPr>
            <w:r/>
            <w:r>
              <w:rPr>
                <w:rFonts w:ascii="仿宋_GB2312" w:hAnsi="仿宋_GB2312" w:eastAsia="仿宋_GB2312"/>
                <w:b w:val="0"/>
                <w:color w:val="000000"/>
                <w:sz w:val="32"/>
              </w:rPr>
              <w:t>+34%空间</w:t>
            </w:r>
          </w:p>
        </w:tc>
      </w:tr>
      <w:tr>
        <w:tc>
          <w:tcPr>
            <w:tcW w:type="dxa" w:w="2551"/>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倍增/首台套</w:t>
            </w:r>
          </w:p>
        </w:tc>
        <w:tc>
          <w:tcPr>
            <w:tcW w:type="dxa" w:w="3118"/>
          </w:tcPr>
          <w:p>
            <w:pPr>
              <w:spacing w:lineRule="exact" w:line="600"/>
              <w:jc w:val="center"/>
            </w:pPr>
            <w:r/>
            <w:r>
              <w:rPr>
                <w:rFonts w:ascii="仿宋_GB2312" w:hAnsi="仿宋_GB2312" w:eastAsia="仿宋_GB2312"/>
                <w:b w:val="0"/>
                <w:color w:val="000000"/>
                <w:sz w:val="32"/>
              </w:rPr>
              <w:t>资金支持</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传统制冷空调与中央空调市场竞争激烈、价格承压；二是海外需求波动与贸易摩擦影响出口（国外收入占33%）；三是原材料（钢材、铜）与能源价格扰动成本；四是工程施工业务毛利率低（0.56%），需向高毛利装备与服务转型。集群内诚佑环保等中小企业公开数据有限、规模偏小，整体「龙头强、配套弱」特征明显，需补强配套梯队。</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竞争加剧</w:t>
            </w:r>
          </w:p>
        </w:tc>
        <w:tc>
          <w:tcPr>
            <w:tcW w:type="dxa" w:w="3402"/>
          </w:tcPr>
          <w:p>
            <w:pPr>
              <w:spacing w:lineRule="exact" w:line="600"/>
              <w:jc w:val="center"/>
            </w:pPr>
            <w:r/>
            <w:r>
              <w:rPr>
                <w:rFonts w:ascii="仿宋_GB2312" w:hAnsi="仿宋_GB2312" w:eastAsia="仿宋_GB2312"/>
                <w:b w:val="0"/>
                <w:color w:val="000000"/>
                <w:sz w:val="32"/>
              </w:rPr>
              <w:t>传统空调</w:t>
            </w:r>
          </w:p>
        </w:tc>
        <w:tc>
          <w:tcPr>
            <w:tcW w:type="dxa" w:w="3118"/>
          </w:tcPr>
          <w:p>
            <w:pPr>
              <w:spacing w:lineRule="exact" w:line="600"/>
              <w:jc w:val="center"/>
            </w:pPr>
            <w:r/>
            <w:r>
              <w:rPr>
                <w:rFonts w:ascii="仿宋_GB2312" w:hAnsi="仿宋_GB2312" w:eastAsia="仿宋_GB2312"/>
                <w:b w:val="0"/>
                <w:color w:val="000000"/>
                <w:sz w:val="32"/>
              </w:rPr>
              <w:t>价格压</w:t>
            </w:r>
          </w:p>
        </w:tc>
      </w:tr>
      <w:tr>
        <w:tc>
          <w:tcPr>
            <w:tcW w:type="dxa" w:w="2551"/>
          </w:tcPr>
          <w:p>
            <w:pPr>
              <w:spacing w:lineRule="exact" w:line="600"/>
              <w:jc w:val="center"/>
            </w:pPr>
            <w:r/>
            <w:r>
              <w:rPr>
                <w:rFonts w:ascii="仿宋_GB2312" w:hAnsi="仿宋_GB2312" w:eastAsia="仿宋_GB2312"/>
                <w:b w:val="0"/>
                <w:color w:val="000000"/>
                <w:sz w:val="32"/>
              </w:rPr>
              <w:t>海外波动</w:t>
            </w:r>
          </w:p>
        </w:tc>
        <w:tc>
          <w:tcPr>
            <w:tcW w:type="dxa" w:w="3402"/>
          </w:tcPr>
          <w:p>
            <w:pPr>
              <w:spacing w:lineRule="exact" w:line="600"/>
              <w:jc w:val="center"/>
            </w:pPr>
            <w:r/>
            <w:r>
              <w:rPr>
                <w:rFonts w:ascii="仿宋_GB2312" w:hAnsi="仿宋_GB2312" w:eastAsia="仿宋_GB2312"/>
                <w:b w:val="0"/>
                <w:color w:val="000000"/>
                <w:sz w:val="32"/>
              </w:rPr>
              <w:t>出口占33%</w:t>
            </w:r>
          </w:p>
        </w:tc>
        <w:tc>
          <w:tcPr>
            <w:tcW w:type="dxa" w:w="3118"/>
          </w:tcPr>
          <w:p>
            <w:pPr>
              <w:spacing w:lineRule="exact" w:line="600"/>
              <w:jc w:val="center"/>
            </w:pPr>
            <w:r/>
            <w:r>
              <w:rPr>
                <w:rFonts w:ascii="仿宋_GB2312" w:hAnsi="仿宋_GB2312" w:eastAsia="仿宋_GB2312"/>
                <w:b w:val="0"/>
                <w:color w:val="000000"/>
                <w:sz w:val="32"/>
              </w:rPr>
              <w:t>需求风险</w:t>
            </w:r>
          </w:p>
        </w:tc>
      </w:tr>
      <w:tr>
        <w:tc>
          <w:tcPr>
            <w:tcW w:type="dxa" w:w="2551"/>
          </w:tcPr>
          <w:p>
            <w:pPr>
              <w:spacing w:lineRule="exact" w:line="600"/>
              <w:jc w:val="center"/>
            </w:pPr>
            <w:r/>
            <w:r>
              <w:rPr>
                <w:rFonts w:ascii="仿宋_GB2312" w:hAnsi="仿宋_GB2312" w:eastAsia="仿宋_GB2312"/>
                <w:b w:val="0"/>
                <w:color w:val="000000"/>
                <w:sz w:val="32"/>
              </w:rPr>
              <w:t>原料价格</w:t>
            </w:r>
          </w:p>
        </w:tc>
        <w:tc>
          <w:tcPr>
            <w:tcW w:type="dxa" w:w="3402"/>
          </w:tcPr>
          <w:p>
            <w:pPr>
              <w:spacing w:lineRule="exact" w:line="600"/>
              <w:jc w:val="center"/>
            </w:pPr>
            <w:r/>
            <w:r>
              <w:rPr>
                <w:rFonts w:ascii="仿宋_GB2312" w:hAnsi="仿宋_GB2312" w:eastAsia="仿宋_GB2312"/>
                <w:b w:val="0"/>
                <w:color w:val="000000"/>
                <w:sz w:val="32"/>
              </w:rPr>
              <w:t>钢/铜</w:t>
            </w:r>
          </w:p>
        </w:tc>
        <w:tc>
          <w:tcPr>
            <w:tcW w:type="dxa" w:w="3118"/>
          </w:tcPr>
          <w:p>
            <w:pPr>
              <w:spacing w:lineRule="exact" w:line="600"/>
              <w:jc w:val="center"/>
            </w:pPr>
            <w:r/>
            <w:r>
              <w:rPr>
                <w:rFonts w:ascii="仿宋_GB2312" w:hAnsi="仿宋_GB2312" w:eastAsia="仿宋_GB2312"/>
                <w:b w:val="0"/>
                <w:color w:val="000000"/>
                <w:sz w:val="32"/>
              </w:rPr>
              <w:t>成本扰</w:t>
            </w:r>
          </w:p>
        </w:tc>
      </w:tr>
      <w:tr>
        <w:tc>
          <w:tcPr>
            <w:tcW w:type="dxa" w:w="2551"/>
          </w:tcPr>
          <w:p>
            <w:pPr>
              <w:spacing w:lineRule="exact" w:line="600"/>
              <w:jc w:val="center"/>
            </w:pPr>
            <w:r/>
            <w:r>
              <w:rPr>
                <w:rFonts w:ascii="仿宋_GB2312" w:hAnsi="仿宋_GB2312" w:eastAsia="仿宋_GB2312"/>
                <w:b w:val="0"/>
                <w:color w:val="000000"/>
                <w:sz w:val="32"/>
              </w:rPr>
              <w:t>工程毛利低</w:t>
            </w:r>
          </w:p>
        </w:tc>
        <w:tc>
          <w:tcPr>
            <w:tcW w:type="dxa" w:w="3402"/>
          </w:tcPr>
          <w:p>
            <w:pPr>
              <w:spacing w:lineRule="exact" w:line="600"/>
              <w:jc w:val="center"/>
            </w:pPr>
            <w:r/>
            <w:r>
              <w:rPr>
                <w:rFonts w:ascii="仿宋_GB2312" w:hAnsi="仿宋_GB2312" w:eastAsia="仿宋_GB2312"/>
                <w:b w:val="0"/>
                <w:color w:val="000000"/>
                <w:sz w:val="32"/>
              </w:rPr>
              <w:t>0.56%</w:t>
            </w:r>
          </w:p>
        </w:tc>
        <w:tc>
          <w:tcPr>
            <w:tcW w:type="dxa" w:w="3118"/>
          </w:tcPr>
          <w:p>
            <w:pPr>
              <w:spacing w:lineRule="exact" w:line="600"/>
              <w:jc w:val="center"/>
            </w:pPr>
            <w:r/>
            <w:r>
              <w:rPr>
                <w:rFonts w:ascii="仿宋_GB2312" w:hAnsi="仿宋_GB2312" w:eastAsia="仿宋_GB2312"/>
                <w:b w:val="0"/>
                <w:color w:val="000000"/>
                <w:sz w:val="32"/>
              </w:rPr>
              <w:t>转型压力</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年报明确提示主要风险：原材料价格波动风险、应收账款回收风险（2023年末应收账款上升15.65%）、存货风险（存货14.15亿元）。此外有海外需求不及预期、汇率与地缘政治风险，以及技术迭代与高端装备进口替代不及预期风险。建议以套保、客户资信预审、提单式生产控存货、客户与区域多元化为缓释手段。</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缓释</w:t>
            </w:r>
          </w:p>
        </w:tc>
      </w:tr>
      <w:tr>
        <w:tc>
          <w:tcPr>
            <w:tcW w:type="dxa" w:w="2551"/>
          </w:tcPr>
          <w:p>
            <w:pPr>
              <w:spacing w:lineRule="exact" w:line="600"/>
              <w:jc w:val="center"/>
            </w:pPr>
            <w:r/>
            <w:r>
              <w:rPr>
                <w:rFonts w:ascii="仿宋_GB2312" w:hAnsi="仿宋_GB2312" w:eastAsia="仿宋_GB2312"/>
                <w:b w:val="0"/>
                <w:color w:val="000000"/>
                <w:sz w:val="32"/>
              </w:rPr>
              <w:t>价格</w:t>
            </w:r>
          </w:p>
        </w:tc>
        <w:tc>
          <w:tcPr>
            <w:tcW w:type="dxa" w:w="3402"/>
          </w:tcPr>
          <w:p>
            <w:pPr>
              <w:spacing w:lineRule="exact" w:line="600"/>
              <w:jc w:val="center"/>
            </w:pPr>
            <w:r/>
            <w:r>
              <w:rPr>
                <w:rFonts w:ascii="仿宋_GB2312" w:hAnsi="仿宋_GB2312" w:eastAsia="仿宋_GB2312"/>
                <w:b w:val="0"/>
                <w:color w:val="000000"/>
                <w:sz w:val="32"/>
              </w:rPr>
              <w:t>钢/铜波动</w:t>
            </w:r>
          </w:p>
        </w:tc>
        <w:tc>
          <w:tcPr>
            <w:tcW w:type="dxa" w:w="3118"/>
          </w:tcPr>
          <w:p>
            <w:pPr>
              <w:spacing w:lineRule="exact" w:line="600"/>
              <w:jc w:val="center"/>
            </w:pPr>
            <w:r/>
            <w:r>
              <w:rPr>
                <w:rFonts w:ascii="仿宋_GB2312" w:hAnsi="仿宋_GB2312" w:eastAsia="仿宋_GB2312"/>
                <w:b w:val="0"/>
                <w:color w:val="000000"/>
                <w:sz w:val="32"/>
              </w:rPr>
              <w:t>套保</w:t>
            </w:r>
          </w:p>
        </w:tc>
      </w:tr>
      <w:tr>
        <w:tc>
          <w:tcPr>
            <w:tcW w:type="dxa" w:w="2551"/>
          </w:tcPr>
          <w:p>
            <w:pPr>
              <w:spacing w:lineRule="exact" w:line="600"/>
              <w:jc w:val="center"/>
            </w:pPr>
            <w:r/>
            <w:r>
              <w:rPr>
                <w:rFonts w:ascii="仿宋_GB2312" w:hAnsi="仿宋_GB2312" w:eastAsia="仿宋_GB2312"/>
                <w:b w:val="0"/>
                <w:color w:val="000000"/>
                <w:sz w:val="32"/>
              </w:rPr>
              <w:t>应收</w:t>
            </w:r>
          </w:p>
        </w:tc>
        <w:tc>
          <w:tcPr>
            <w:tcW w:type="dxa" w:w="3402"/>
          </w:tcPr>
          <w:p>
            <w:pPr>
              <w:spacing w:lineRule="exact" w:line="600"/>
              <w:jc w:val="center"/>
            </w:pPr>
            <w:r/>
            <w:r>
              <w:rPr>
                <w:rFonts w:ascii="仿宋_GB2312" w:hAnsi="仿宋_GB2312" w:eastAsia="仿宋_GB2312"/>
                <w:b w:val="0"/>
                <w:color w:val="000000"/>
                <w:sz w:val="32"/>
              </w:rPr>
              <w:t>账款+15.65%</w:t>
            </w:r>
          </w:p>
        </w:tc>
        <w:tc>
          <w:tcPr>
            <w:tcW w:type="dxa" w:w="3118"/>
          </w:tcPr>
          <w:p>
            <w:pPr>
              <w:spacing w:lineRule="exact" w:line="600"/>
              <w:jc w:val="center"/>
            </w:pPr>
            <w:r/>
            <w:r>
              <w:rPr>
                <w:rFonts w:ascii="仿宋_GB2312" w:hAnsi="仿宋_GB2312" w:eastAsia="仿宋_GB2312"/>
                <w:b w:val="0"/>
                <w:color w:val="000000"/>
                <w:sz w:val="32"/>
              </w:rPr>
              <w:t>资信预审</w:t>
            </w:r>
          </w:p>
        </w:tc>
      </w:tr>
      <w:tr>
        <w:tc>
          <w:tcPr>
            <w:tcW w:type="dxa" w:w="2551"/>
          </w:tcPr>
          <w:p>
            <w:pPr>
              <w:spacing w:lineRule="exact" w:line="600"/>
              <w:jc w:val="center"/>
            </w:pPr>
            <w:r/>
            <w:r>
              <w:rPr>
                <w:rFonts w:ascii="仿宋_GB2312" w:hAnsi="仿宋_GB2312" w:eastAsia="仿宋_GB2312"/>
                <w:b w:val="0"/>
                <w:color w:val="000000"/>
                <w:sz w:val="32"/>
              </w:rPr>
              <w:t>存货</w:t>
            </w:r>
          </w:p>
        </w:tc>
        <w:tc>
          <w:tcPr>
            <w:tcW w:type="dxa" w:w="3402"/>
          </w:tcPr>
          <w:p>
            <w:pPr>
              <w:spacing w:lineRule="exact" w:line="600"/>
              <w:jc w:val="center"/>
            </w:pPr>
            <w:r/>
            <w:r>
              <w:rPr>
                <w:rFonts w:ascii="仿宋_GB2312" w:hAnsi="仿宋_GB2312" w:eastAsia="仿宋_GB2312"/>
                <w:b w:val="0"/>
                <w:color w:val="000000"/>
                <w:sz w:val="32"/>
              </w:rPr>
              <w:t>14.15亿元</w:t>
            </w:r>
          </w:p>
        </w:tc>
        <w:tc>
          <w:tcPr>
            <w:tcW w:type="dxa" w:w="3118"/>
          </w:tcPr>
          <w:p>
            <w:pPr>
              <w:spacing w:lineRule="exact" w:line="600"/>
              <w:jc w:val="center"/>
            </w:pPr>
            <w:r/>
            <w:r>
              <w:rPr>
                <w:rFonts w:ascii="仿宋_GB2312" w:hAnsi="仿宋_GB2312" w:eastAsia="仿宋_GB2312"/>
                <w:b w:val="0"/>
                <w:color w:val="000000"/>
                <w:sz w:val="32"/>
              </w:rPr>
              <w:t>提单生产</w:t>
            </w:r>
          </w:p>
        </w:tc>
      </w:tr>
      <w:tr>
        <w:tc>
          <w:tcPr>
            <w:tcW w:type="dxa" w:w="2551"/>
          </w:tcPr>
          <w:p>
            <w:pPr>
              <w:spacing w:lineRule="exact" w:line="600"/>
              <w:jc w:val="center"/>
            </w:pPr>
            <w:r/>
            <w:r>
              <w:rPr>
                <w:rFonts w:ascii="仿宋_GB2312" w:hAnsi="仿宋_GB2312" w:eastAsia="仿宋_GB2312"/>
                <w:b w:val="0"/>
                <w:color w:val="000000"/>
                <w:sz w:val="32"/>
              </w:rPr>
              <w:t>海外</w:t>
            </w:r>
          </w:p>
        </w:tc>
        <w:tc>
          <w:tcPr>
            <w:tcW w:type="dxa" w:w="3402"/>
          </w:tcPr>
          <w:p>
            <w:pPr>
              <w:spacing w:lineRule="exact" w:line="600"/>
              <w:jc w:val="center"/>
            </w:pPr>
            <w:r/>
            <w:r>
              <w:rPr>
                <w:rFonts w:ascii="仿宋_GB2312" w:hAnsi="仿宋_GB2312" w:eastAsia="仿宋_GB2312"/>
                <w:b w:val="0"/>
                <w:color w:val="000000"/>
                <w:sz w:val="32"/>
              </w:rPr>
              <w:t>需求/汇率</w:t>
            </w:r>
          </w:p>
        </w:tc>
        <w:tc>
          <w:tcPr>
            <w:tcW w:type="dxa" w:w="3118"/>
          </w:tcPr>
          <w:p>
            <w:pPr>
              <w:spacing w:lineRule="exact" w:line="600"/>
              <w:jc w:val="center"/>
            </w:pPr>
            <w:r/>
            <w:r>
              <w:rPr>
                <w:rFonts w:ascii="仿宋_GB2312" w:hAnsi="仿宋_GB2312" w:eastAsia="仿宋_GB2312"/>
                <w:b w:val="0"/>
                <w:color w:val="000000"/>
                <w:sz w:val="32"/>
              </w:rPr>
              <w:t>多元</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（一）高端化与低碳化</w:t>
      </w:r>
    </w:p>
    <w:p>
      <w:pPr>
        <w:spacing w:lineRule="exact" w:line="600" w:before="0" w:after="0"/>
        <w:ind w:firstLine="420"/>
        <w:jc w:val="both"/>
      </w:pPr>
      <w:r>
        <w:rPr>
          <w:rFonts w:ascii="仿宋_GB2312" w:hAnsi="仿宋_GB2312" w:eastAsia="仿宋_GB2312"/>
          <w:b w:val="0"/>
          <w:color w:val="000000"/>
          <w:sz w:val="32"/>
        </w:rPr>
        <w:t>冰轮环境围绕低碳能源利用、工业热管理、氢能装备加快向低碳能源产业转型，以核心技术引领。路径包括：做强碳捕集封存利用装备（CO2增压液化机组）、拓展氢能压缩/液化装备、提升工业气体压缩液化能力，并由生产制造型向服务制造型转变。2023年新产品、新技术、新产业营收占比超70%，高端化与低碳化成为升级主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升级方向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碳捕集装备</w:t>
            </w:r>
          </w:p>
        </w:tc>
        <w:tc>
          <w:tcPr>
            <w:tcW w:type="dxa" w:w="3402"/>
          </w:tcPr>
          <w:p>
            <w:pPr>
              <w:spacing w:lineRule="exact" w:line="600"/>
              <w:jc w:val="center"/>
            </w:pPr>
            <w:r/>
            <w:r>
              <w:rPr>
                <w:rFonts w:ascii="仿宋_GB2312" w:hAnsi="仿宋_GB2312" w:eastAsia="仿宋_GB2312"/>
                <w:b w:val="0"/>
                <w:color w:val="000000"/>
                <w:sz w:val="32"/>
              </w:rPr>
              <w:t>CO2液化机组</w:t>
            </w:r>
          </w:p>
        </w:tc>
        <w:tc>
          <w:tcPr>
            <w:tcW w:type="dxa" w:w="2835"/>
          </w:tcPr>
          <w:p>
            <w:pPr>
              <w:spacing w:lineRule="exact" w:line="600"/>
              <w:jc w:val="center"/>
            </w:pPr>
            <w:r/>
            <w:r>
              <w:rPr>
                <w:rFonts w:ascii="仿宋_GB2312" w:hAnsi="仿宋_GB2312" w:eastAsia="仿宋_GB2312"/>
                <w:b w:val="0"/>
                <w:color w:val="000000"/>
                <w:sz w:val="32"/>
              </w:rPr>
              <w:t>冰轮环境</w:t>
            </w:r>
          </w:p>
        </w:tc>
      </w:tr>
      <w:tr>
        <w:tc>
          <w:tcPr>
            <w:tcW w:type="dxa" w:w="2835"/>
          </w:tcPr>
          <w:p>
            <w:pPr>
              <w:spacing w:lineRule="exact" w:line="600"/>
              <w:jc w:val="center"/>
            </w:pPr>
            <w:r/>
            <w:r>
              <w:rPr>
                <w:rFonts w:ascii="仿宋_GB2312" w:hAnsi="仿宋_GB2312" w:eastAsia="仿宋_GB2312"/>
                <w:b w:val="0"/>
                <w:color w:val="000000"/>
                <w:sz w:val="32"/>
              </w:rPr>
              <w:t>氢能装备</w:t>
            </w:r>
          </w:p>
        </w:tc>
        <w:tc>
          <w:tcPr>
            <w:tcW w:type="dxa" w:w="3402"/>
          </w:tcPr>
          <w:p>
            <w:pPr>
              <w:spacing w:lineRule="exact" w:line="600"/>
              <w:jc w:val="center"/>
            </w:pPr>
            <w:r/>
            <w:r>
              <w:rPr>
                <w:rFonts w:ascii="仿宋_GB2312" w:hAnsi="仿宋_GB2312" w:eastAsia="仿宋_GB2312"/>
                <w:b w:val="0"/>
                <w:color w:val="000000"/>
                <w:sz w:val="32"/>
              </w:rPr>
              <w:t>压缩/液化</w:t>
            </w:r>
          </w:p>
        </w:tc>
        <w:tc>
          <w:tcPr>
            <w:tcW w:type="dxa" w:w="2835"/>
          </w:tcPr>
          <w:p>
            <w:pPr>
              <w:spacing w:lineRule="exact" w:line="600"/>
              <w:jc w:val="center"/>
            </w:pPr>
            <w:r/>
            <w:r>
              <w:rPr>
                <w:rFonts w:ascii="仿宋_GB2312" w:hAnsi="仿宋_GB2312" w:eastAsia="仿宋_GB2312"/>
                <w:b w:val="0"/>
                <w:color w:val="000000"/>
                <w:sz w:val="32"/>
              </w:rPr>
              <w:t>冰轮环境</w:t>
            </w:r>
          </w:p>
        </w:tc>
      </w:tr>
      <w:tr>
        <w:tc>
          <w:tcPr>
            <w:tcW w:type="dxa" w:w="2835"/>
          </w:tcPr>
          <w:p>
            <w:pPr>
              <w:spacing w:lineRule="exact" w:line="600"/>
              <w:jc w:val="center"/>
            </w:pPr>
            <w:r/>
            <w:r>
              <w:rPr>
                <w:rFonts w:ascii="仿宋_GB2312" w:hAnsi="仿宋_GB2312" w:eastAsia="仿宋_GB2312"/>
                <w:b w:val="0"/>
                <w:color w:val="000000"/>
                <w:sz w:val="32"/>
              </w:rPr>
              <w:t>工业热管理</w:t>
            </w:r>
          </w:p>
        </w:tc>
        <w:tc>
          <w:tcPr>
            <w:tcW w:type="dxa" w:w="3402"/>
          </w:tcPr>
          <w:p>
            <w:pPr>
              <w:spacing w:lineRule="exact" w:line="600"/>
              <w:jc w:val="center"/>
            </w:pPr>
            <w:r/>
            <w:r>
              <w:rPr>
                <w:rFonts w:ascii="仿宋_GB2312" w:hAnsi="仿宋_GB2312" w:eastAsia="仿宋_GB2312"/>
                <w:b w:val="0"/>
                <w:color w:val="000000"/>
                <w:sz w:val="32"/>
              </w:rPr>
              <w:t>气体压缩</w:t>
            </w:r>
          </w:p>
        </w:tc>
        <w:tc>
          <w:tcPr>
            <w:tcW w:type="dxa" w:w="2835"/>
          </w:tcPr>
          <w:p>
            <w:pPr>
              <w:spacing w:lineRule="exact" w:line="600"/>
              <w:jc w:val="center"/>
            </w:pPr>
            <w:r/>
            <w:r>
              <w:rPr>
                <w:rFonts w:ascii="仿宋_GB2312" w:hAnsi="仿宋_GB2312" w:eastAsia="仿宋_GB2312"/>
                <w:b w:val="0"/>
                <w:color w:val="000000"/>
                <w:sz w:val="32"/>
              </w:rPr>
              <w:t>冰轮环境</w:t>
            </w:r>
          </w:p>
        </w:tc>
      </w:tr>
      <w:tr>
        <w:tc>
          <w:tcPr>
            <w:tcW w:type="dxa" w:w="2835"/>
          </w:tcPr>
          <w:p>
            <w:pPr>
              <w:spacing w:lineRule="exact" w:line="600"/>
              <w:jc w:val="center"/>
            </w:pPr>
            <w:r/>
            <w:r>
              <w:rPr>
                <w:rFonts w:ascii="仿宋_GB2312" w:hAnsi="仿宋_GB2312" w:eastAsia="仿宋_GB2312"/>
                <w:b w:val="0"/>
                <w:color w:val="000000"/>
                <w:sz w:val="32"/>
              </w:rPr>
              <w:t>服务制造</w:t>
            </w:r>
          </w:p>
        </w:tc>
        <w:tc>
          <w:tcPr>
            <w:tcW w:type="dxa" w:w="3402"/>
          </w:tcPr>
          <w:p>
            <w:pPr>
              <w:spacing w:lineRule="exact" w:line="600"/>
              <w:jc w:val="center"/>
            </w:pPr>
            <w:r/>
            <w:r>
              <w:rPr>
                <w:rFonts w:ascii="仿宋_GB2312" w:hAnsi="仿宋_GB2312" w:eastAsia="仿宋_GB2312"/>
                <w:b w:val="0"/>
                <w:color w:val="000000"/>
                <w:sz w:val="32"/>
              </w:rPr>
              <w:t>转型</w:t>
            </w:r>
          </w:p>
        </w:tc>
        <w:tc>
          <w:tcPr>
            <w:tcW w:type="dxa" w:w="2835"/>
          </w:tcPr>
          <w:p>
            <w:pPr>
              <w:spacing w:lineRule="exact" w:line="600"/>
              <w:jc w:val="center"/>
            </w:pPr>
            <w:r/>
            <w:r>
              <w:rPr>
                <w:rFonts w:ascii="仿宋_GB2312" w:hAnsi="仿宋_GB2312" w:eastAsia="仿宋_GB2312"/>
                <w:b w:val="0"/>
                <w:color w:val="000000"/>
                <w:sz w:val="32"/>
              </w:rPr>
              <w:t>战略</w:t>
            </w:r>
          </w:p>
        </w:tc>
      </w:tr>
    </w:tbl>
    <w:p>
      <w:pPr>
        <w:spacing w:lineRule="exact" w:line="600" w:before="120" w:after="120"/>
        <w:ind w:firstLine="420"/>
        <w:jc w:val="left"/>
      </w:pPr>
      <w:r>
        <w:rPr>
          <w:rFonts w:ascii="楷体_GB2312" w:hAnsi="楷体_GB2312" w:eastAsia="楷体_GB2312"/>
          <w:b w:val="0"/>
          <w:color w:val="000000"/>
          <w:sz w:val="32"/>
        </w:rPr>
        <w:t>（二）数智化工厂</w:t>
      </w:r>
    </w:p>
    <w:p>
      <w:pPr>
        <w:spacing w:lineRule="exact" w:line="600" w:before="0" w:after="0"/>
        <w:ind w:firstLine="420"/>
        <w:jc w:val="both"/>
      </w:pPr>
      <w:r>
        <w:rPr>
          <w:rFonts w:ascii="仿宋_GB2312" w:hAnsi="仿宋_GB2312" w:eastAsia="仿宋_GB2312"/>
          <w:b w:val="0"/>
          <w:color w:val="000000"/>
          <w:sz w:val="32"/>
        </w:rPr>
        <w:t>以哈特福德压缩机数字工厂为标杆，推进装备制造的智能原生与全流程数字化。芝罘区通过1000万元工业互联网专项资金、数字化转型试点支持企业上云用数赋智；集群内8家企业获批省「晨星工厂」。路径上推动「工艺+自动化+数字化」融合，提升良率、降低对熟练工依赖，打造离散型智能制造示范。</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数智路径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指标</w:t>
            </w:r>
          </w:p>
        </w:tc>
      </w:tr>
      <w:tr>
        <w:tc>
          <w:tcPr>
            <w:tcW w:type="dxa" w:w="2835"/>
          </w:tcPr>
          <w:p>
            <w:pPr>
              <w:spacing w:lineRule="exact" w:line="600"/>
              <w:jc w:val="center"/>
            </w:pPr>
            <w:r/>
            <w:r>
              <w:rPr>
                <w:rFonts w:ascii="仿宋_GB2312" w:hAnsi="仿宋_GB2312" w:eastAsia="仿宋_GB2312"/>
                <w:b w:val="0"/>
                <w:color w:val="000000"/>
                <w:sz w:val="32"/>
              </w:rPr>
              <w:t>数字工厂</w:t>
            </w:r>
          </w:p>
        </w:tc>
        <w:tc>
          <w:tcPr>
            <w:tcW w:type="dxa" w:w="3402"/>
          </w:tcPr>
          <w:p>
            <w:pPr>
              <w:spacing w:lineRule="exact" w:line="600"/>
              <w:jc w:val="center"/>
            </w:pPr>
            <w:r/>
            <w:r>
              <w:rPr>
                <w:rFonts w:ascii="仿宋_GB2312" w:hAnsi="仿宋_GB2312" w:eastAsia="仿宋_GB2312"/>
                <w:b w:val="0"/>
                <w:color w:val="000000"/>
                <w:sz w:val="32"/>
              </w:rPr>
              <w:t>哈特福德原生</w:t>
            </w:r>
          </w:p>
        </w:tc>
        <w:tc>
          <w:tcPr>
            <w:tcW w:type="dxa" w:w="2835"/>
          </w:tcPr>
          <w:p>
            <w:pPr>
              <w:spacing w:lineRule="exact" w:line="600"/>
              <w:jc w:val="center"/>
            </w:pPr>
            <w:r/>
            <w:r>
              <w:rPr>
                <w:rFonts w:ascii="仿宋_GB2312" w:hAnsi="仿宋_GB2312" w:eastAsia="仿宋_GB2312"/>
                <w:b w:val="0"/>
                <w:color w:val="000000"/>
                <w:sz w:val="32"/>
              </w:rPr>
              <w:t>标杆</w:t>
            </w:r>
          </w:p>
        </w:tc>
      </w:tr>
      <w:tr>
        <w:tc>
          <w:tcPr>
            <w:tcW w:type="dxa" w:w="2835"/>
          </w:tcPr>
          <w:p>
            <w:pPr>
              <w:spacing w:lineRule="exact" w:line="600"/>
              <w:jc w:val="center"/>
            </w:pPr>
            <w:r/>
            <w:r>
              <w:rPr>
                <w:rFonts w:ascii="仿宋_GB2312" w:hAnsi="仿宋_GB2312" w:eastAsia="仿宋_GB2312"/>
                <w:b w:val="0"/>
                <w:color w:val="000000"/>
                <w:sz w:val="32"/>
              </w:rPr>
              <w:t>工业互联网</w:t>
            </w:r>
          </w:p>
        </w:tc>
        <w:tc>
          <w:tcPr>
            <w:tcW w:type="dxa" w:w="3402"/>
          </w:tcPr>
          <w:p>
            <w:pPr>
              <w:spacing w:lineRule="exact" w:line="600"/>
              <w:jc w:val="center"/>
            </w:pPr>
            <w:r/>
            <w:r>
              <w:rPr>
                <w:rFonts w:ascii="仿宋_GB2312" w:hAnsi="仿宋_GB2312" w:eastAsia="仿宋_GB2312"/>
                <w:b w:val="0"/>
                <w:color w:val="000000"/>
                <w:sz w:val="32"/>
              </w:rPr>
              <w:t>专项资金1000万</w:t>
            </w:r>
          </w:p>
        </w:tc>
        <w:tc>
          <w:tcPr>
            <w:tcW w:type="dxa" w:w="2835"/>
          </w:tcPr>
          <w:p>
            <w:pPr>
              <w:spacing w:lineRule="exact" w:line="600"/>
              <w:jc w:val="center"/>
            </w:pPr>
            <w:r/>
            <w:r>
              <w:rPr>
                <w:rFonts w:ascii="仿宋_GB2312" w:hAnsi="仿宋_GB2312" w:eastAsia="仿宋_GB2312"/>
                <w:b w:val="0"/>
                <w:color w:val="000000"/>
                <w:sz w:val="32"/>
              </w:rPr>
              <w:t>芝罘</w:t>
            </w:r>
          </w:p>
        </w:tc>
      </w:tr>
      <w:tr>
        <w:tc>
          <w:tcPr>
            <w:tcW w:type="dxa" w:w="2835"/>
          </w:tcPr>
          <w:p>
            <w:pPr>
              <w:spacing w:lineRule="exact" w:line="600"/>
              <w:jc w:val="center"/>
            </w:pPr>
            <w:r/>
            <w:r>
              <w:rPr>
                <w:rFonts w:ascii="仿宋_GB2312" w:hAnsi="仿宋_GB2312" w:eastAsia="仿宋_GB2312"/>
                <w:b w:val="0"/>
                <w:color w:val="000000"/>
                <w:sz w:val="32"/>
              </w:rPr>
              <w:t>晨星工厂</w:t>
            </w:r>
          </w:p>
        </w:tc>
        <w:tc>
          <w:tcPr>
            <w:tcW w:type="dxa" w:w="3402"/>
          </w:tcPr>
          <w:p>
            <w:pPr>
              <w:spacing w:lineRule="exact" w:line="600"/>
              <w:jc w:val="center"/>
            </w:pPr>
            <w:r/>
            <w:r>
              <w:rPr>
                <w:rFonts w:ascii="仿宋_GB2312" w:hAnsi="仿宋_GB2312" w:eastAsia="仿宋_GB2312"/>
                <w:b w:val="0"/>
                <w:color w:val="000000"/>
                <w:sz w:val="32"/>
              </w:rPr>
              <w:t>8家企业</w:t>
            </w:r>
          </w:p>
        </w:tc>
        <w:tc>
          <w:tcPr>
            <w:tcW w:type="dxa" w:w="2835"/>
          </w:tcPr>
          <w:p>
            <w:pPr>
              <w:spacing w:lineRule="exact" w:line="600"/>
              <w:jc w:val="center"/>
            </w:pPr>
            <w:r/>
            <w:r>
              <w:rPr>
                <w:rFonts w:ascii="仿宋_GB2312" w:hAnsi="仿宋_GB2312" w:eastAsia="仿宋_GB2312"/>
                <w:b w:val="0"/>
                <w:color w:val="000000"/>
                <w:sz w:val="32"/>
              </w:rPr>
              <w:t>省级</w:t>
            </w:r>
          </w:p>
        </w:tc>
      </w:tr>
      <w:tr>
        <w:tc>
          <w:tcPr>
            <w:tcW w:type="dxa" w:w="2835"/>
          </w:tcPr>
          <w:p>
            <w:pPr>
              <w:spacing w:lineRule="exact" w:line="600"/>
              <w:jc w:val="center"/>
            </w:pPr>
            <w:r/>
            <w:r>
              <w:rPr>
                <w:rFonts w:ascii="仿宋_GB2312" w:hAnsi="仿宋_GB2312" w:eastAsia="仿宋_GB2312"/>
                <w:b w:val="0"/>
                <w:color w:val="000000"/>
                <w:sz w:val="32"/>
              </w:rPr>
              <w:t>融合</w:t>
            </w:r>
          </w:p>
        </w:tc>
        <w:tc>
          <w:tcPr>
            <w:tcW w:type="dxa" w:w="3402"/>
          </w:tcPr>
          <w:p>
            <w:pPr>
              <w:spacing w:lineRule="exact" w:line="600"/>
              <w:jc w:val="center"/>
            </w:pPr>
            <w:r/>
            <w:r>
              <w:rPr>
                <w:rFonts w:ascii="仿宋_GB2312" w:hAnsi="仿宋_GB2312" w:eastAsia="仿宋_GB2312"/>
                <w:b w:val="0"/>
                <w:color w:val="000000"/>
                <w:sz w:val="32"/>
              </w:rPr>
              <w:t>工艺+自动+数字</w:t>
            </w:r>
          </w:p>
        </w:tc>
        <w:tc>
          <w:tcPr>
            <w:tcW w:type="dxa" w:w="2835"/>
          </w:tcPr>
          <w:p>
            <w:pPr>
              <w:spacing w:lineRule="exact" w:line="600"/>
              <w:jc w:val="center"/>
            </w:pPr>
            <w:r/>
            <w:r>
              <w:rPr>
                <w:rFonts w:ascii="仿宋_GB2312" w:hAnsi="仿宋_GB2312" w:eastAsia="仿宋_GB2312"/>
                <w:b w:val="0"/>
                <w:color w:val="000000"/>
                <w:sz w:val="32"/>
              </w:rPr>
              <w:t>智能</w:t>
            </w:r>
          </w:p>
        </w:tc>
      </w:tr>
    </w:tbl>
    <w:p>
      <w:pPr>
        <w:spacing w:lineRule="exact" w:line="600" w:before="120" w:after="120"/>
        <w:ind w:firstLine="420"/>
        <w:jc w:val="left"/>
      </w:pPr>
      <w:r>
        <w:rPr>
          <w:rFonts w:ascii="楷体_GB2312" w:hAnsi="楷体_GB2312" w:eastAsia="楷体_GB2312"/>
          <w:b w:val="0"/>
          <w:color w:val="000000"/>
          <w:sz w:val="32"/>
        </w:rPr>
        <w:t>（三）集群协同升级</w:t>
      </w:r>
    </w:p>
    <w:p>
      <w:pPr>
        <w:spacing w:lineRule="exact" w:line="600" w:before="0" w:after="0"/>
        <w:ind w:firstLine="420"/>
        <w:jc w:val="both"/>
      </w:pPr>
      <w:r>
        <w:rPr>
          <w:rFonts w:ascii="仿宋_GB2312" w:hAnsi="仿宋_GB2312" w:eastAsia="仿宋_GB2312"/>
          <w:b w:val="0"/>
          <w:color w:val="000000"/>
          <w:sz w:val="32"/>
        </w:rPr>
        <w:t>依托「链长领建、链办推动、链主牵引」机制，以冰轮环境链主带动压缩机、换热、精密铸件、智能仓储等配套企业协同。芝罘区打造高端海工装备集群（2023产值超120亿）与环境控制装备集群联动，通过首台套奖补、专精特新培育补强配套梯队，目标形成「龙头引领、专精特新跟进、配套完善」的环境治理装备产业生态。</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协同举措</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目标</w:t>
            </w:r>
          </w:p>
        </w:tc>
      </w:tr>
      <w:tr>
        <w:tc>
          <w:tcPr>
            <w:tcW w:type="dxa" w:w="2835"/>
          </w:tcPr>
          <w:p>
            <w:pPr>
              <w:spacing w:lineRule="exact" w:line="600"/>
              <w:jc w:val="center"/>
            </w:pPr>
            <w:r/>
            <w:r>
              <w:rPr>
                <w:rFonts w:ascii="仿宋_GB2312" w:hAnsi="仿宋_GB2312" w:eastAsia="仿宋_GB2312"/>
                <w:b w:val="0"/>
                <w:color w:val="000000"/>
                <w:sz w:val="32"/>
              </w:rPr>
              <w:t>链主牵引</w:t>
            </w:r>
          </w:p>
        </w:tc>
        <w:tc>
          <w:tcPr>
            <w:tcW w:type="dxa" w:w="3402"/>
          </w:tcPr>
          <w:p>
            <w:pPr>
              <w:spacing w:lineRule="exact" w:line="600"/>
              <w:jc w:val="center"/>
            </w:pPr>
            <w:r/>
            <w:r>
              <w:rPr>
                <w:rFonts w:ascii="仿宋_GB2312" w:hAnsi="仿宋_GB2312" w:eastAsia="仿宋_GB2312"/>
                <w:b w:val="0"/>
                <w:color w:val="000000"/>
                <w:sz w:val="32"/>
              </w:rPr>
              <w:t>冰轮带动</w:t>
            </w:r>
          </w:p>
        </w:tc>
        <w:tc>
          <w:tcPr>
            <w:tcW w:type="dxa" w:w="2835"/>
          </w:tcPr>
          <w:p>
            <w:pPr>
              <w:spacing w:lineRule="exact" w:line="600"/>
              <w:jc w:val="center"/>
            </w:pPr>
            <w:r/>
            <w:r>
              <w:rPr>
                <w:rFonts w:ascii="仿宋_GB2312" w:hAnsi="仿宋_GB2312" w:eastAsia="仿宋_GB2312"/>
                <w:b w:val="0"/>
                <w:color w:val="000000"/>
                <w:sz w:val="32"/>
              </w:rPr>
              <w:t>配套协同</w:t>
            </w:r>
          </w:p>
        </w:tc>
      </w:tr>
      <w:tr>
        <w:tc>
          <w:tcPr>
            <w:tcW w:type="dxa" w:w="2835"/>
          </w:tcPr>
          <w:p>
            <w:pPr>
              <w:spacing w:lineRule="exact" w:line="600"/>
              <w:jc w:val="center"/>
            </w:pPr>
            <w:r/>
            <w:r>
              <w:rPr>
                <w:rFonts w:ascii="仿宋_GB2312" w:hAnsi="仿宋_GB2312" w:eastAsia="仿宋_GB2312"/>
                <w:b w:val="0"/>
                <w:color w:val="000000"/>
                <w:sz w:val="32"/>
              </w:rPr>
              <w:t>海工联动</w:t>
            </w:r>
          </w:p>
        </w:tc>
        <w:tc>
          <w:tcPr>
            <w:tcW w:type="dxa" w:w="3402"/>
          </w:tcPr>
          <w:p>
            <w:pPr>
              <w:spacing w:lineRule="exact" w:line="600"/>
              <w:jc w:val="center"/>
            </w:pPr>
            <w:r/>
            <w:r>
              <w:rPr>
                <w:rFonts w:ascii="仿宋_GB2312" w:hAnsi="仿宋_GB2312" w:eastAsia="仿宋_GB2312"/>
                <w:b w:val="0"/>
                <w:color w:val="000000"/>
                <w:sz w:val="32"/>
              </w:rPr>
              <w:t>2023超120亿</w:t>
            </w:r>
          </w:p>
        </w:tc>
        <w:tc>
          <w:tcPr>
            <w:tcW w:type="dxa" w:w="2835"/>
          </w:tcPr>
          <w:p>
            <w:pPr>
              <w:spacing w:lineRule="exact" w:line="600"/>
              <w:jc w:val="center"/>
            </w:pPr>
            <w:r/>
            <w:r>
              <w:rPr>
                <w:rFonts w:ascii="仿宋_GB2312" w:hAnsi="仿宋_GB2312" w:eastAsia="仿宋_GB2312"/>
                <w:b w:val="0"/>
                <w:color w:val="000000"/>
                <w:sz w:val="32"/>
              </w:rPr>
              <w:t>场景共享</w:t>
            </w:r>
          </w:p>
        </w:tc>
      </w:tr>
      <w:tr>
        <w:tc>
          <w:tcPr>
            <w:tcW w:type="dxa" w:w="2835"/>
          </w:tcPr>
          <w:p>
            <w:pPr>
              <w:spacing w:lineRule="exact" w:line="600"/>
              <w:jc w:val="center"/>
            </w:pPr>
            <w:r/>
            <w:r>
              <w:rPr>
                <w:rFonts w:ascii="仿宋_GB2312" w:hAnsi="仿宋_GB2312" w:eastAsia="仿宋_GB2312"/>
                <w:b w:val="0"/>
                <w:color w:val="000000"/>
                <w:sz w:val="32"/>
              </w:rPr>
              <w:t>奖补培育</w:t>
            </w:r>
          </w:p>
        </w:tc>
        <w:tc>
          <w:tcPr>
            <w:tcW w:type="dxa" w:w="3402"/>
          </w:tcPr>
          <w:p>
            <w:pPr>
              <w:spacing w:lineRule="exact" w:line="600"/>
              <w:jc w:val="center"/>
            </w:pPr>
            <w:r/>
            <w:r>
              <w:rPr>
                <w:rFonts w:ascii="仿宋_GB2312" w:hAnsi="仿宋_GB2312" w:eastAsia="仿宋_GB2312"/>
                <w:b w:val="0"/>
                <w:color w:val="000000"/>
                <w:sz w:val="32"/>
              </w:rPr>
              <w:t>首台套/小巨人</w:t>
            </w:r>
          </w:p>
        </w:tc>
        <w:tc>
          <w:tcPr>
            <w:tcW w:type="dxa" w:w="2835"/>
          </w:tcPr>
          <w:p>
            <w:pPr>
              <w:spacing w:lineRule="exact" w:line="600"/>
              <w:jc w:val="center"/>
            </w:pPr>
            <w:r/>
            <w:r>
              <w:rPr>
                <w:rFonts w:ascii="仿宋_GB2312" w:hAnsi="仿宋_GB2312" w:eastAsia="仿宋_GB2312"/>
                <w:b w:val="0"/>
                <w:color w:val="000000"/>
                <w:sz w:val="32"/>
              </w:rPr>
              <w:t>补强梯队</w:t>
            </w:r>
          </w:p>
        </w:tc>
      </w:tr>
      <w:tr>
        <w:tc>
          <w:tcPr>
            <w:tcW w:type="dxa" w:w="2835"/>
          </w:tcPr>
          <w:p>
            <w:pPr>
              <w:spacing w:lineRule="exact" w:line="600"/>
              <w:jc w:val="center"/>
            </w:pPr>
            <w:r/>
            <w:r>
              <w:rPr>
                <w:rFonts w:ascii="仿宋_GB2312" w:hAnsi="仿宋_GB2312" w:eastAsia="仿宋_GB2312"/>
                <w:b w:val="0"/>
                <w:color w:val="000000"/>
                <w:sz w:val="32"/>
              </w:rPr>
              <w:t>生态</w:t>
            </w:r>
          </w:p>
        </w:tc>
        <w:tc>
          <w:tcPr>
            <w:tcW w:type="dxa" w:w="3402"/>
          </w:tcPr>
          <w:p>
            <w:pPr>
              <w:spacing w:lineRule="exact" w:line="600"/>
              <w:jc w:val="center"/>
            </w:pPr>
            <w:r/>
            <w:r>
              <w:rPr>
                <w:rFonts w:ascii="仿宋_GB2312" w:hAnsi="仿宋_GB2312" w:eastAsia="仿宋_GB2312"/>
                <w:b w:val="0"/>
                <w:color w:val="000000"/>
                <w:sz w:val="32"/>
              </w:rPr>
              <w:t>龙头+专精+配套</w:t>
            </w:r>
          </w:p>
        </w:tc>
        <w:tc>
          <w:tcPr>
            <w:tcW w:type="dxa" w:w="2835"/>
          </w:tcPr>
          <w:p>
            <w:pPr>
              <w:spacing w:lineRule="exact" w:line="600"/>
              <w:jc w:val="center"/>
            </w:pPr>
            <w:r/>
            <w:r>
              <w:rPr>
                <w:rFonts w:ascii="仿宋_GB2312" w:hAnsi="仿宋_GB2312" w:eastAsia="仿宋_GB2312"/>
                <w:b w:val="0"/>
                <w:color w:val="000000"/>
                <w:sz w:val="32"/>
              </w:rPr>
              <w:t>完善</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（一）产能与产线融资</w:t>
      </w:r>
    </w:p>
    <w:p>
      <w:pPr>
        <w:spacing w:lineRule="exact" w:line="600" w:before="0" w:after="0"/>
        <w:ind w:firstLine="420"/>
        <w:jc w:val="both"/>
      </w:pPr>
      <w:r>
        <w:rPr>
          <w:rFonts w:ascii="仿宋_GB2312" w:hAnsi="仿宋_GB2312" w:eastAsia="仿宋_GB2312"/>
          <w:b w:val="0"/>
          <w:color w:val="000000"/>
          <w:sz w:val="32"/>
        </w:rPr>
        <w:t>哈特福德数字工厂、低碳能源装备（碳捕集、氢能压缩液化）、工业气体装备扩产需大额资本开支，适合项目贷款、设备融资租赁、绿色债券。冰轮环境2023年经营现金流3.40亿元、资产负债率49.72%，具备债权融资空间；子公司（深蓝、冰轮换热、顿汉布仕）产能扩建可借助集团授信与供应链金融。</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数字工厂</w:t>
            </w:r>
          </w:p>
        </w:tc>
        <w:tc>
          <w:tcPr>
            <w:tcW w:type="dxa" w:w="3402"/>
          </w:tcPr>
          <w:p>
            <w:pPr>
              <w:spacing w:lineRule="exact" w:line="600"/>
              <w:jc w:val="center"/>
            </w:pPr>
            <w:r/>
            <w:r>
              <w:rPr>
                <w:rFonts w:ascii="仿宋_GB2312" w:hAnsi="仿宋_GB2312" w:eastAsia="仿宋_GB2312"/>
                <w:b w:val="0"/>
                <w:color w:val="000000"/>
                <w:sz w:val="32"/>
              </w:rPr>
              <w:t>智能产线</w:t>
            </w:r>
          </w:p>
        </w:tc>
        <w:tc>
          <w:tcPr>
            <w:tcW w:type="dxa" w:w="2835"/>
          </w:tcPr>
          <w:p>
            <w:pPr>
              <w:spacing w:lineRule="exact" w:line="600"/>
              <w:jc w:val="center"/>
            </w:pPr>
            <w:r/>
            <w:r>
              <w:rPr>
                <w:rFonts w:ascii="仿宋_GB2312" w:hAnsi="仿宋_GB2312" w:eastAsia="仿宋_GB2312"/>
                <w:b w:val="0"/>
                <w:color w:val="000000"/>
                <w:sz w:val="32"/>
              </w:rPr>
              <w:t>项目贷</w:t>
            </w:r>
          </w:p>
        </w:tc>
      </w:tr>
      <w:tr>
        <w:tc>
          <w:tcPr>
            <w:tcW w:type="dxa" w:w="2835"/>
          </w:tcPr>
          <w:p>
            <w:pPr>
              <w:spacing w:lineRule="exact" w:line="600"/>
              <w:jc w:val="center"/>
            </w:pPr>
            <w:r/>
            <w:r>
              <w:rPr>
                <w:rFonts w:ascii="仿宋_GB2312" w:hAnsi="仿宋_GB2312" w:eastAsia="仿宋_GB2312"/>
                <w:b w:val="0"/>
                <w:color w:val="000000"/>
                <w:sz w:val="32"/>
              </w:rPr>
              <w:t>低碳装备</w:t>
            </w:r>
          </w:p>
        </w:tc>
        <w:tc>
          <w:tcPr>
            <w:tcW w:type="dxa" w:w="3402"/>
          </w:tcPr>
          <w:p>
            <w:pPr>
              <w:spacing w:lineRule="exact" w:line="600"/>
              <w:jc w:val="center"/>
            </w:pPr>
            <w:r/>
            <w:r>
              <w:rPr>
                <w:rFonts w:ascii="仿宋_GB2312" w:hAnsi="仿宋_GB2312" w:eastAsia="仿宋_GB2312"/>
                <w:b w:val="0"/>
                <w:color w:val="000000"/>
                <w:sz w:val="32"/>
              </w:rPr>
              <w:t>碳捕集/氢能</w:t>
            </w:r>
          </w:p>
        </w:tc>
        <w:tc>
          <w:tcPr>
            <w:tcW w:type="dxa" w:w="2835"/>
          </w:tcPr>
          <w:p>
            <w:pPr>
              <w:spacing w:lineRule="exact" w:line="600"/>
              <w:jc w:val="center"/>
            </w:pPr>
            <w:r/>
            <w:r>
              <w:rPr>
                <w:rFonts w:ascii="仿宋_GB2312" w:hAnsi="仿宋_GB2312" w:eastAsia="仿宋_GB2312"/>
                <w:b w:val="0"/>
                <w:color w:val="000000"/>
                <w:sz w:val="32"/>
              </w:rPr>
              <w:t>绿色债券</w:t>
            </w:r>
          </w:p>
        </w:tc>
      </w:tr>
      <w:tr>
        <w:tc>
          <w:tcPr>
            <w:tcW w:type="dxa" w:w="2835"/>
          </w:tcPr>
          <w:p>
            <w:pPr>
              <w:spacing w:lineRule="exact" w:line="600"/>
              <w:jc w:val="center"/>
            </w:pPr>
            <w:r/>
            <w:r>
              <w:rPr>
                <w:rFonts w:ascii="仿宋_GB2312" w:hAnsi="仿宋_GB2312" w:eastAsia="仿宋_GB2312"/>
                <w:b w:val="0"/>
                <w:color w:val="000000"/>
                <w:sz w:val="32"/>
              </w:rPr>
              <w:t>气体装备</w:t>
            </w:r>
          </w:p>
        </w:tc>
        <w:tc>
          <w:tcPr>
            <w:tcW w:type="dxa" w:w="3402"/>
          </w:tcPr>
          <w:p>
            <w:pPr>
              <w:spacing w:lineRule="exact" w:line="600"/>
              <w:jc w:val="center"/>
            </w:pPr>
            <w:r/>
            <w:r>
              <w:rPr>
                <w:rFonts w:ascii="仿宋_GB2312" w:hAnsi="仿宋_GB2312" w:eastAsia="仿宋_GB2312"/>
                <w:b w:val="0"/>
                <w:color w:val="000000"/>
                <w:sz w:val="32"/>
              </w:rPr>
              <w:t>扩产</w:t>
            </w:r>
          </w:p>
        </w:tc>
        <w:tc>
          <w:tcPr>
            <w:tcW w:type="dxa" w:w="2835"/>
          </w:tcPr>
          <w:p>
            <w:pPr>
              <w:spacing w:lineRule="exact" w:line="600"/>
              <w:jc w:val="center"/>
            </w:pPr>
            <w:r/>
            <w:r>
              <w:rPr>
                <w:rFonts w:ascii="仿宋_GB2312" w:hAnsi="仿宋_GB2312" w:eastAsia="仿宋_GB2312"/>
                <w:b w:val="0"/>
                <w:color w:val="000000"/>
                <w:sz w:val="32"/>
              </w:rPr>
              <w:t>融资租赁</w:t>
            </w:r>
          </w:p>
        </w:tc>
      </w:tr>
      <w:tr>
        <w:tc>
          <w:tcPr>
            <w:tcW w:type="dxa" w:w="2835"/>
          </w:tcPr>
          <w:p>
            <w:pPr>
              <w:spacing w:lineRule="exact" w:line="600"/>
              <w:jc w:val="center"/>
            </w:pPr>
            <w:r/>
            <w:r>
              <w:rPr>
                <w:rFonts w:ascii="仿宋_GB2312" w:hAnsi="仿宋_GB2312" w:eastAsia="仿宋_GB2312"/>
                <w:b w:val="0"/>
                <w:color w:val="000000"/>
                <w:sz w:val="32"/>
              </w:rPr>
              <w:t>子公司</w:t>
            </w:r>
          </w:p>
        </w:tc>
        <w:tc>
          <w:tcPr>
            <w:tcW w:type="dxa" w:w="3402"/>
          </w:tcPr>
          <w:p>
            <w:pPr>
              <w:spacing w:lineRule="exact" w:line="600"/>
              <w:jc w:val="center"/>
            </w:pPr>
            <w:r/>
            <w:r>
              <w:rPr>
                <w:rFonts w:ascii="仿宋_GB2312" w:hAnsi="仿宋_GB2312" w:eastAsia="仿宋_GB2312"/>
                <w:b w:val="0"/>
                <w:color w:val="000000"/>
                <w:sz w:val="32"/>
              </w:rPr>
              <w:t>产能</w:t>
            </w:r>
          </w:p>
        </w:tc>
        <w:tc>
          <w:tcPr>
            <w:tcW w:type="dxa" w:w="2835"/>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（二）研发与平台</w:t>
      </w:r>
    </w:p>
    <w:p>
      <w:pPr>
        <w:spacing w:lineRule="exact" w:line="600" w:before="0" w:after="0"/>
        <w:ind w:firstLine="420"/>
        <w:jc w:val="both"/>
      </w:pPr>
      <w:r>
        <w:rPr>
          <w:rFonts w:ascii="仿宋_GB2312" w:hAnsi="仿宋_GB2312" w:eastAsia="仿宋_GB2312"/>
          <w:b w:val="0"/>
          <w:color w:val="000000"/>
          <w:sz w:val="32"/>
        </w:rPr>
        <w:t>碳捕集、工业热管理、氢能装备等核心技术攻关需持续研发投入（2023年研发费用2.84亿元），适合重大科技专项、首台套保险补偿、知识产权质押、科技成果转化基金。省级首台（套）按首年销售额30%奖补降低研发风险，鼓励企业与高校共建低碳能源研发平台。</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研发融资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低碳装备</w:t>
            </w:r>
          </w:p>
        </w:tc>
        <w:tc>
          <w:tcPr>
            <w:tcW w:type="dxa" w:w="3402"/>
          </w:tcPr>
          <w:p>
            <w:pPr>
              <w:spacing w:lineRule="exact" w:line="600"/>
              <w:jc w:val="center"/>
            </w:pPr>
            <w:r/>
            <w:r>
              <w:rPr>
                <w:rFonts w:ascii="仿宋_GB2312" w:hAnsi="仿宋_GB2312" w:eastAsia="仿宋_GB2312"/>
                <w:b w:val="0"/>
                <w:color w:val="000000"/>
                <w:sz w:val="32"/>
              </w:rPr>
              <w:t>CCUS/氢能</w:t>
            </w:r>
          </w:p>
        </w:tc>
        <w:tc>
          <w:tcPr>
            <w:tcW w:type="dxa" w:w="2835"/>
          </w:tcPr>
          <w:p>
            <w:pPr>
              <w:spacing w:lineRule="exact" w:line="600"/>
              <w:jc w:val="center"/>
            </w:pPr>
            <w:r/>
            <w:r>
              <w:rPr>
                <w:rFonts w:ascii="仿宋_GB2312" w:hAnsi="仿宋_GB2312" w:eastAsia="仿宋_GB2312"/>
                <w:b w:val="0"/>
                <w:color w:val="000000"/>
                <w:sz w:val="32"/>
              </w:rPr>
              <w:t>科技专项</w:t>
            </w:r>
          </w:p>
        </w:tc>
      </w:tr>
      <w:tr>
        <w:tc>
          <w:tcPr>
            <w:tcW w:type="dxa" w:w="2835"/>
          </w:tcPr>
          <w:p>
            <w:pPr>
              <w:spacing w:lineRule="exact" w:line="600"/>
              <w:jc w:val="center"/>
            </w:pPr>
            <w:r/>
            <w:r>
              <w:rPr>
                <w:rFonts w:ascii="仿宋_GB2312" w:hAnsi="仿宋_GB2312" w:eastAsia="仿宋_GB2312"/>
                <w:b w:val="0"/>
                <w:color w:val="000000"/>
                <w:sz w:val="32"/>
              </w:rPr>
              <w:t>首台套</w:t>
            </w:r>
          </w:p>
        </w:tc>
        <w:tc>
          <w:tcPr>
            <w:tcW w:type="dxa" w:w="3402"/>
          </w:tcPr>
          <w:p>
            <w:pPr>
              <w:spacing w:lineRule="exact" w:line="600"/>
              <w:jc w:val="center"/>
            </w:pPr>
            <w:r/>
            <w:r>
              <w:rPr>
                <w:rFonts w:ascii="仿宋_GB2312" w:hAnsi="仿宋_GB2312" w:eastAsia="仿宋_GB2312"/>
                <w:b w:val="0"/>
                <w:color w:val="000000"/>
                <w:sz w:val="32"/>
              </w:rPr>
              <w:t>奖补30%</w:t>
            </w:r>
          </w:p>
        </w:tc>
        <w:tc>
          <w:tcPr>
            <w:tcW w:type="dxa" w:w="2835"/>
          </w:tcPr>
          <w:p>
            <w:pPr>
              <w:spacing w:lineRule="exact" w:line="600"/>
              <w:jc w:val="center"/>
            </w:pPr>
            <w:r/>
            <w:r>
              <w:rPr>
                <w:rFonts w:ascii="仿宋_GB2312" w:hAnsi="仿宋_GB2312" w:eastAsia="仿宋_GB2312"/>
                <w:b w:val="0"/>
                <w:color w:val="000000"/>
                <w:sz w:val="32"/>
              </w:rPr>
              <w:t>保险补偿</w:t>
            </w:r>
          </w:p>
        </w:tc>
      </w:tr>
      <w:tr>
        <w:tc>
          <w:tcPr>
            <w:tcW w:type="dxa" w:w="2835"/>
          </w:tcPr>
          <w:p>
            <w:pPr>
              <w:spacing w:lineRule="exact" w:line="600"/>
              <w:jc w:val="center"/>
            </w:pPr>
            <w:r/>
            <w:r>
              <w:rPr>
                <w:rFonts w:ascii="仿宋_GB2312" w:hAnsi="仿宋_GB2312" w:eastAsia="仿宋_GB2312"/>
                <w:b w:val="0"/>
                <w:color w:val="000000"/>
                <w:sz w:val="32"/>
              </w:rPr>
              <w:t>专利</w:t>
            </w:r>
          </w:p>
        </w:tc>
        <w:tc>
          <w:tcPr>
            <w:tcW w:type="dxa" w:w="3402"/>
          </w:tcPr>
          <w:p>
            <w:pPr>
              <w:spacing w:lineRule="exact" w:line="600"/>
              <w:jc w:val="center"/>
            </w:pPr>
            <w:r/>
            <w:r>
              <w:rPr>
                <w:rFonts w:ascii="仿宋_GB2312" w:hAnsi="仿宋_GB2312" w:eastAsia="仿宋_GB2312"/>
                <w:b w:val="0"/>
                <w:color w:val="000000"/>
                <w:sz w:val="32"/>
              </w:rPr>
              <w:t>产业化</w:t>
            </w:r>
          </w:p>
        </w:tc>
        <w:tc>
          <w:tcPr>
            <w:tcW w:type="dxa" w:w="2835"/>
          </w:tcPr>
          <w:p>
            <w:pPr>
              <w:spacing w:lineRule="exact" w:line="600"/>
              <w:jc w:val="center"/>
            </w:pPr>
            <w:r/>
            <w:r>
              <w:rPr>
                <w:rFonts w:ascii="仿宋_GB2312" w:hAnsi="仿宋_GB2312" w:eastAsia="仿宋_GB2312"/>
                <w:b w:val="0"/>
                <w:color w:val="000000"/>
                <w:sz w:val="32"/>
              </w:rPr>
              <w:t>知识产权质押</w:t>
            </w:r>
          </w:p>
        </w:tc>
      </w:tr>
      <w:tr>
        <w:tc>
          <w:tcPr>
            <w:tcW w:type="dxa" w:w="2835"/>
          </w:tcPr>
          <w:p>
            <w:pPr>
              <w:spacing w:lineRule="exact" w:line="600"/>
              <w:jc w:val="center"/>
            </w:pPr>
            <w:r/>
            <w:r>
              <w:rPr>
                <w:rFonts w:ascii="仿宋_GB2312" w:hAnsi="仿宋_GB2312" w:eastAsia="仿宋_GB2312"/>
                <w:b w:val="0"/>
                <w:color w:val="000000"/>
                <w:sz w:val="32"/>
              </w:rPr>
              <w:t>平台</w:t>
            </w:r>
          </w:p>
        </w:tc>
        <w:tc>
          <w:tcPr>
            <w:tcW w:type="dxa" w:w="3402"/>
          </w:tcPr>
          <w:p>
            <w:pPr>
              <w:spacing w:lineRule="exact" w:line="600"/>
              <w:jc w:val="center"/>
            </w:pPr>
            <w:r/>
            <w:r>
              <w:rPr>
                <w:rFonts w:ascii="仿宋_GB2312" w:hAnsi="仿宋_GB2312" w:eastAsia="仿宋_GB2312"/>
                <w:b w:val="0"/>
                <w:color w:val="000000"/>
                <w:sz w:val="32"/>
              </w:rPr>
              <w:t>校企共建</w:t>
            </w:r>
          </w:p>
        </w:tc>
        <w:tc>
          <w:tcPr>
            <w:tcW w:type="dxa" w:w="2835"/>
          </w:tcPr>
          <w:p>
            <w:pPr>
              <w:spacing w:lineRule="exact" w:line="600"/>
              <w:jc w:val="center"/>
            </w:pPr>
            <w:r/>
            <w:r>
              <w:rPr>
                <w:rFonts w:ascii="仿宋_GB2312" w:hAnsi="仿宋_GB2312" w:eastAsia="仿宋_GB2312"/>
                <w:b w:val="0"/>
                <w:color w:val="000000"/>
                <w:sz w:val="32"/>
              </w:rPr>
              <w:t>转化基金</w:t>
            </w:r>
          </w:p>
        </w:tc>
      </w:tr>
    </w:tbl>
    <w:p>
      <w:pPr>
        <w:spacing w:lineRule="exact" w:line="600" w:before="120" w:after="120"/>
        <w:ind w:firstLine="420"/>
        <w:jc w:val="left"/>
      </w:pPr>
      <w:r>
        <w:rPr>
          <w:rFonts w:ascii="楷体_GB2312" w:hAnsi="楷体_GB2312" w:eastAsia="楷体_GB2312"/>
          <w:b w:val="0"/>
          <w:color w:val="000000"/>
          <w:sz w:val="32"/>
        </w:rPr>
        <w:t>（三）绿色与数字化改造</w:t>
      </w:r>
    </w:p>
    <w:p>
      <w:pPr>
        <w:spacing w:lineRule="exact" w:line="600" w:before="0" w:after="0"/>
        <w:ind w:firstLine="420"/>
        <w:jc w:val="both"/>
      </w:pPr>
      <w:r>
        <w:rPr>
          <w:rFonts w:ascii="仿宋_GB2312" w:hAnsi="仿宋_GB2312" w:eastAsia="仿宋_GB2312"/>
          <w:b w:val="0"/>
          <w:color w:val="000000"/>
          <w:sz w:val="32"/>
        </w:rPr>
        <w:t>国家级绿色工厂与服务型制造示范的深化、数字化车间与碳管理体系建设符合绿色信贷与转型金融导向。中小企业（诚佑环保等）智能化与环保装备产线一次性投入大，适合设备更新改造再贷款、政银担风险补偿、工业互联网专项（芝罘1000万元）等低成本资金，加快绿色化数字化升级。</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绿色/数字</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绿色工厂</w:t>
            </w:r>
          </w:p>
        </w:tc>
        <w:tc>
          <w:tcPr>
            <w:tcW w:type="dxa" w:w="3402"/>
          </w:tcPr>
          <w:p>
            <w:pPr>
              <w:spacing w:lineRule="exact" w:line="600"/>
              <w:jc w:val="center"/>
            </w:pPr>
            <w:r/>
            <w:r>
              <w:rPr>
                <w:rFonts w:ascii="仿宋_GB2312" w:hAnsi="仿宋_GB2312" w:eastAsia="仿宋_GB2312"/>
                <w:b w:val="0"/>
                <w:color w:val="000000"/>
                <w:sz w:val="32"/>
              </w:rPr>
              <w:t>深化</w:t>
            </w:r>
          </w:p>
        </w:tc>
        <w:tc>
          <w:tcPr>
            <w:tcW w:type="dxa" w:w="2835"/>
          </w:tcPr>
          <w:p>
            <w:pPr>
              <w:spacing w:lineRule="exact" w:line="600"/>
              <w:jc w:val="center"/>
            </w:pPr>
            <w:r/>
            <w:r>
              <w:rPr>
                <w:rFonts w:ascii="仿宋_GB2312" w:hAnsi="仿宋_GB2312" w:eastAsia="仿宋_GB2312"/>
                <w:b w:val="0"/>
                <w:color w:val="000000"/>
                <w:sz w:val="32"/>
              </w:rPr>
              <w:t>绿色信贷</w:t>
            </w:r>
          </w:p>
        </w:tc>
      </w:tr>
      <w:tr>
        <w:tc>
          <w:tcPr>
            <w:tcW w:type="dxa" w:w="2835"/>
          </w:tcPr>
          <w:p>
            <w:pPr>
              <w:spacing w:lineRule="exact" w:line="600"/>
              <w:jc w:val="center"/>
            </w:pPr>
            <w:r/>
            <w:r>
              <w:rPr>
                <w:rFonts w:ascii="仿宋_GB2312" w:hAnsi="仿宋_GB2312" w:eastAsia="仿宋_GB2312"/>
                <w:b w:val="0"/>
                <w:color w:val="000000"/>
                <w:sz w:val="32"/>
              </w:rPr>
              <w:t>碳管理</w:t>
            </w:r>
          </w:p>
        </w:tc>
        <w:tc>
          <w:tcPr>
            <w:tcW w:type="dxa" w:w="3402"/>
          </w:tcPr>
          <w:p>
            <w:pPr>
              <w:spacing w:lineRule="exact" w:line="600"/>
              <w:jc w:val="center"/>
            </w:pPr>
            <w:r/>
            <w:r>
              <w:rPr>
                <w:rFonts w:ascii="仿宋_GB2312" w:hAnsi="仿宋_GB2312" w:eastAsia="仿宋_GB2312"/>
                <w:b w:val="0"/>
                <w:color w:val="000000"/>
                <w:sz w:val="32"/>
              </w:rPr>
              <w:t>体系建设</w:t>
            </w:r>
          </w:p>
        </w:tc>
        <w:tc>
          <w:tcPr>
            <w:tcW w:type="dxa" w:w="2835"/>
          </w:tcPr>
          <w:p>
            <w:pPr>
              <w:spacing w:lineRule="exact" w:line="600"/>
              <w:jc w:val="center"/>
            </w:pPr>
            <w:r/>
            <w:r>
              <w:rPr>
                <w:rFonts w:ascii="仿宋_GB2312" w:hAnsi="仿宋_GB2312" w:eastAsia="仿宋_GB2312"/>
                <w:b w:val="0"/>
                <w:color w:val="000000"/>
                <w:sz w:val="32"/>
              </w:rPr>
              <w:t>转型金融</w:t>
            </w:r>
          </w:p>
        </w:tc>
      </w:tr>
      <w:tr>
        <w:tc>
          <w:tcPr>
            <w:tcW w:type="dxa" w:w="2835"/>
          </w:tcPr>
          <w:p>
            <w:pPr>
              <w:spacing w:lineRule="exact" w:line="600"/>
              <w:jc w:val="center"/>
            </w:pPr>
            <w:r/>
            <w:r>
              <w:rPr>
                <w:rFonts w:ascii="仿宋_GB2312" w:hAnsi="仿宋_GB2312" w:eastAsia="仿宋_GB2312"/>
                <w:b w:val="0"/>
                <w:color w:val="000000"/>
                <w:sz w:val="32"/>
              </w:rPr>
              <w:t>数字车间</w:t>
            </w:r>
          </w:p>
        </w:tc>
        <w:tc>
          <w:tcPr>
            <w:tcW w:type="dxa" w:w="3402"/>
          </w:tcPr>
          <w:p>
            <w:pPr>
              <w:spacing w:lineRule="exact" w:line="600"/>
              <w:jc w:val="center"/>
            </w:pPr>
            <w:r/>
            <w:r>
              <w:rPr>
                <w:rFonts w:ascii="仿宋_GB2312" w:hAnsi="仿宋_GB2312" w:eastAsia="仿宋_GB2312"/>
                <w:b w:val="0"/>
                <w:color w:val="000000"/>
                <w:sz w:val="32"/>
              </w:rPr>
              <w:t>智能产线</w:t>
            </w:r>
          </w:p>
        </w:tc>
        <w:tc>
          <w:tcPr>
            <w:tcW w:type="dxa" w:w="2835"/>
          </w:tcPr>
          <w:p>
            <w:pPr>
              <w:spacing w:lineRule="exact" w:line="600"/>
              <w:jc w:val="center"/>
            </w:pPr>
            <w:r/>
            <w:r>
              <w:rPr>
                <w:rFonts w:ascii="仿宋_GB2312" w:hAnsi="仿宋_GB2312" w:eastAsia="仿宋_GB2312"/>
                <w:b w:val="0"/>
                <w:color w:val="000000"/>
                <w:sz w:val="32"/>
              </w:rPr>
              <w:t>再贷款</w:t>
            </w:r>
          </w:p>
        </w:tc>
      </w:tr>
      <w:tr>
        <w:tc>
          <w:tcPr>
            <w:tcW w:type="dxa" w:w="2835"/>
          </w:tcPr>
          <w:p>
            <w:pPr>
              <w:spacing w:lineRule="exact" w:line="600"/>
              <w:jc w:val="center"/>
            </w:pPr>
            <w:r/>
            <w:r>
              <w:rPr>
                <w:rFonts w:ascii="仿宋_GB2312" w:hAnsi="仿宋_GB2312" w:eastAsia="仿宋_GB2312"/>
                <w:b w:val="0"/>
                <w:color w:val="000000"/>
                <w:sz w:val="32"/>
              </w:rPr>
              <w:t>工业互联网</w:t>
            </w:r>
          </w:p>
        </w:tc>
        <w:tc>
          <w:tcPr>
            <w:tcW w:type="dxa" w:w="3402"/>
          </w:tcPr>
          <w:p>
            <w:pPr>
              <w:spacing w:lineRule="exact" w:line="600"/>
              <w:jc w:val="center"/>
            </w:pPr>
            <w:r/>
            <w:r>
              <w:rPr>
                <w:rFonts w:ascii="仿宋_GB2312" w:hAnsi="仿宋_GB2312" w:eastAsia="仿宋_GB2312"/>
                <w:b w:val="0"/>
                <w:color w:val="000000"/>
                <w:sz w:val="32"/>
              </w:rPr>
              <w:t>专项1000万</w:t>
            </w:r>
          </w:p>
        </w:tc>
        <w:tc>
          <w:tcPr>
            <w:tcW w:type="dxa" w:w="2835"/>
          </w:tcPr>
          <w:p>
            <w:pPr>
              <w:spacing w:lineRule="exact" w:line="600"/>
              <w:jc w:val="center"/>
            </w:pPr>
            <w:r/>
            <w:r>
              <w:rPr>
                <w:rFonts w:ascii="仿宋_GB2312" w:hAnsi="仿宋_GB2312" w:eastAsia="仿宋_GB2312"/>
                <w:b w:val="0"/>
                <w:color w:val="000000"/>
                <w:sz w:val="32"/>
              </w:rPr>
              <w:t>芝罘</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冰轮环境技术股份有限公司（000811）：芝罘区环境控制装备集群链主，注册地烟台市芝罘区冰轮路1号。2023年营收74.95亿元（+22.86%）、归母净利润6.55亿元（+53.73%）；主营低温冷冻设备、中央空调设备、节能制热设备、能源化工压缩/液化装备、精密铸件、智能仓储装备、氢能装备；工业产品销售收入65.28亿元（占87.08%，毛利率27.18%）；国外收入23.28亿元（占33.01%）；获批国家级绿色工厂、国家级服务型制造示范企业，7项产品入选国家/省节能降碳推荐目录，碳捕集客户年降碳三千多万吨；子公司山东深蓝、冰轮换热、顿汉布什获国家级专精特新小巨人。来源：2023年年报、芝罘区政府报道、工信部。</w:t>
      </w:r>
    </w:p>
    <w:p>
      <w:pPr>
        <w:spacing w:lineRule="exact" w:line="600" w:before="0" w:after="0"/>
        <w:ind w:firstLine="420"/>
        <w:jc w:val="both"/>
      </w:pPr>
      <w:r>
        <w:rPr>
          <w:rFonts w:ascii="仿宋_GB2312" w:hAnsi="仿宋_GB2312" w:eastAsia="仿宋_GB2312"/>
          <w:b w:val="0"/>
          <w:color w:val="000000"/>
          <w:sz w:val="32"/>
        </w:rPr>
        <w:t>山东诚佑环保科技有限公司：芝罘区环境控制装备集群骨干企业，从事环境治理装备及环保工程服务。注：公开财务与经营数据有限（任务简报标注「待核」），据芝罘区产业集群报道列为本地环保治理装备骨干；以集群共性研判，其提供大气/水/固废等环境治理装备与工程服务，与冰轮环境等链主形成配套协同。来源：芝罘区产业集群报道（公开资料有限）。</w:t>
      </w:r>
    </w:p>
    <w:p>
      <w:pPr>
        <w:spacing w:lineRule="exact" w:line="600" w:before="0" w:after="0"/>
        <w:ind w:firstLine="420"/>
        <w:jc w:val="both"/>
      </w:pPr>
      <w:r>
        <w:rPr>
          <w:rFonts w:ascii="仿宋_GB2312" w:hAnsi="仿宋_GB2312" w:eastAsia="仿宋_GB2312"/>
          <w:b w:val="0"/>
          <w:color w:val="000000"/>
          <w:sz w:val="32"/>
        </w:rPr>
        <w:t>烟台市环保工程咨询设计院有限公司：芝罘区环保工程服务与咨询设计机构，提供环保工程设计、咨询与技术解决方案。注：公开工商与经营数据有限（任务简报标注「待核」），据芝罘区企业信息列为环保工程咨询设计机构；以行业共性研判，环保工程服务企业服务于环境治理项目全过程（设计—施工—运维），是环境控制装备集群「装备+服务」闭环的重要一环。来源：芝罘区企业信息（公开资料有限）。</w:t>
      </w:r>
    </w:p>
    <w:p>
      <w:pPr>
        <w:spacing w:lineRule="exact" w:line="600" w:before="0" w:after="0"/>
        <w:jc w:val="left"/>
      </w:pPr>
      <w:r>
        <w:rPr>
          <w:rFonts w:ascii="仿宋_GB2312" w:hAnsi="仿宋_GB2312" w:eastAsia="仿宋_GB2312"/>
          <w:b w:val="0"/>
          <w:color w:val="000000"/>
          <w:sz w:val="28"/>
        </w:rPr>
        <w:t>主要数据来源：冰轮环境技术股份有限公司（000811）2023年年度报告及摘要（深交所/公司官网）；中国证券报、证券日报、挖贝网：冰轮环境2023年报业绩报道；工业和信息化部：2023年环保装备制造业总产值超9700亿元新闻发布会；中国环保机械行业协会：环保装备制造业规范条件企业解读（2024）；烟台市芝罘区人民政府官网：制造业强市建设、提案答复等公开报道；头条号：烟台市芝罘区国家级绿色工厂、7项产品入选推荐目录报道；天眼查：冰轮环境、诚佑环保、烟台市环保工程咨询设计院工商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