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山东潍坊诸城市(健康食品及预制菜)特色产业集群</w:t>
      </w:r>
    </w:p>
    <w:p>
      <w:pPr>
        <w:spacing w:lineRule="exact" w:line="600" w:before="240" w:after="240"/>
        <w:ind w:firstLine="0"/>
        <w:jc w:val="center"/>
      </w:pPr>
      <w:r>
        <w:rPr>
          <w:rFonts w:ascii="方正小标宋简体" w:hAnsi="方正小标宋简体" w:eastAsia="方正小标宋简体"/>
          <w:b w:val="0"/>
          <w:color w:val="000000"/>
          <w:sz w:val="44"/>
        </w:rPr>
        <w:t>畜禽屠宰与肉制品加工行业深度分析报告</w:t>
      </w:r>
    </w:p>
    <w:p>
      <w:pPr>
        <w:spacing w:lineRule="exact" w:line="600" w:before="0" w:after="0"/>
        <w:jc w:val="left"/>
      </w:pPr>
      <w:r>
        <w:rPr>
          <w:rFonts w:ascii="仿宋_GB2312" w:hAnsi="仿宋_GB2312" w:eastAsia="仿宋_GB2312"/>
          <w:b w:val="0"/>
          <w:color w:val="000000"/>
          <w:sz w:val="28"/>
        </w:rPr>
        <w:t>本报告数据来源于得利斯（002330）2023年年度报告、惠发食品（603536）2023年年度报告、诸城市人民政府及工信/农业农村部门公开报道、中国肉类协会与山东省畜牧兽医局公开数据。数据截至2023—2024年。诸城外贸有限责任公司公开财务口径有限，已标注「公开资料有限」，以集群共性研判与得利斯、惠发公开信息为主体。</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畜禽屠宰与肉制品加工是诸城健康食品及预制菜特色产业集群的基础与源头环节。诸城是全国畜牧大县、生猪与肉鸡养殖屠宰重镇，依托得利斯（002330）、诸城外贸等龙头企业形成「养殖—屠宰—分割—冷却肉—低温肉制品」全产业链。得利斯2023年实现营业收入30.92亿元，是国内冷却肉与低温肉制品的先行者、农业产业化国家重点龙头企业；诸城外贸为大型肉鸡全产业链企业，鸡肉加工与出口积淀深厚。山东省作为畜牧大省，生猪、家禽出栏量常年居全国前列，为屠宰加工提供稳定原料。挑战在于猪周期与禽肉价格波动、屠宰产能阶段性过剩、同质化竞争与食品安全监管趋严，龙头企业正向品牌低温肉制品与预制化方向升级以提升附加值。</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得利斯2023营收</w:t>
            </w:r>
          </w:p>
        </w:tc>
        <w:tc>
          <w:tcPr>
            <w:tcW w:type="dxa" w:w="2835"/>
          </w:tcPr>
          <w:p>
            <w:pPr>
              <w:spacing w:lineRule="exact" w:line="600"/>
              <w:jc w:val="center"/>
            </w:pPr>
            <w:r/>
            <w:r>
              <w:rPr>
                <w:rFonts w:ascii="仿宋_GB2312" w:hAnsi="仿宋_GB2312" w:eastAsia="仿宋_GB2312"/>
                <w:b w:val="0"/>
                <w:color w:val="000000"/>
                <w:sz w:val="32"/>
              </w:rPr>
              <w:t>30.92亿元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得利斯2023归母净利润</w:t>
            </w:r>
          </w:p>
        </w:tc>
        <w:tc>
          <w:tcPr>
            <w:tcW w:type="dxa" w:w="2835"/>
          </w:tcPr>
          <w:p>
            <w:pPr>
              <w:spacing w:lineRule="exact" w:line="600"/>
              <w:jc w:val="center"/>
            </w:pPr>
            <w:r/>
            <w:r>
              <w:rPr>
                <w:rFonts w:ascii="仿宋_GB2312" w:hAnsi="仿宋_GB2312" w:eastAsia="仿宋_GB2312"/>
                <w:b w:val="0"/>
                <w:color w:val="000000"/>
                <w:sz w:val="32"/>
              </w:rPr>
              <w:t>亏损3399.7万元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诸城预制菜企业总数</w:t>
            </w:r>
          </w:p>
        </w:tc>
        <w:tc>
          <w:tcPr>
            <w:tcW w:type="dxa" w:w="2835"/>
          </w:tcPr>
          <w:p>
            <w:pPr>
              <w:spacing w:lineRule="exact" w:line="600"/>
              <w:jc w:val="center"/>
            </w:pPr>
            <w:r/>
            <w:r>
              <w:rPr>
                <w:rFonts w:ascii="仿宋_GB2312" w:hAnsi="仿宋_GB2312" w:eastAsia="仿宋_GB2312"/>
                <w:b w:val="0"/>
                <w:color w:val="000000"/>
                <w:sz w:val="32"/>
              </w:rPr>
              <w:t>556家</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诸城规上预制菜企业</w:t>
            </w:r>
          </w:p>
        </w:tc>
        <w:tc>
          <w:tcPr>
            <w:tcW w:type="dxa" w:w="2835"/>
          </w:tcPr>
          <w:p>
            <w:pPr>
              <w:spacing w:lineRule="exact" w:line="600"/>
              <w:jc w:val="center"/>
            </w:pPr>
            <w:r/>
            <w:r>
              <w:rPr>
                <w:rFonts w:ascii="仿宋_GB2312" w:hAnsi="仿宋_GB2312" w:eastAsia="仿宋_GB2312"/>
                <w:b w:val="0"/>
                <w:color w:val="000000"/>
                <w:sz w:val="32"/>
              </w:rPr>
              <w:t>52家</w:t>
            </w:r>
          </w:p>
        </w:tc>
        <w:tc>
          <w:tcPr>
            <w:tcW w:type="dxa" w:w="3118"/>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2023全国肉类产量</w:t>
            </w:r>
          </w:p>
        </w:tc>
        <w:tc>
          <w:tcPr>
            <w:tcW w:type="dxa" w:w="2835"/>
          </w:tcPr>
          <w:p>
            <w:pPr>
              <w:spacing w:lineRule="exact" w:line="600"/>
              <w:jc w:val="center"/>
            </w:pPr>
            <w:r/>
            <w:r>
              <w:rPr>
                <w:rFonts w:ascii="仿宋_GB2312" w:hAnsi="仿宋_GB2312" w:eastAsia="仿宋_GB2312"/>
                <w:b w:val="0"/>
                <w:color w:val="000000"/>
                <w:sz w:val="32"/>
              </w:rPr>
              <w:t>约9641万吨</w:t>
            </w:r>
          </w:p>
        </w:tc>
        <w:tc>
          <w:tcPr>
            <w:tcW w:type="dxa" w:w="3118"/>
          </w:tcPr>
          <w:p>
            <w:pPr>
              <w:spacing w:lineRule="exact" w:line="600"/>
              <w:jc w:val="center"/>
            </w:pPr>
            <w:r/>
            <w:r>
              <w:rPr>
                <w:rFonts w:ascii="仿宋_GB2312" w:hAnsi="仿宋_GB2312" w:eastAsia="仿宋_GB2312"/>
                <w:b w:val="0"/>
                <w:color w:val="000000"/>
                <w:sz w:val="32"/>
              </w:rPr>
              <w:t>统计局</w:t>
            </w:r>
          </w:p>
        </w:tc>
      </w:tr>
      <w:tr>
        <w:tc>
          <w:tcPr>
            <w:tcW w:type="dxa" w:w="2835"/>
          </w:tcPr>
          <w:p>
            <w:pPr>
              <w:spacing w:lineRule="exact" w:line="600"/>
              <w:jc w:val="center"/>
            </w:pPr>
            <w:r/>
            <w:r>
              <w:rPr>
                <w:rFonts w:ascii="仿宋_GB2312" w:hAnsi="仿宋_GB2312" w:eastAsia="仿宋_GB2312"/>
                <w:b w:val="0"/>
                <w:color w:val="000000"/>
                <w:sz w:val="32"/>
              </w:rPr>
              <w:t>其中猪肉产量</w:t>
            </w:r>
          </w:p>
        </w:tc>
        <w:tc>
          <w:tcPr>
            <w:tcW w:type="dxa" w:w="2835"/>
          </w:tcPr>
          <w:p>
            <w:pPr>
              <w:spacing w:lineRule="exact" w:line="600"/>
              <w:jc w:val="center"/>
            </w:pPr>
            <w:r/>
            <w:r>
              <w:rPr>
                <w:rFonts w:ascii="仿宋_GB2312" w:hAnsi="仿宋_GB2312" w:eastAsia="仿宋_GB2312"/>
                <w:b w:val="0"/>
                <w:color w:val="000000"/>
                <w:sz w:val="32"/>
              </w:rPr>
              <w:t>5794万吨</w:t>
            </w:r>
          </w:p>
        </w:tc>
        <w:tc>
          <w:tcPr>
            <w:tcW w:type="dxa" w:w="3118"/>
          </w:tcPr>
          <w:p>
            <w:pPr>
              <w:spacing w:lineRule="exact" w:line="600"/>
              <w:jc w:val="center"/>
            </w:pPr>
            <w:r/>
            <w:r>
              <w:rPr>
                <w:rFonts w:ascii="仿宋_GB2312" w:hAnsi="仿宋_GB2312" w:eastAsia="仿宋_GB2312"/>
                <w:b w:val="0"/>
                <w:color w:val="000000"/>
                <w:sz w:val="32"/>
              </w:rPr>
              <w:t>统计局</w:t>
            </w:r>
          </w:p>
        </w:tc>
      </w:tr>
      <w:tr>
        <w:tc>
          <w:tcPr>
            <w:tcW w:type="dxa" w:w="2835"/>
          </w:tcPr>
          <w:p>
            <w:pPr>
              <w:spacing w:lineRule="exact" w:line="600"/>
              <w:jc w:val="center"/>
            </w:pPr>
            <w:r/>
            <w:r>
              <w:rPr>
                <w:rFonts w:ascii="仿宋_GB2312" w:hAnsi="仿宋_GB2312" w:eastAsia="仿宋_GB2312"/>
                <w:b w:val="0"/>
                <w:color w:val="000000"/>
                <w:sz w:val="32"/>
              </w:rPr>
              <w:t>其中禽肉产量</w:t>
            </w:r>
          </w:p>
        </w:tc>
        <w:tc>
          <w:tcPr>
            <w:tcW w:type="dxa" w:w="2835"/>
          </w:tcPr>
          <w:p>
            <w:pPr>
              <w:spacing w:lineRule="exact" w:line="600"/>
              <w:jc w:val="center"/>
            </w:pPr>
            <w:r/>
            <w:r>
              <w:rPr>
                <w:rFonts w:ascii="仿宋_GB2312" w:hAnsi="仿宋_GB2312" w:eastAsia="仿宋_GB2312"/>
                <w:b w:val="0"/>
                <w:color w:val="000000"/>
                <w:sz w:val="32"/>
              </w:rPr>
              <w:t>2563万吨</w:t>
            </w:r>
          </w:p>
        </w:tc>
        <w:tc>
          <w:tcPr>
            <w:tcW w:type="dxa" w:w="3118"/>
          </w:tcPr>
          <w:p>
            <w:pPr>
              <w:spacing w:lineRule="exact" w:line="600"/>
              <w:jc w:val="center"/>
            </w:pPr>
            <w:r/>
            <w:r>
              <w:rPr>
                <w:rFonts w:ascii="仿宋_GB2312" w:hAnsi="仿宋_GB2312" w:eastAsia="仿宋_GB2312"/>
                <w:b w:val="0"/>
                <w:color w:val="000000"/>
                <w:sz w:val="32"/>
              </w:rPr>
              <w:t>统计局</w:t>
            </w:r>
          </w:p>
        </w:tc>
      </w:tr>
      <w:tr>
        <w:tc>
          <w:tcPr>
            <w:tcW w:type="dxa" w:w="2835"/>
          </w:tcPr>
          <w:p>
            <w:pPr>
              <w:spacing w:lineRule="exact" w:line="600"/>
              <w:jc w:val="center"/>
            </w:pPr>
            <w:r/>
            <w:r>
              <w:rPr>
                <w:rFonts w:ascii="仿宋_GB2312" w:hAnsi="仿宋_GB2312" w:eastAsia="仿宋_GB2312"/>
                <w:b w:val="0"/>
                <w:color w:val="000000"/>
                <w:sz w:val="32"/>
              </w:rPr>
              <w:t>山东生猪出栏</w:t>
            </w:r>
          </w:p>
        </w:tc>
        <w:tc>
          <w:tcPr>
            <w:tcW w:type="dxa" w:w="2835"/>
          </w:tcPr>
          <w:p>
            <w:pPr>
              <w:spacing w:lineRule="exact" w:line="600"/>
              <w:jc w:val="center"/>
            </w:pPr>
            <w:r/>
            <w:r>
              <w:rPr>
                <w:rFonts w:ascii="仿宋_GB2312" w:hAnsi="仿宋_GB2312" w:eastAsia="仿宋_GB2312"/>
                <w:b w:val="0"/>
                <w:color w:val="000000"/>
                <w:sz w:val="32"/>
              </w:rPr>
              <w:t>约4600万头</w:t>
            </w:r>
          </w:p>
        </w:tc>
        <w:tc>
          <w:tcPr>
            <w:tcW w:type="dxa" w:w="3118"/>
          </w:tcPr>
          <w:p>
            <w:pPr>
              <w:spacing w:lineRule="exact" w:line="600"/>
              <w:jc w:val="center"/>
            </w:pPr>
            <w:r/>
            <w:r>
              <w:rPr>
                <w:rFonts w:ascii="仿宋_GB2312" w:hAnsi="仿宋_GB2312" w:eastAsia="仿宋_GB2312"/>
                <w:b w:val="0"/>
                <w:color w:val="000000"/>
                <w:sz w:val="32"/>
              </w:rPr>
              <w:t>山东畜牧</w:t>
            </w:r>
          </w:p>
        </w:tc>
      </w:tr>
      <w:tr>
        <w:tc>
          <w:tcPr>
            <w:tcW w:type="dxa" w:w="2835"/>
          </w:tcPr>
          <w:p>
            <w:pPr>
              <w:spacing w:lineRule="exact" w:line="600"/>
              <w:jc w:val="center"/>
            </w:pPr>
            <w:r/>
            <w:r>
              <w:rPr>
                <w:rFonts w:ascii="仿宋_GB2312" w:hAnsi="仿宋_GB2312" w:eastAsia="仿宋_GB2312"/>
                <w:b w:val="0"/>
                <w:color w:val="000000"/>
                <w:sz w:val="32"/>
              </w:rPr>
              <w:t>山东家禽出栏</w:t>
            </w:r>
          </w:p>
        </w:tc>
        <w:tc>
          <w:tcPr>
            <w:tcW w:type="dxa" w:w="2835"/>
          </w:tcPr>
          <w:p>
            <w:pPr>
              <w:spacing w:lineRule="exact" w:line="600"/>
              <w:jc w:val="center"/>
            </w:pPr>
            <w:r/>
            <w:r>
              <w:rPr>
                <w:rFonts w:ascii="仿宋_GB2312" w:hAnsi="仿宋_GB2312" w:eastAsia="仿宋_GB2312"/>
                <w:b w:val="0"/>
                <w:color w:val="000000"/>
                <w:sz w:val="32"/>
              </w:rPr>
              <w:t>约25亿只</w:t>
            </w:r>
          </w:p>
        </w:tc>
        <w:tc>
          <w:tcPr>
            <w:tcW w:type="dxa" w:w="3118"/>
          </w:tcPr>
          <w:p>
            <w:pPr>
              <w:spacing w:lineRule="exact" w:line="600"/>
              <w:jc w:val="center"/>
            </w:pPr>
            <w:r/>
            <w:r>
              <w:rPr>
                <w:rFonts w:ascii="仿宋_GB2312" w:hAnsi="仿宋_GB2312" w:eastAsia="仿宋_GB2312"/>
                <w:b w:val="0"/>
                <w:color w:val="000000"/>
                <w:sz w:val="32"/>
              </w:rPr>
              <w:t>山东畜牧</w:t>
            </w:r>
          </w:p>
        </w:tc>
      </w:tr>
      <w:tr>
        <w:tc>
          <w:tcPr>
            <w:tcW w:type="dxa" w:w="2835"/>
          </w:tcPr>
          <w:p>
            <w:pPr>
              <w:spacing w:lineRule="exact" w:line="600"/>
              <w:jc w:val="center"/>
            </w:pPr>
            <w:r/>
            <w:r>
              <w:rPr>
                <w:rFonts w:ascii="仿宋_GB2312" w:hAnsi="仿宋_GB2312" w:eastAsia="仿宋_GB2312"/>
                <w:b w:val="0"/>
                <w:color w:val="000000"/>
                <w:sz w:val="32"/>
              </w:rPr>
              <w:t>得利斯属性</w:t>
            </w:r>
          </w:p>
        </w:tc>
        <w:tc>
          <w:tcPr>
            <w:tcW w:type="dxa" w:w="2835"/>
          </w:tcPr>
          <w:p>
            <w:pPr>
              <w:spacing w:lineRule="exact" w:line="600"/>
              <w:jc w:val="center"/>
            </w:pPr>
            <w:r/>
            <w:r>
              <w:rPr>
                <w:rFonts w:ascii="仿宋_GB2312" w:hAnsi="仿宋_GB2312" w:eastAsia="仿宋_GB2312"/>
                <w:b w:val="0"/>
                <w:color w:val="000000"/>
                <w:sz w:val="32"/>
              </w:rPr>
              <w:t>农业产业化国家重点龙头</w:t>
            </w:r>
          </w:p>
        </w:tc>
        <w:tc>
          <w:tcPr>
            <w:tcW w:type="dxa" w:w="3118"/>
          </w:tcPr>
          <w:p>
            <w:pPr>
              <w:spacing w:lineRule="exact" w:line="600"/>
              <w:jc w:val="center"/>
            </w:pPr>
            <w:r/>
            <w:r>
              <w:rPr>
                <w:rFonts w:ascii="仿宋_GB2312" w:hAnsi="仿宋_GB2312" w:eastAsia="仿宋_GB2312"/>
                <w:b w:val="0"/>
                <w:color w:val="000000"/>
                <w:sz w:val="32"/>
              </w:rPr>
              <w:t>农业部</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（一）国家政策导向</w:t>
      </w:r>
    </w:p>
    <w:p>
      <w:pPr>
        <w:spacing w:lineRule="exact" w:line="600" w:before="0" w:after="0"/>
        <w:ind w:firstLine="420"/>
        <w:jc w:val="both"/>
      </w:pPr>
      <w:r>
        <w:rPr>
          <w:rFonts w:ascii="仿宋_GB2312" w:hAnsi="仿宋_GB2312" w:eastAsia="仿宋_GB2312"/>
          <w:b w:val="0"/>
          <w:color w:val="000000"/>
          <w:sz w:val="32"/>
        </w:rPr>
        <w:t>国家持续推进畜禽定点屠宰、标准化屠宰厂建设，农业农村部《生猪屠宰质量管理规范》自2024年起施行，引导屠宰行业提质升级、冷链化与规模化。«「十四五」全国畜牧兽医行业发展规划»提出稳定生猪家禽产能、提升屠宰加工集中度。在保障「菜篮子」与肉类供给安全背景下，屠宰及肉制品加工长期具刚性需求，政策明确支持龙头做强、中小整合。</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政策/规范</w:t>
            </w:r>
          </w:p>
        </w:tc>
        <w:tc>
          <w:tcPr>
            <w:tcW w:type="dxa" w:w="283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影响</w:t>
            </w:r>
          </w:p>
        </w:tc>
      </w:tr>
      <w:tr>
        <w:tc>
          <w:tcPr>
            <w:tcW w:type="dxa" w:w="3118"/>
          </w:tcPr>
          <w:p>
            <w:pPr>
              <w:spacing w:lineRule="exact" w:line="600"/>
              <w:jc w:val="center"/>
            </w:pPr>
            <w:r/>
            <w:r>
              <w:rPr>
                <w:rFonts w:ascii="仿宋_GB2312" w:hAnsi="仿宋_GB2312" w:eastAsia="仿宋_GB2312"/>
                <w:b w:val="0"/>
                <w:color w:val="000000"/>
                <w:sz w:val="32"/>
              </w:rPr>
              <w:t>生猪屠宰质量管理规范</w:t>
            </w:r>
          </w:p>
        </w:tc>
        <w:tc>
          <w:tcPr>
            <w:tcW w:type="dxa" w:w="2835"/>
          </w:tcPr>
          <w:p>
            <w:pPr>
              <w:spacing w:lineRule="exact" w:line="600"/>
              <w:jc w:val="center"/>
            </w:pPr>
            <w:r/>
            <w:r>
              <w:rPr>
                <w:rFonts w:ascii="仿宋_GB2312" w:hAnsi="仿宋_GB2312" w:eastAsia="仿宋_GB2312"/>
                <w:b w:val="0"/>
                <w:color w:val="000000"/>
                <w:sz w:val="32"/>
              </w:rPr>
              <w:t>2024施行</w:t>
            </w:r>
          </w:p>
        </w:tc>
        <w:tc>
          <w:tcPr>
            <w:tcW w:type="dxa" w:w="3118"/>
          </w:tcPr>
          <w:p>
            <w:pPr>
              <w:spacing w:lineRule="exact" w:line="600"/>
              <w:jc w:val="center"/>
            </w:pPr>
            <w:r/>
            <w:r>
              <w:rPr>
                <w:rFonts w:ascii="仿宋_GB2312" w:hAnsi="仿宋_GB2312" w:eastAsia="仿宋_GB2312"/>
                <w:b w:val="0"/>
                <w:color w:val="000000"/>
                <w:sz w:val="32"/>
              </w:rPr>
              <w:t>提质升级</w:t>
            </w:r>
          </w:p>
        </w:tc>
      </w:tr>
      <w:tr>
        <w:tc>
          <w:tcPr>
            <w:tcW w:type="dxa" w:w="3118"/>
          </w:tcPr>
          <w:p>
            <w:pPr>
              <w:spacing w:lineRule="exact" w:line="600"/>
              <w:jc w:val="center"/>
            </w:pPr>
            <w:r/>
            <w:r>
              <w:rPr>
                <w:rFonts w:ascii="仿宋_GB2312" w:hAnsi="仿宋_GB2312" w:eastAsia="仿宋_GB2312"/>
                <w:b w:val="0"/>
                <w:color w:val="000000"/>
                <w:sz w:val="32"/>
              </w:rPr>
              <w:t>十四五畜牧规划</w:t>
            </w:r>
          </w:p>
        </w:tc>
        <w:tc>
          <w:tcPr>
            <w:tcW w:type="dxa" w:w="2835"/>
          </w:tcPr>
          <w:p>
            <w:pPr>
              <w:spacing w:lineRule="exact" w:line="600"/>
              <w:jc w:val="center"/>
            </w:pPr>
            <w:r/>
            <w:r>
              <w:rPr>
                <w:rFonts w:ascii="仿宋_GB2312" w:hAnsi="仿宋_GB2312" w:eastAsia="仿宋_GB2312"/>
                <w:b w:val="0"/>
                <w:color w:val="000000"/>
                <w:sz w:val="32"/>
              </w:rPr>
              <w:t>稳产能</w:t>
            </w:r>
          </w:p>
        </w:tc>
        <w:tc>
          <w:tcPr>
            <w:tcW w:type="dxa" w:w="3118"/>
          </w:tcPr>
          <w:p>
            <w:pPr>
              <w:spacing w:lineRule="exact" w:line="600"/>
              <w:jc w:val="center"/>
            </w:pPr>
            <w:r/>
            <w:r>
              <w:rPr>
                <w:rFonts w:ascii="仿宋_GB2312" w:hAnsi="仿宋_GB2312" w:eastAsia="仿宋_GB2312"/>
                <w:b w:val="0"/>
                <w:color w:val="000000"/>
                <w:sz w:val="32"/>
              </w:rPr>
              <w:t>规模化</w:t>
            </w:r>
          </w:p>
        </w:tc>
      </w:tr>
      <w:tr>
        <w:tc>
          <w:tcPr>
            <w:tcW w:type="dxa" w:w="3118"/>
          </w:tcPr>
          <w:p>
            <w:pPr>
              <w:spacing w:lineRule="exact" w:line="600"/>
              <w:jc w:val="center"/>
            </w:pPr>
            <w:r/>
            <w:r>
              <w:rPr>
                <w:rFonts w:ascii="仿宋_GB2312" w:hAnsi="仿宋_GB2312" w:eastAsia="仿宋_GB2312"/>
                <w:b w:val="0"/>
                <w:color w:val="000000"/>
                <w:sz w:val="32"/>
              </w:rPr>
              <w:t>菜篮子工程</w:t>
            </w:r>
          </w:p>
        </w:tc>
        <w:tc>
          <w:tcPr>
            <w:tcW w:type="dxa" w:w="2835"/>
          </w:tcPr>
          <w:p>
            <w:pPr>
              <w:spacing w:lineRule="exact" w:line="600"/>
              <w:jc w:val="center"/>
            </w:pPr>
            <w:r/>
            <w:r>
              <w:rPr>
                <w:rFonts w:ascii="仿宋_GB2312" w:hAnsi="仿宋_GB2312" w:eastAsia="仿宋_GB2312"/>
                <w:b w:val="0"/>
                <w:color w:val="000000"/>
                <w:sz w:val="32"/>
              </w:rPr>
              <w:t>保供</w:t>
            </w:r>
          </w:p>
        </w:tc>
        <w:tc>
          <w:tcPr>
            <w:tcW w:type="dxa" w:w="3118"/>
          </w:tcPr>
          <w:p>
            <w:pPr>
              <w:spacing w:lineRule="exact" w:line="600"/>
              <w:jc w:val="center"/>
            </w:pPr>
            <w:r/>
            <w:r>
              <w:rPr>
                <w:rFonts w:ascii="仿宋_GB2312" w:hAnsi="仿宋_GB2312" w:eastAsia="仿宋_GB2312"/>
                <w:b w:val="0"/>
                <w:color w:val="000000"/>
                <w:sz w:val="32"/>
              </w:rPr>
              <w:t>刚性需求</w:t>
            </w:r>
          </w:p>
        </w:tc>
      </w:tr>
      <w:tr>
        <w:tc>
          <w:tcPr>
            <w:tcW w:type="dxa" w:w="3118"/>
          </w:tcPr>
          <w:p>
            <w:pPr>
              <w:spacing w:lineRule="exact" w:line="600"/>
              <w:jc w:val="center"/>
            </w:pPr>
            <w:r/>
            <w:r>
              <w:rPr>
                <w:rFonts w:ascii="仿宋_GB2312" w:hAnsi="仿宋_GB2312" w:eastAsia="仿宋_GB2312"/>
                <w:b w:val="0"/>
                <w:color w:val="000000"/>
                <w:sz w:val="32"/>
              </w:rPr>
              <w:t>冷链化</w:t>
            </w:r>
          </w:p>
        </w:tc>
        <w:tc>
          <w:tcPr>
            <w:tcW w:type="dxa" w:w="2835"/>
          </w:tcPr>
          <w:p>
            <w:pPr>
              <w:spacing w:lineRule="exact" w:line="600"/>
              <w:jc w:val="center"/>
            </w:pPr>
            <w:r/>
            <w:r>
              <w:rPr>
                <w:rFonts w:ascii="仿宋_GB2312" w:hAnsi="仿宋_GB2312" w:eastAsia="仿宋_GB2312"/>
                <w:b w:val="0"/>
                <w:color w:val="000000"/>
                <w:sz w:val="32"/>
              </w:rPr>
              <w:t>政策鼓励</w:t>
            </w:r>
          </w:p>
        </w:tc>
        <w:tc>
          <w:tcPr>
            <w:tcW w:type="dxa" w:w="3118"/>
          </w:tcPr>
          <w:p>
            <w:pPr>
              <w:spacing w:lineRule="exact" w:line="600"/>
              <w:jc w:val="center"/>
            </w:pPr>
            <w:r/>
            <w:r>
              <w:rPr>
                <w:rFonts w:ascii="仿宋_GB2312" w:hAnsi="仿宋_GB2312" w:eastAsia="仿宋_GB2312"/>
                <w:b w:val="0"/>
                <w:color w:val="000000"/>
                <w:sz w:val="32"/>
              </w:rPr>
              <w:t>减少损耗</w:t>
            </w:r>
          </w:p>
        </w:tc>
      </w:tr>
    </w:tbl>
    <w:p>
      <w:pPr>
        <w:spacing w:lineRule="exact" w:line="600" w:before="120" w:after="120"/>
        <w:ind w:firstLine="420"/>
        <w:jc w:val="left"/>
      </w:pPr>
      <w:r>
        <w:rPr>
          <w:rFonts w:ascii="楷体_GB2312" w:hAnsi="楷体_GB2312" w:eastAsia="楷体_GB2312"/>
          <w:b w:val="0"/>
          <w:color w:val="000000"/>
          <w:sz w:val="32"/>
        </w:rPr>
        <w:t>（二）区域定位</w:t>
      </w:r>
    </w:p>
    <w:p>
      <w:pPr>
        <w:spacing w:lineRule="exact" w:line="600" w:before="0" w:after="0"/>
        <w:ind w:firstLine="420"/>
        <w:jc w:val="both"/>
      </w:pPr>
      <w:r>
        <w:rPr>
          <w:rFonts w:ascii="仿宋_GB2312" w:hAnsi="仿宋_GB2312" w:eastAsia="仿宋_GB2312"/>
          <w:b w:val="0"/>
          <w:color w:val="000000"/>
          <w:sz w:val="32"/>
        </w:rPr>
        <w:t>诸城地处山东半岛，是畜牧大县与农产品加工强县，肉鸡、生猪养殖基础雄厚。诸城市将健康食品及预制菜作为主导产业培育，屠宰及肉制品加工是集群「第一车间」，为下游预制菜提供稳定优质原料肉。得利斯、诸城外贸等链主企业的屠宰产能与品控体系，是诸城食品产业全国竞争力的根基。</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区域要素</w:t>
            </w:r>
          </w:p>
        </w:tc>
        <w:tc>
          <w:tcPr>
            <w:tcW w:type="dxa" w:w="3118"/>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畜牧大县</w:t>
            </w:r>
          </w:p>
        </w:tc>
        <w:tc>
          <w:tcPr>
            <w:tcW w:type="dxa" w:w="3118"/>
          </w:tcPr>
          <w:p>
            <w:pPr>
              <w:spacing w:lineRule="exact" w:line="600"/>
              <w:jc w:val="center"/>
            </w:pPr>
            <w:r/>
            <w:r>
              <w:rPr>
                <w:rFonts w:ascii="仿宋_GB2312" w:hAnsi="仿宋_GB2312" w:eastAsia="仿宋_GB2312"/>
                <w:b w:val="0"/>
                <w:color w:val="000000"/>
                <w:sz w:val="32"/>
              </w:rPr>
              <w:t>猪鸡养殖强</w:t>
            </w:r>
          </w:p>
        </w:tc>
        <w:tc>
          <w:tcPr>
            <w:tcW w:type="dxa" w:w="3118"/>
          </w:tcPr>
          <w:p>
            <w:pPr>
              <w:spacing w:lineRule="exact" w:line="600"/>
              <w:jc w:val="center"/>
            </w:pPr>
            <w:r/>
            <w:r>
              <w:rPr>
                <w:rFonts w:ascii="仿宋_GB2312" w:hAnsi="仿宋_GB2312" w:eastAsia="仿宋_GB2312"/>
                <w:b w:val="0"/>
                <w:color w:val="000000"/>
                <w:sz w:val="32"/>
              </w:rPr>
              <w:t>原料足</w:t>
            </w:r>
          </w:p>
        </w:tc>
      </w:tr>
      <w:tr>
        <w:tc>
          <w:tcPr>
            <w:tcW w:type="dxa" w:w="2835"/>
          </w:tcPr>
          <w:p>
            <w:pPr>
              <w:spacing w:lineRule="exact" w:line="600"/>
              <w:jc w:val="center"/>
            </w:pPr>
            <w:r/>
            <w:r>
              <w:rPr>
                <w:rFonts w:ascii="仿宋_GB2312" w:hAnsi="仿宋_GB2312" w:eastAsia="仿宋_GB2312"/>
                <w:b w:val="0"/>
                <w:color w:val="000000"/>
                <w:sz w:val="32"/>
              </w:rPr>
              <w:t>主导产业</w:t>
            </w:r>
          </w:p>
        </w:tc>
        <w:tc>
          <w:tcPr>
            <w:tcW w:type="dxa" w:w="3118"/>
          </w:tcPr>
          <w:p>
            <w:pPr>
              <w:spacing w:lineRule="exact" w:line="600"/>
              <w:jc w:val="center"/>
            </w:pPr>
            <w:r/>
            <w:r>
              <w:rPr>
                <w:rFonts w:ascii="仿宋_GB2312" w:hAnsi="仿宋_GB2312" w:eastAsia="仿宋_GB2312"/>
                <w:b w:val="0"/>
                <w:color w:val="000000"/>
                <w:sz w:val="32"/>
              </w:rPr>
              <w:t>健康食品</w:t>
            </w:r>
          </w:p>
        </w:tc>
        <w:tc>
          <w:tcPr>
            <w:tcW w:type="dxa" w:w="3118"/>
          </w:tcPr>
          <w:p>
            <w:pPr>
              <w:spacing w:lineRule="exact" w:line="600"/>
              <w:jc w:val="center"/>
            </w:pPr>
            <w:r/>
            <w:r>
              <w:rPr>
                <w:rFonts w:ascii="仿宋_GB2312" w:hAnsi="仿宋_GB2312" w:eastAsia="仿宋_GB2312"/>
                <w:b w:val="0"/>
                <w:color w:val="000000"/>
                <w:sz w:val="32"/>
              </w:rPr>
              <w:t>集群</w:t>
            </w:r>
          </w:p>
        </w:tc>
      </w:tr>
      <w:tr>
        <w:tc>
          <w:tcPr>
            <w:tcW w:type="dxa" w:w="2835"/>
          </w:tcPr>
          <w:p>
            <w:pPr>
              <w:spacing w:lineRule="exact" w:line="600"/>
              <w:jc w:val="center"/>
            </w:pPr>
            <w:r/>
            <w:r>
              <w:rPr>
                <w:rFonts w:ascii="仿宋_GB2312" w:hAnsi="仿宋_GB2312" w:eastAsia="仿宋_GB2312"/>
                <w:b w:val="0"/>
                <w:color w:val="000000"/>
                <w:sz w:val="32"/>
              </w:rPr>
              <w:t>链主</w:t>
            </w:r>
          </w:p>
        </w:tc>
        <w:tc>
          <w:tcPr>
            <w:tcW w:type="dxa" w:w="3118"/>
          </w:tcPr>
          <w:p>
            <w:pPr>
              <w:spacing w:lineRule="exact" w:line="600"/>
              <w:jc w:val="center"/>
            </w:pPr>
            <w:r/>
            <w:r>
              <w:rPr>
                <w:rFonts w:ascii="仿宋_GB2312" w:hAnsi="仿宋_GB2312" w:eastAsia="仿宋_GB2312"/>
                <w:b w:val="0"/>
                <w:color w:val="000000"/>
                <w:sz w:val="32"/>
              </w:rPr>
              <w:t>得利斯/外贸</w:t>
            </w:r>
          </w:p>
        </w:tc>
        <w:tc>
          <w:tcPr>
            <w:tcW w:type="dxa" w:w="3118"/>
          </w:tcPr>
          <w:p>
            <w:pPr>
              <w:spacing w:lineRule="exact" w:line="600"/>
              <w:jc w:val="center"/>
            </w:pPr>
            <w:r/>
            <w:r>
              <w:rPr>
                <w:rFonts w:ascii="仿宋_GB2312" w:hAnsi="仿宋_GB2312" w:eastAsia="仿宋_GB2312"/>
                <w:b w:val="0"/>
                <w:color w:val="000000"/>
                <w:sz w:val="32"/>
              </w:rPr>
              <w:t>屠宰</w:t>
            </w:r>
          </w:p>
        </w:tc>
      </w:tr>
      <w:tr>
        <w:tc>
          <w:tcPr>
            <w:tcW w:type="dxa" w:w="2835"/>
          </w:tcPr>
          <w:p>
            <w:pPr>
              <w:spacing w:lineRule="exact" w:line="600"/>
              <w:jc w:val="center"/>
            </w:pPr>
            <w:r/>
            <w:r>
              <w:rPr>
                <w:rFonts w:ascii="仿宋_GB2312" w:hAnsi="仿宋_GB2312" w:eastAsia="仿宋_GB2312"/>
                <w:b w:val="0"/>
                <w:color w:val="000000"/>
                <w:sz w:val="32"/>
              </w:rPr>
              <w:t>定位</w:t>
            </w:r>
          </w:p>
        </w:tc>
        <w:tc>
          <w:tcPr>
            <w:tcW w:type="dxa" w:w="3118"/>
          </w:tcPr>
          <w:p>
            <w:pPr>
              <w:spacing w:lineRule="exact" w:line="600"/>
              <w:jc w:val="center"/>
            </w:pPr>
            <w:r/>
            <w:r>
              <w:rPr>
                <w:rFonts w:ascii="仿宋_GB2312" w:hAnsi="仿宋_GB2312" w:eastAsia="仿宋_GB2312"/>
                <w:b w:val="0"/>
                <w:color w:val="000000"/>
                <w:sz w:val="32"/>
              </w:rPr>
              <w:t>第一车间</w:t>
            </w:r>
          </w:p>
        </w:tc>
        <w:tc>
          <w:tcPr>
            <w:tcW w:type="dxa" w:w="3118"/>
          </w:tcPr>
          <w:p>
            <w:pPr>
              <w:spacing w:lineRule="exact" w:line="600"/>
              <w:jc w:val="center"/>
            </w:pPr>
            <w:r/>
            <w:r>
              <w:rPr>
                <w:rFonts w:ascii="仿宋_GB2312" w:hAnsi="仿宋_GB2312" w:eastAsia="仿宋_GB2312"/>
                <w:b w:val="0"/>
                <w:color w:val="000000"/>
                <w:sz w:val="32"/>
              </w:rPr>
              <w:t>供预制</w:t>
            </w:r>
          </w:p>
        </w:tc>
      </w:tr>
    </w:tbl>
    <w:p>
      <w:pPr>
        <w:spacing w:lineRule="exact" w:line="600" w:before="120" w:after="120"/>
        <w:ind w:firstLine="420"/>
        <w:jc w:val="left"/>
      </w:pPr>
      <w:r>
        <w:rPr>
          <w:rFonts w:ascii="楷体_GB2312" w:hAnsi="楷体_GB2312" w:eastAsia="楷体_GB2312"/>
          <w:b w:val="0"/>
          <w:color w:val="000000"/>
          <w:sz w:val="32"/>
        </w:rPr>
        <w:t>（三）行业宏观背景</w:t>
      </w:r>
    </w:p>
    <w:p>
      <w:pPr>
        <w:spacing w:lineRule="exact" w:line="600" w:before="0" w:after="0"/>
        <w:ind w:firstLine="420"/>
        <w:jc w:val="both"/>
      </w:pPr>
      <w:r>
        <w:rPr>
          <w:rFonts w:ascii="仿宋_GB2312" w:hAnsi="仿宋_GB2312" w:eastAsia="仿宋_GB2312"/>
          <w:b w:val="0"/>
          <w:color w:val="000000"/>
          <w:sz w:val="32"/>
        </w:rPr>
        <w:t>我国是全球最大肉类生产与消费国，2023年全国猪牛羊禽肉产量约9641万吨（其中猪肉5794万吨、禽肉2563万吨），山东省生猪出栏约4600万头、家禽出栏约25亿只，均居全国前列，为屠宰加工提供充裕原料。但屠宰行业整体产能过剩、利润率薄，集中度提升与品牌化是主线。低温肉制品与冷鲜肉占比提升，推动行业由「热鲜」向「冷链」转型。</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宏观指标</w:t>
            </w:r>
          </w:p>
        </w:tc>
        <w:tc>
          <w:tcPr>
            <w:tcW w:type="dxa" w:w="3118"/>
          </w:tcPr>
          <w:p>
            <w:pPr>
              <w:spacing w:lineRule="exact" w:line="600"/>
              <w:jc w:val="center"/>
            </w:pPr>
            <w:r/>
            <w:r>
              <w:rPr>
                <w:rFonts w:ascii="黑体" w:hAnsi="黑体" w:eastAsia="黑体"/>
                <w:b/>
                <w:color w:val="000000"/>
                <w:sz w:val="32"/>
              </w:rPr>
              <w:t>2023数值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全国肉类产量</w:t>
            </w:r>
          </w:p>
        </w:tc>
        <w:tc>
          <w:tcPr>
            <w:tcW w:type="dxa" w:w="3118"/>
          </w:tcPr>
          <w:p>
            <w:pPr>
              <w:spacing w:lineRule="exact" w:line="600"/>
              <w:jc w:val="center"/>
            </w:pPr>
            <w:r/>
            <w:r>
              <w:rPr>
                <w:rFonts w:ascii="仿宋_GB2312" w:hAnsi="仿宋_GB2312" w:eastAsia="仿宋_GB2312"/>
                <w:b w:val="0"/>
                <w:color w:val="000000"/>
                <w:sz w:val="32"/>
              </w:rPr>
              <w:t>约9641万吨</w:t>
            </w:r>
          </w:p>
        </w:tc>
        <w:tc>
          <w:tcPr>
            <w:tcW w:type="dxa" w:w="3118"/>
          </w:tcPr>
          <w:p>
            <w:pPr>
              <w:spacing w:lineRule="exact" w:line="600"/>
              <w:jc w:val="center"/>
            </w:pPr>
            <w:r/>
            <w:r>
              <w:rPr>
                <w:rFonts w:ascii="仿宋_GB2312" w:hAnsi="仿宋_GB2312" w:eastAsia="仿宋_GB2312"/>
                <w:b w:val="0"/>
                <w:color w:val="000000"/>
                <w:sz w:val="32"/>
              </w:rPr>
              <w:t>猪5794/禽2563</w:t>
            </w:r>
          </w:p>
        </w:tc>
      </w:tr>
      <w:tr>
        <w:tc>
          <w:tcPr>
            <w:tcW w:type="dxa" w:w="2835"/>
          </w:tcPr>
          <w:p>
            <w:pPr>
              <w:spacing w:lineRule="exact" w:line="600"/>
              <w:jc w:val="center"/>
            </w:pPr>
            <w:r/>
            <w:r>
              <w:rPr>
                <w:rFonts w:ascii="仿宋_GB2312" w:hAnsi="仿宋_GB2312" w:eastAsia="仿宋_GB2312"/>
                <w:b w:val="0"/>
                <w:color w:val="000000"/>
                <w:sz w:val="32"/>
              </w:rPr>
              <w:t>山东生猪出栏</w:t>
            </w:r>
          </w:p>
        </w:tc>
        <w:tc>
          <w:tcPr>
            <w:tcW w:type="dxa" w:w="3118"/>
          </w:tcPr>
          <w:p>
            <w:pPr>
              <w:spacing w:lineRule="exact" w:line="600"/>
              <w:jc w:val="center"/>
            </w:pPr>
            <w:r/>
            <w:r>
              <w:rPr>
                <w:rFonts w:ascii="仿宋_GB2312" w:hAnsi="仿宋_GB2312" w:eastAsia="仿宋_GB2312"/>
                <w:b w:val="0"/>
                <w:color w:val="000000"/>
                <w:sz w:val="32"/>
              </w:rPr>
              <w:t>约4600万头</w:t>
            </w:r>
          </w:p>
        </w:tc>
        <w:tc>
          <w:tcPr>
            <w:tcW w:type="dxa" w:w="3118"/>
          </w:tcPr>
          <w:p>
            <w:pPr>
              <w:spacing w:lineRule="exact" w:line="600"/>
              <w:jc w:val="center"/>
            </w:pPr>
            <w:r/>
            <w:r>
              <w:rPr>
                <w:rFonts w:ascii="仿宋_GB2312" w:hAnsi="仿宋_GB2312" w:eastAsia="仿宋_GB2312"/>
                <w:b w:val="0"/>
                <w:color w:val="000000"/>
                <w:sz w:val="32"/>
              </w:rPr>
              <w:t>前列</w:t>
            </w:r>
          </w:p>
        </w:tc>
      </w:tr>
      <w:tr>
        <w:tc>
          <w:tcPr>
            <w:tcW w:type="dxa" w:w="2835"/>
          </w:tcPr>
          <w:p>
            <w:pPr>
              <w:spacing w:lineRule="exact" w:line="600"/>
              <w:jc w:val="center"/>
            </w:pPr>
            <w:r/>
            <w:r>
              <w:rPr>
                <w:rFonts w:ascii="仿宋_GB2312" w:hAnsi="仿宋_GB2312" w:eastAsia="仿宋_GB2312"/>
                <w:b w:val="0"/>
                <w:color w:val="000000"/>
                <w:sz w:val="32"/>
              </w:rPr>
              <w:t>山东家禽出栏</w:t>
            </w:r>
          </w:p>
        </w:tc>
        <w:tc>
          <w:tcPr>
            <w:tcW w:type="dxa" w:w="3118"/>
          </w:tcPr>
          <w:p>
            <w:pPr>
              <w:spacing w:lineRule="exact" w:line="600"/>
              <w:jc w:val="center"/>
            </w:pPr>
            <w:r/>
            <w:r>
              <w:rPr>
                <w:rFonts w:ascii="仿宋_GB2312" w:hAnsi="仿宋_GB2312" w:eastAsia="仿宋_GB2312"/>
                <w:b w:val="0"/>
                <w:color w:val="000000"/>
                <w:sz w:val="32"/>
              </w:rPr>
              <w:t>约25亿只</w:t>
            </w:r>
          </w:p>
        </w:tc>
        <w:tc>
          <w:tcPr>
            <w:tcW w:type="dxa" w:w="3118"/>
          </w:tcPr>
          <w:p>
            <w:pPr>
              <w:spacing w:lineRule="exact" w:line="600"/>
              <w:jc w:val="center"/>
            </w:pPr>
            <w:r/>
            <w:r>
              <w:rPr>
                <w:rFonts w:ascii="仿宋_GB2312" w:hAnsi="仿宋_GB2312" w:eastAsia="仿宋_GB2312"/>
                <w:b w:val="0"/>
                <w:color w:val="000000"/>
                <w:sz w:val="32"/>
              </w:rPr>
              <w:t>前列</w:t>
            </w:r>
          </w:p>
        </w:tc>
      </w:tr>
      <w:tr>
        <w:tc>
          <w:tcPr>
            <w:tcW w:type="dxa" w:w="2835"/>
          </w:tcPr>
          <w:p>
            <w:pPr>
              <w:spacing w:lineRule="exact" w:line="600"/>
              <w:jc w:val="center"/>
            </w:pPr>
            <w:r/>
            <w:r>
              <w:rPr>
                <w:rFonts w:ascii="仿宋_GB2312" w:hAnsi="仿宋_GB2312" w:eastAsia="仿宋_GB2312"/>
                <w:b w:val="0"/>
                <w:color w:val="000000"/>
                <w:sz w:val="32"/>
              </w:rPr>
              <w:t>消费</w:t>
            </w:r>
          </w:p>
        </w:tc>
        <w:tc>
          <w:tcPr>
            <w:tcW w:type="dxa" w:w="3118"/>
          </w:tcPr>
          <w:p>
            <w:pPr>
              <w:spacing w:lineRule="exact" w:line="600"/>
              <w:jc w:val="center"/>
            </w:pPr>
            <w:r/>
            <w:r>
              <w:rPr>
                <w:rFonts w:ascii="仿宋_GB2312" w:hAnsi="仿宋_GB2312" w:eastAsia="仿宋_GB2312"/>
                <w:b w:val="0"/>
                <w:color w:val="000000"/>
                <w:sz w:val="32"/>
              </w:rPr>
              <w:t>最大市场</w:t>
            </w:r>
          </w:p>
        </w:tc>
        <w:tc>
          <w:tcPr>
            <w:tcW w:type="dxa" w:w="3118"/>
          </w:tcPr>
          <w:p>
            <w:pPr>
              <w:spacing w:lineRule="exact" w:line="600"/>
              <w:jc w:val="center"/>
            </w:pPr>
            <w:r/>
            <w:r>
              <w:rPr>
                <w:rFonts w:ascii="仿宋_GB2312" w:hAnsi="仿宋_GB2312" w:eastAsia="仿宋_GB2312"/>
                <w:b w:val="0"/>
                <w:color w:val="000000"/>
                <w:sz w:val="32"/>
              </w:rPr>
              <w:t>刚性</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（一）上游：养殖与饲料</w:t>
      </w:r>
    </w:p>
    <w:p>
      <w:pPr>
        <w:spacing w:lineRule="exact" w:line="600" w:before="0" w:after="0"/>
        <w:ind w:firstLine="420"/>
        <w:jc w:val="both"/>
      </w:pPr>
      <w:r>
        <w:rPr>
          <w:rFonts w:ascii="仿宋_GB2312" w:hAnsi="仿宋_GB2312" w:eastAsia="仿宋_GB2312"/>
          <w:b w:val="0"/>
          <w:color w:val="000000"/>
          <w:sz w:val="32"/>
        </w:rPr>
        <w:t>上游为生猪、肉鸡养殖与饲料供应。诸城及周边形成规模化养殖基地，配套饲料加工；诸城外贸等拥有自繁自养与「公司+农户」体系，保障鸡肉稳定供给。上游受饲料价格（玉米、豆粕）与疫病影响大，是屠宰成本的核心变量；龙头企业通过纵向一体化平抑波动、保障食品安全可追溯。</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上游环节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现状</w:t>
            </w:r>
          </w:p>
        </w:tc>
      </w:tr>
      <w:tr>
        <w:tc>
          <w:tcPr>
            <w:tcW w:type="dxa" w:w="2835"/>
          </w:tcPr>
          <w:p>
            <w:pPr>
              <w:spacing w:lineRule="exact" w:line="600"/>
              <w:jc w:val="center"/>
            </w:pPr>
            <w:r/>
            <w:r>
              <w:rPr>
                <w:rFonts w:ascii="仿宋_GB2312" w:hAnsi="仿宋_GB2312" w:eastAsia="仿宋_GB2312"/>
                <w:b w:val="0"/>
                <w:color w:val="000000"/>
                <w:sz w:val="32"/>
              </w:rPr>
              <w:t>养殖</w:t>
            </w:r>
          </w:p>
        </w:tc>
        <w:tc>
          <w:tcPr>
            <w:tcW w:type="dxa" w:w="3402"/>
          </w:tcPr>
          <w:p>
            <w:pPr>
              <w:spacing w:lineRule="exact" w:line="600"/>
              <w:jc w:val="center"/>
            </w:pPr>
            <w:r/>
            <w:r>
              <w:rPr>
                <w:rFonts w:ascii="仿宋_GB2312" w:hAnsi="仿宋_GB2312" w:eastAsia="仿宋_GB2312"/>
                <w:b w:val="0"/>
                <w:color w:val="000000"/>
                <w:sz w:val="32"/>
              </w:rPr>
              <w:t>猪/鸡规模化</w:t>
            </w:r>
          </w:p>
        </w:tc>
        <w:tc>
          <w:tcPr>
            <w:tcW w:type="dxa" w:w="2835"/>
          </w:tcPr>
          <w:p>
            <w:pPr>
              <w:spacing w:lineRule="exact" w:line="600"/>
              <w:jc w:val="center"/>
            </w:pPr>
            <w:r/>
            <w:r>
              <w:rPr>
                <w:rFonts w:ascii="仿宋_GB2312" w:hAnsi="仿宋_GB2312" w:eastAsia="仿宋_GB2312"/>
                <w:b w:val="0"/>
                <w:color w:val="000000"/>
                <w:sz w:val="32"/>
              </w:rPr>
              <w:t>一体化</w:t>
            </w:r>
          </w:p>
        </w:tc>
      </w:tr>
      <w:tr>
        <w:tc>
          <w:tcPr>
            <w:tcW w:type="dxa" w:w="2835"/>
          </w:tcPr>
          <w:p>
            <w:pPr>
              <w:spacing w:lineRule="exact" w:line="600"/>
              <w:jc w:val="center"/>
            </w:pPr>
            <w:r/>
            <w:r>
              <w:rPr>
                <w:rFonts w:ascii="仿宋_GB2312" w:hAnsi="仿宋_GB2312" w:eastAsia="仿宋_GB2312"/>
                <w:b w:val="0"/>
                <w:color w:val="000000"/>
                <w:sz w:val="32"/>
              </w:rPr>
              <w:t>饲料</w:t>
            </w:r>
          </w:p>
        </w:tc>
        <w:tc>
          <w:tcPr>
            <w:tcW w:type="dxa" w:w="3402"/>
          </w:tcPr>
          <w:p>
            <w:pPr>
              <w:spacing w:lineRule="exact" w:line="600"/>
              <w:jc w:val="center"/>
            </w:pPr>
            <w:r/>
            <w:r>
              <w:rPr>
                <w:rFonts w:ascii="仿宋_GB2312" w:hAnsi="仿宋_GB2312" w:eastAsia="仿宋_GB2312"/>
                <w:b w:val="0"/>
                <w:color w:val="000000"/>
                <w:sz w:val="32"/>
              </w:rPr>
              <w:t>玉米豆粕</w:t>
            </w:r>
          </w:p>
        </w:tc>
        <w:tc>
          <w:tcPr>
            <w:tcW w:type="dxa" w:w="2835"/>
          </w:tcPr>
          <w:p>
            <w:pPr>
              <w:spacing w:lineRule="exact" w:line="600"/>
              <w:jc w:val="center"/>
            </w:pPr>
            <w:r/>
            <w:r>
              <w:rPr>
                <w:rFonts w:ascii="仿宋_GB2312" w:hAnsi="仿宋_GB2312" w:eastAsia="仿宋_GB2312"/>
                <w:b w:val="0"/>
                <w:color w:val="000000"/>
                <w:sz w:val="32"/>
              </w:rPr>
              <w:t>成本变量</w:t>
            </w:r>
          </w:p>
        </w:tc>
      </w:tr>
      <w:tr>
        <w:tc>
          <w:tcPr>
            <w:tcW w:type="dxa" w:w="2835"/>
          </w:tcPr>
          <w:p>
            <w:pPr>
              <w:spacing w:lineRule="exact" w:line="600"/>
              <w:jc w:val="center"/>
            </w:pPr>
            <w:r/>
            <w:r>
              <w:rPr>
                <w:rFonts w:ascii="仿宋_GB2312" w:hAnsi="仿宋_GB2312" w:eastAsia="仿宋_GB2312"/>
                <w:b w:val="0"/>
                <w:color w:val="000000"/>
                <w:sz w:val="32"/>
              </w:rPr>
              <w:t>疫病</w:t>
            </w:r>
          </w:p>
        </w:tc>
        <w:tc>
          <w:tcPr>
            <w:tcW w:type="dxa" w:w="3402"/>
          </w:tcPr>
          <w:p>
            <w:pPr>
              <w:spacing w:lineRule="exact" w:line="600"/>
              <w:jc w:val="center"/>
            </w:pPr>
            <w:r/>
            <w:r>
              <w:rPr>
                <w:rFonts w:ascii="仿宋_GB2312" w:hAnsi="仿宋_GB2312" w:eastAsia="仿宋_GB2312"/>
                <w:b w:val="0"/>
                <w:color w:val="000000"/>
                <w:sz w:val="32"/>
              </w:rPr>
              <w:t>防控</w:t>
            </w:r>
          </w:p>
        </w:tc>
        <w:tc>
          <w:tcPr>
            <w:tcW w:type="dxa" w:w="2835"/>
          </w:tcPr>
          <w:p>
            <w:pPr>
              <w:spacing w:lineRule="exact" w:line="600"/>
              <w:jc w:val="center"/>
            </w:pPr>
            <w:r/>
            <w:r>
              <w:rPr>
                <w:rFonts w:ascii="仿宋_GB2312" w:hAnsi="仿宋_GB2312" w:eastAsia="仿宋_GB2312"/>
                <w:b w:val="0"/>
                <w:color w:val="000000"/>
                <w:sz w:val="32"/>
              </w:rPr>
              <w:t>可追溯</w:t>
            </w:r>
          </w:p>
        </w:tc>
      </w:tr>
      <w:tr>
        <w:tc>
          <w:tcPr>
            <w:tcW w:type="dxa" w:w="2835"/>
          </w:tcPr>
          <w:p>
            <w:pPr>
              <w:spacing w:lineRule="exact" w:line="600"/>
              <w:jc w:val="center"/>
            </w:pPr>
            <w:r/>
            <w:r>
              <w:rPr>
                <w:rFonts w:ascii="仿宋_GB2312" w:hAnsi="仿宋_GB2312" w:eastAsia="仿宋_GB2312"/>
                <w:b w:val="0"/>
                <w:color w:val="000000"/>
                <w:sz w:val="32"/>
              </w:rPr>
              <w:t>模式</w:t>
            </w:r>
          </w:p>
        </w:tc>
        <w:tc>
          <w:tcPr>
            <w:tcW w:type="dxa" w:w="3402"/>
          </w:tcPr>
          <w:p>
            <w:pPr>
              <w:spacing w:lineRule="exact" w:line="600"/>
              <w:jc w:val="center"/>
            </w:pPr>
            <w:r/>
            <w:r>
              <w:rPr>
                <w:rFonts w:ascii="仿宋_GB2312" w:hAnsi="仿宋_GB2312" w:eastAsia="仿宋_GB2312"/>
                <w:b w:val="0"/>
                <w:color w:val="000000"/>
                <w:sz w:val="32"/>
              </w:rPr>
              <w:t>公司+农户</w:t>
            </w:r>
          </w:p>
        </w:tc>
        <w:tc>
          <w:tcPr>
            <w:tcW w:type="dxa" w:w="2835"/>
          </w:tcPr>
          <w:p>
            <w:pPr>
              <w:spacing w:lineRule="exact" w:line="600"/>
              <w:jc w:val="center"/>
            </w:pPr>
            <w:r/>
            <w:r>
              <w:rPr>
                <w:rFonts w:ascii="仿宋_GB2312" w:hAnsi="仿宋_GB2312" w:eastAsia="仿宋_GB2312"/>
                <w:b w:val="0"/>
                <w:color w:val="000000"/>
                <w:sz w:val="32"/>
              </w:rPr>
              <w:t>稳定</w:t>
            </w:r>
          </w:p>
        </w:tc>
      </w:tr>
    </w:tbl>
    <w:p>
      <w:pPr>
        <w:spacing w:lineRule="exact" w:line="600" w:before="120" w:after="120"/>
        <w:ind w:firstLine="420"/>
        <w:jc w:val="left"/>
      </w:pPr>
      <w:r>
        <w:rPr>
          <w:rFonts w:ascii="楷体_GB2312" w:hAnsi="楷体_GB2312" w:eastAsia="楷体_GB2312"/>
          <w:b w:val="0"/>
          <w:color w:val="000000"/>
          <w:sz w:val="32"/>
        </w:rPr>
        <w:t>（二）中游：屠宰与分割</w:t>
      </w:r>
    </w:p>
    <w:p>
      <w:pPr>
        <w:spacing w:lineRule="exact" w:line="600" w:before="0" w:after="0"/>
        <w:ind w:firstLine="420"/>
        <w:jc w:val="both"/>
      </w:pPr>
      <w:r>
        <w:rPr>
          <w:rFonts w:ascii="仿宋_GB2312" w:hAnsi="仿宋_GB2312" w:eastAsia="仿宋_GB2312"/>
          <w:b w:val="0"/>
          <w:color w:val="000000"/>
          <w:sz w:val="32"/>
        </w:rPr>
        <w:t>中游为畜禽屠宰、分割与冷却肉加工，是诸城集群的核心产能。得利斯具备生猪屠宰及冷却肉、低温肉制品加工能力，是冷却肉理念在国内的最早倡导者之一；诸城外贸以肉鸡屠宰加工为主，年屠宰加工能力行业领先（公开资料有限，以行业共性研判）。机械化屠宰、同步检疫与冷链分割是中游现代化的关键。</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中游主体</w:t>
            </w:r>
          </w:p>
        </w:tc>
        <w:tc>
          <w:tcPr>
            <w:tcW w:type="dxa" w:w="3118"/>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能力</w:t>
            </w:r>
          </w:p>
        </w:tc>
      </w:tr>
      <w:tr>
        <w:tc>
          <w:tcPr>
            <w:tcW w:type="dxa" w:w="2835"/>
          </w:tcPr>
          <w:p>
            <w:pPr>
              <w:spacing w:lineRule="exact" w:line="600"/>
              <w:jc w:val="center"/>
            </w:pPr>
            <w:r/>
            <w:r>
              <w:rPr>
                <w:rFonts w:ascii="仿宋_GB2312" w:hAnsi="仿宋_GB2312" w:eastAsia="仿宋_GB2312"/>
                <w:b w:val="0"/>
                <w:color w:val="000000"/>
                <w:sz w:val="32"/>
              </w:rPr>
              <w:t>得利斯</w:t>
            </w:r>
          </w:p>
        </w:tc>
        <w:tc>
          <w:tcPr>
            <w:tcW w:type="dxa" w:w="3118"/>
          </w:tcPr>
          <w:p>
            <w:pPr>
              <w:spacing w:lineRule="exact" w:line="600"/>
              <w:jc w:val="center"/>
            </w:pPr>
            <w:r/>
            <w:r>
              <w:rPr>
                <w:rFonts w:ascii="仿宋_GB2312" w:hAnsi="仿宋_GB2312" w:eastAsia="仿宋_GB2312"/>
                <w:b w:val="0"/>
                <w:color w:val="000000"/>
                <w:sz w:val="32"/>
              </w:rPr>
              <w:t>生猪屠宰</w:t>
            </w:r>
          </w:p>
        </w:tc>
        <w:tc>
          <w:tcPr>
            <w:tcW w:type="dxa" w:w="3118"/>
          </w:tcPr>
          <w:p>
            <w:pPr>
              <w:spacing w:lineRule="exact" w:line="600"/>
              <w:jc w:val="center"/>
            </w:pPr>
            <w:r/>
            <w:r>
              <w:rPr>
                <w:rFonts w:ascii="仿宋_GB2312" w:hAnsi="仿宋_GB2312" w:eastAsia="仿宋_GB2312"/>
                <w:b w:val="0"/>
                <w:color w:val="000000"/>
                <w:sz w:val="32"/>
              </w:rPr>
              <w:t>冷却肉</w:t>
            </w:r>
          </w:p>
        </w:tc>
      </w:tr>
      <w:tr>
        <w:tc>
          <w:tcPr>
            <w:tcW w:type="dxa" w:w="2835"/>
          </w:tcPr>
          <w:p>
            <w:pPr>
              <w:spacing w:lineRule="exact" w:line="600"/>
              <w:jc w:val="center"/>
            </w:pPr>
            <w:r/>
            <w:r>
              <w:rPr>
                <w:rFonts w:ascii="仿宋_GB2312" w:hAnsi="仿宋_GB2312" w:eastAsia="仿宋_GB2312"/>
                <w:b w:val="0"/>
                <w:color w:val="000000"/>
                <w:sz w:val="32"/>
              </w:rPr>
              <w:t>诸城外贸</w:t>
            </w:r>
          </w:p>
        </w:tc>
        <w:tc>
          <w:tcPr>
            <w:tcW w:type="dxa" w:w="3118"/>
          </w:tcPr>
          <w:p>
            <w:pPr>
              <w:spacing w:lineRule="exact" w:line="600"/>
              <w:jc w:val="center"/>
            </w:pPr>
            <w:r/>
            <w:r>
              <w:rPr>
                <w:rFonts w:ascii="仿宋_GB2312" w:hAnsi="仿宋_GB2312" w:eastAsia="仿宋_GB2312"/>
                <w:b w:val="0"/>
                <w:color w:val="000000"/>
                <w:sz w:val="32"/>
              </w:rPr>
              <w:t>肉鸡屠宰</w:t>
            </w:r>
          </w:p>
        </w:tc>
        <w:tc>
          <w:tcPr>
            <w:tcW w:type="dxa" w:w="3118"/>
          </w:tcPr>
          <w:p>
            <w:pPr>
              <w:spacing w:lineRule="exact" w:line="600"/>
              <w:jc w:val="center"/>
            </w:pPr>
            <w:r/>
            <w:r>
              <w:rPr>
                <w:rFonts w:ascii="仿宋_GB2312" w:hAnsi="仿宋_GB2312" w:eastAsia="仿宋_GB2312"/>
                <w:b w:val="0"/>
                <w:color w:val="000000"/>
                <w:sz w:val="32"/>
              </w:rPr>
              <w:t>加工强</w:t>
            </w:r>
          </w:p>
        </w:tc>
      </w:tr>
      <w:tr>
        <w:tc>
          <w:tcPr>
            <w:tcW w:type="dxa" w:w="2835"/>
          </w:tcPr>
          <w:p>
            <w:pPr>
              <w:spacing w:lineRule="exact" w:line="600"/>
              <w:jc w:val="center"/>
            </w:pPr>
            <w:r/>
            <w:r>
              <w:rPr>
                <w:rFonts w:ascii="仿宋_GB2312" w:hAnsi="仿宋_GB2312" w:eastAsia="仿宋_GB2312"/>
                <w:b w:val="0"/>
                <w:color w:val="000000"/>
                <w:sz w:val="32"/>
              </w:rPr>
              <w:t>工艺</w:t>
            </w:r>
          </w:p>
        </w:tc>
        <w:tc>
          <w:tcPr>
            <w:tcW w:type="dxa" w:w="3118"/>
          </w:tcPr>
          <w:p>
            <w:pPr>
              <w:spacing w:lineRule="exact" w:line="600"/>
              <w:jc w:val="center"/>
            </w:pPr>
            <w:r/>
            <w:r>
              <w:rPr>
                <w:rFonts w:ascii="仿宋_GB2312" w:hAnsi="仿宋_GB2312" w:eastAsia="仿宋_GB2312"/>
                <w:b w:val="0"/>
                <w:color w:val="000000"/>
                <w:sz w:val="32"/>
              </w:rPr>
              <w:t>机械化</w:t>
            </w:r>
          </w:p>
        </w:tc>
        <w:tc>
          <w:tcPr>
            <w:tcW w:type="dxa" w:w="3118"/>
          </w:tcPr>
          <w:p>
            <w:pPr>
              <w:spacing w:lineRule="exact" w:line="600"/>
              <w:jc w:val="center"/>
            </w:pPr>
            <w:r/>
            <w:r>
              <w:rPr>
                <w:rFonts w:ascii="仿宋_GB2312" w:hAnsi="仿宋_GB2312" w:eastAsia="仿宋_GB2312"/>
                <w:b w:val="0"/>
                <w:color w:val="000000"/>
                <w:sz w:val="32"/>
              </w:rPr>
              <w:t>同步检疫</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118"/>
          </w:tcPr>
          <w:p>
            <w:pPr>
              <w:spacing w:lineRule="exact" w:line="600"/>
              <w:jc w:val="center"/>
            </w:pPr>
            <w:r/>
            <w:r>
              <w:rPr>
                <w:rFonts w:ascii="仿宋_GB2312" w:hAnsi="仿宋_GB2312" w:eastAsia="仿宋_GB2312"/>
                <w:b w:val="0"/>
                <w:color w:val="000000"/>
                <w:sz w:val="32"/>
              </w:rPr>
              <w:t>分割</w:t>
            </w:r>
          </w:p>
        </w:tc>
        <w:tc>
          <w:tcPr>
            <w:tcW w:type="dxa" w:w="3118"/>
          </w:tcPr>
          <w:p>
            <w:pPr>
              <w:spacing w:lineRule="exact" w:line="600"/>
              <w:jc w:val="center"/>
            </w:pPr>
            <w:r/>
            <w:r>
              <w:rPr>
                <w:rFonts w:ascii="仿宋_GB2312" w:hAnsi="仿宋_GB2312" w:eastAsia="仿宋_GB2312"/>
                <w:b w:val="0"/>
                <w:color w:val="000000"/>
                <w:sz w:val="32"/>
              </w:rPr>
              <w:t>现代化</w:t>
            </w:r>
          </w:p>
        </w:tc>
      </w:tr>
    </w:tbl>
    <w:p>
      <w:pPr>
        <w:spacing w:lineRule="exact" w:line="600" w:before="120" w:after="120"/>
        <w:ind w:firstLine="420"/>
        <w:jc w:val="left"/>
      </w:pPr>
      <w:r>
        <w:rPr>
          <w:rFonts w:ascii="楷体_GB2312" w:hAnsi="楷体_GB2312" w:eastAsia="楷体_GB2312"/>
          <w:b w:val="0"/>
          <w:color w:val="000000"/>
          <w:sz w:val="32"/>
        </w:rPr>
        <w:t>（三）下游：肉制品与渠道</w:t>
      </w:r>
    </w:p>
    <w:p>
      <w:pPr>
        <w:spacing w:lineRule="exact" w:line="600" w:before="0" w:after="0"/>
        <w:ind w:firstLine="420"/>
        <w:jc w:val="both"/>
      </w:pPr>
      <w:r>
        <w:rPr>
          <w:rFonts w:ascii="仿宋_GB2312" w:hAnsi="仿宋_GB2312" w:eastAsia="仿宋_GB2312"/>
          <w:b w:val="0"/>
          <w:color w:val="000000"/>
          <w:sz w:val="32"/>
        </w:rPr>
        <w:t>下游为低温肉制品、高温火腿肠、调理肉制品及商超/餐饮/电商渠道。得利斯以低温肉制品（圆火腿、萨拉米等）建立品牌；诸城外贸鸡肉产品进入快餐与出口渠道。下游由「卖原料」向「卖品牌、卖预制」升级，屠宰企业的肉制品转化率是提升盈利的关键路径。</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下游环节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趋势</w:t>
            </w:r>
          </w:p>
        </w:tc>
      </w:tr>
      <w:tr>
        <w:tc>
          <w:tcPr>
            <w:tcW w:type="dxa" w:w="2835"/>
          </w:tcPr>
          <w:p>
            <w:pPr>
              <w:spacing w:lineRule="exact" w:line="600"/>
              <w:jc w:val="center"/>
            </w:pPr>
            <w:r/>
            <w:r>
              <w:rPr>
                <w:rFonts w:ascii="仿宋_GB2312" w:hAnsi="仿宋_GB2312" w:eastAsia="仿宋_GB2312"/>
                <w:b w:val="0"/>
                <w:color w:val="000000"/>
                <w:sz w:val="32"/>
              </w:rPr>
              <w:t>肉制品</w:t>
            </w:r>
          </w:p>
        </w:tc>
        <w:tc>
          <w:tcPr>
            <w:tcW w:type="dxa" w:w="3402"/>
          </w:tcPr>
          <w:p>
            <w:pPr>
              <w:spacing w:lineRule="exact" w:line="600"/>
              <w:jc w:val="center"/>
            </w:pPr>
            <w:r/>
            <w:r>
              <w:rPr>
                <w:rFonts w:ascii="仿宋_GB2312" w:hAnsi="仿宋_GB2312" w:eastAsia="仿宋_GB2312"/>
                <w:b w:val="0"/>
                <w:color w:val="000000"/>
                <w:sz w:val="32"/>
              </w:rPr>
              <w:t>低温/高温</w:t>
            </w:r>
          </w:p>
        </w:tc>
        <w:tc>
          <w:tcPr>
            <w:tcW w:type="dxa" w:w="2835"/>
          </w:tcPr>
          <w:p>
            <w:pPr>
              <w:spacing w:lineRule="exact" w:line="600"/>
              <w:jc w:val="center"/>
            </w:pPr>
            <w:r/>
            <w:r>
              <w:rPr>
                <w:rFonts w:ascii="仿宋_GB2312" w:hAnsi="仿宋_GB2312" w:eastAsia="仿宋_GB2312"/>
                <w:b w:val="0"/>
                <w:color w:val="000000"/>
                <w:sz w:val="32"/>
              </w:rPr>
              <w:t>品牌化</w:t>
            </w:r>
          </w:p>
        </w:tc>
      </w:tr>
      <w:tr>
        <w:tc>
          <w:tcPr>
            <w:tcW w:type="dxa" w:w="2835"/>
          </w:tcPr>
          <w:p>
            <w:pPr>
              <w:spacing w:lineRule="exact" w:line="600"/>
              <w:jc w:val="center"/>
            </w:pPr>
            <w:r/>
            <w:r>
              <w:rPr>
                <w:rFonts w:ascii="仿宋_GB2312" w:hAnsi="仿宋_GB2312" w:eastAsia="仿宋_GB2312"/>
                <w:b w:val="0"/>
                <w:color w:val="000000"/>
                <w:sz w:val="32"/>
              </w:rPr>
              <w:t>渠道</w:t>
            </w:r>
          </w:p>
        </w:tc>
        <w:tc>
          <w:tcPr>
            <w:tcW w:type="dxa" w:w="3402"/>
          </w:tcPr>
          <w:p>
            <w:pPr>
              <w:spacing w:lineRule="exact" w:line="600"/>
              <w:jc w:val="center"/>
            </w:pPr>
            <w:r/>
            <w:r>
              <w:rPr>
                <w:rFonts w:ascii="仿宋_GB2312" w:hAnsi="仿宋_GB2312" w:eastAsia="仿宋_GB2312"/>
                <w:b w:val="0"/>
                <w:color w:val="000000"/>
                <w:sz w:val="32"/>
              </w:rPr>
              <w:t>商超/餐饮</w:t>
            </w:r>
          </w:p>
        </w:tc>
        <w:tc>
          <w:tcPr>
            <w:tcW w:type="dxa" w:w="2835"/>
          </w:tcPr>
          <w:p>
            <w:pPr>
              <w:spacing w:lineRule="exact" w:line="600"/>
              <w:jc w:val="center"/>
            </w:pPr>
            <w:r/>
            <w:r>
              <w:rPr>
                <w:rFonts w:ascii="仿宋_GB2312" w:hAnsi="仿宋_GB2312" w:eastAsia="仿宋_GB2312"/>
                <w:b w:val="0"/>
                <w:color w:val="000000"/>
                <w:sz w:val="32"/>
              </w:rPr>
              <w:t>电商</w:t>
            </w:r>
          </w:p>
        </w:tc>
      </w:tr>
      <w:tr>
        <w:tc>
          <w:tcPr>
            <w:tcW w:type="dxa" w:w="2835"/>
          </w:tcPr>
          <w:p>
            <w:pPr>
              <w:spacing w:lineRule="exact" w:line="600"/>
              <w:jc w:val="center"/>
            </w:pPr>
            <w:r/>
            <w:r>
              <w:rPr>
                <w:rFonts w:ascii="仿宋_GB2312" w:hAnsi="仿宋_GB2312" w:eastAsia="仿宋_GB2312"/>
                <w:b w:val="0"/>
                <w:color w:val="000000"/>
                <w:sz w:val="32"/>
              </w:rPr>
              <w:t>转化</w:t>
            </w:r>
          </w:p>
        </w:tc>
        <w:tc>
          <w:tcPr>
            <w:tcW w:type="dxa" w:w="3402"/>
          </w:tcPr>
          <w:p>
            <w:pPr>
              <w:spacing w:lineRule="exact" w:line="600"/>
              <w:jc w:val="center"/>
            </w:pPr>
            <w:r/>
            <w:r>
              <w:rPr>
                <w:rFonts w:ascii="仿宋_GB2312" w:hAnsi="仿宋_GB2312" w:eastAsia="仿宋_GB2312"/>
                <w:b w:val="0"/>
                <w:color w:val="000000"/>
                <w:sz w:val="32"/>
              </w:rPr>
              <w:t>预制化</w:t>
            </w:r>
          </w:p>
        </w:tc>
        <w:tc>
          <w:tcPr>
            <w:tcW w:type="dxa" w:w="2835"/>
          </w:tcPr>
          <w:p>
            <w:pPr>
              <w:spacing w:lineRule="exact" w:line="600"/>
              <w:jc w:val="center"/>
            </w:pPr>
            <w:r/>
            <w:r>
              <w:rPr>
                <w:rFonts w:ascii="仿宋_GB2312" w:hAnsi="仿宋_GB2312" w:eastAsia="仿宋_GB2312"/>
                <w:b w:val="0"/>
                <w:color w:val="000000"/>
                <w:sz w:val="32"/>
              </w:rPr>
              <w:t>提盈利</w:t>
            </w:r>
          </w:p>
        </w:tc>
      </w:tr>
      <w:tr>
        <w:tc>
          <w:tcPr>
            <w:tcW w:type="dxa" w:w="2835"/>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鸡肉</w:t>
            </w:r>
          </w:p>
        </w:tc>
        <w:tc>
          <w:tcPr>
            <w:tcW w:type="dxa" w:w="2835"/>
          </w:tcPr>
          <w:p>
            <w:pPr>
              <w:spacing w:lineRule="exact" w:line="600"/>
              <w:jc w:val="center"/>
            </w:pPr>
            <w:r/>
            <w:r>
              <w:rPr>
                <w:rFonts w:ascii="仿宋_GB2312" w:hAnsi="仿宋_GB2312" w:eastAsia="仿宋_GB2312"/>
                <w:b w:val="0"/>
                <w:color w:val="000000"/>
                <w:sz w:val="32"/>
              </w:rPr>
              <w:t>外贸</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（一）市场供需</w:t>
      </w:r>
    </w:p>
    <w:p>
      <w:pPr>
        <w:spacing w:lineRule="exact" w:line="600" w:before="0" w:after="0"/>
        <w:ind w:firstLine="420"/>
        <w:jc w:val="both"/>
      </w:pPr>
      <w:r>
        <w:rPr>
          <w:rFonts w:ascii="仿宋_GB2312" w:hAnsi="仿宋_GB2312" w:eastAsia="仿宋_GB2312"/>
          <w:b w:val="0"/>
          <w:color w:val="000000"/>
          <w:sz w:val="32"/>
        </w:rPr>
        <w:t>国内肉类消费刚性，猪牛羊禽肉年消费近亿吨，冷鲜肉与低温肉制品占比持续提升带动结构性需求。供给端屠宰产能总体充裕、局部过剩，白羽肉鸡屠宰产能在山东尤为集中。需求升级（安全、方便、风味）推动低温肉制品与调理肉增长；供给端价格受猪周期与禽价剧烈波动影响，屠宰企业「以量补价」特征明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供需指标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状态</w:t>
            </w:r>
          </w:p>
        </w:tc>
      </w:tr>
      <w:tr>
        <w:tc>
          <w:tcPr>
            <w:tcW w:type="dxa" w:w="2835"/>
          </w:tcPr>
          <w:p>
            <w:pPr>
              <w:spacing w:lineRule="exact" w:line="600"/>
              <w:jc w:val="center"/>
            </w:pPr>
            <w:r/>
            <w:r>
              <w:rPr>
                <w:rFonts w:ascii="仿宋_GB2312" w:hAnsi="仿宋_GB2312" w:eastAsia="仿宋_GB2312"/>
                <w:b w:val="0"/>
                <w:color w:val="000000"/>
                <w:sz w:val="32"/>
              </w:rPr>
              <w:t>年消费</w:t>
            </w:r>
          </w:p>
        </w:tc>
        <w:tc>
          <w:tcPr>
            <w:tcW w:type="dxa" w:w="3118"/>
          </w:tcPr>
          <w:p>
            <w:pPr>
              <w:spacing w:lineRule="exact" w:line="600"/>
              <w:jc w:val="center"/>
            </w:pPr>
            <w:r/>
            <w:r>
              <w:rPr>
                <w:rFonts w:ascii="仿宋_GB2312" w:hAnsi="仿宋_GB2312" w:eastAsia="仿宋_GB2312"/>
                <w:b w:val="0"/>
                <w:color w:val="000000"/>
                <w:sz w:val="32"/>
              </w:rPr>
              <w:t>近亿吨</w:t>
            </w:r>
          </w:p>
        </w:tc>
        <w:tc>
          <w:tcPr>
            <w:tcW w:type="dxa" w:w="3118"/>
          </w:tcPr>
          <w:p>
            <w:pPr>
              <w:spacing w:lineRule="exact" w:line="600"/>
              <w:jc w:val="center"/>
            </w:pPr>
            <w:r/>
            <w:r>
              <w:rPr>
                <w:rFonts w:ascii="仿宋_GB2312" w:hAnsi="仿宋_GB2312" w:eastAsia="仿宋_GB2312"/>
                <w:b w:val="0"/>
                <w:color w:val="000000"/>
                <w:sz w:val="32"/>
              </w:rPr>
              <w:t>刚性</w:t>
            </w:r>
          </w:p>
        </w:tc>
      </w:tr>
      <w:tr>
        <w:tc>
          <w:tcPr>
            <w:tcW w:type="dxa" w:w="2835"/>
          </w:tcPr>
          <w:p>
            <w:pPr>
              <w:spacing w:lineRule="exact" w:line="600"/>
              <w:jc w:val="center"/>
            </w:pPr>
            <w:r/>
            <w:r>
              <w:rPr>
                <w:rFonts w:ascii="仿宋_GB2312" w:hAnsi="仿宋_GB2312" w:eastAsia="仿宋_GB2312"/>
                <w:b w:val="0"/>
                <w:color w:val="000000"/>
                <w:sz w:val="32"/>
              </w:rPr>
              <w:t>冷鲜占比</w:t>
            </w:r>
          </w:p>
        </w:tc>
        <w:tc>
          <w:tcPr>
            <w:tcW w:type="dxa" w:w="3118"/>
          </w:tcPr>
          <w:p>
            <w:pPr>
              <w:spacing w:lineRule="exact" w:line="600"/>
              <w:jc w:val="center"/>
            </w:pPr>
            <w:r/>
            <w:r>
              <w:rPr>
                <w:rFonts w:ascii="仿宋_GB2312" w:hAnsi="仿宋_GB2312" w:eastAsia="仿宋_GB2312"/>
                <w:b w:val="0"/>
                <w:color w:val="000000"/>
                <w:sz w:val="32"/>
              </w:rPr>
              <w:t>提升</w:t>
            </w:r>
          </w:p>
        </w:tc>
        <w:tc>
          <w:tcPr>
            <w:tcW w:type="dxa" w:w="3118"/>
          </w:tcPr>
          <w:p>
            <w:pPr>
              <w:spacing w:lineRule="exact" w:line="600"/>
              <w:jc w:val="center"/>
            </w:pPr>
            <w:r/>
            <w:r>
              <w:rPr>
                <w:rFonts w:ascii="仿宋_GB2312" w:hAnsi="仿宋_GB2312" w:eastAsia="仿宋_GB2312"/>
                <w:b w:val="0"/>
                <w:color w:val="000000"/>
                <w:sz w:val="32"/>
              </w:rPr>
              <w:t>结构</w:t>
            </w:r>
          </w:p>
        </w:tc>
      </w:tr>
      <w:tr>
        <w:tc>
          <w:tcPr>
            <w:tcW w:type="dxa" w:w="2835"/>
          </w:tcPr>
          <w:p>
            <w:pPr>
              <w:spacing w:lineRule="exact" w:line="600"/>
              <w:jc w:val="center"/>
            </w:pPr>
            <w:r/>
            <w:r>
              <w:rPr>
                <w:rFonts w:ascii="仿宋_GB2312" w:hAnsi="仿宋_GB2312" w:eastAsia="仿宋_GB2312"/>
                <w:b w:val="0"/>
                <w:color w:val="000000"/>
                <w:sz w:val="32"/>
              </w:rPr>
              <w:t>屠宰产能</w:t>
            </w:r>
          </w:p>
        </w:tc>
        <w:tc>
          <w:tcPr>
            <w:tcW w:type="dxa" w:w="3118"/>
          </w:tcPr>
          <w:p>
            <w:pPr>
              <w:spacing w:lineRule="exact" w:line="600"/>
              <w:jc w:val="center"/>
            </w:pPr>
            <w:r/>
            <w:r>
              <w:rPr>
                <w:rFonts w:ascii="仿宋_GB2312" w:hAnsi="仿宋_GB2312" w:eastAsia="仿宋_GB2312"/>
                <w:b w:val="0"/>
                <w:color w:val="000000"/>
                <w:sz w:val="32"/>
              </w:rPr>
              <w:t>充裕</w:t>
            </w:r>
          </w:p>
        </w:tc>
        <w:tc>
          <w:tcPr>
            <w:tcW w:type="dxa" w:w="3118"/>
          </w:tcPr>
          <w:p>
            <w:pPr>
              <w:spacing w:lineRule="exact" w:line="600"/>
              <w:jc w:val="center"/>
            </w:pPr>
            <w:r/>
            <w:r>
              <w:rPr>
                <w:rFonts w:ascii="仿宋_GB2312" w:hAnsi="仿宋_GB2312" w:eastAsia="仿宋_GB2312"/>
                <w:b w:val="0"/>
                <w:color w:val="000000"/>
                <w:sz w:val="32"/>
              </w:rPr>
              <w:t>局部过剩</w:t>
            </w:r>
          </w:p>
        </w:tc>
      </w:tr>
      <w:tr>
        <w:tc>
          <w:tcPr>
            <w:tcW w:type="dxa" w:w="2835"/>
          </w:tcPr>
          <w:p>
            <w:pPr>
              <w:spacing w:lineRule="exact" w:line="600"/>
              <w:jc w:val="center"/>
            </w:pPr>
            <w:r/>
            <w:r>
              <w:rPr>
                <w:rFonts w:ascii="仿宋_GB2312" w:hAnsi="仿宋_GB2312" w:eastAsia="仿宋_GB2312"/>
                <w:b w:val="0"/>
                <w:color w:val="000000"/>
                <w:sz w:val="32"/>
              </w:rPr>
              <w:t>价格波动</w:t>
            </w:r>
          </w:p>
        </w:tc>
        <w:tc>
          <w:tcPr>
            <w:tcW w:type="dxa" w:w="3118"/>
          </w:tcPr>
          <w:p>
            <w:pPr>
              <w:spacing w:lineRule="exact" w:line="600"/>
              <w:jc w:val="center"/>
            </w:pPr>
            <w:r/>
            <w:r>
              <w:rPr>
                <w:rFonts w:ascii="仿宋_GB2312" w:hAnsi="仿宋_GB2312" w:eastAsia="仿宋_GB2312"/>
                <w:b w:val="0"/>
                <w:color w:val="000000"/>
                <w:sz w:val="32"/>
              </w:rPr>
              <w:t>猪周期</w:t>
            </w:r>
          </w:p>
        </w:tc>
        <w:tc>
          <w:tcPr>
            <w:tcW w:type="dxa" w:w="3118"/>
          </w:tcPr>
          <w:p>
            <w:pPr>
              <w:spacing w:lineRule="exact" w:line="600"/>
              <w:jc w:val="center"/>
            </w:pPr>
            <w:r/>
            <w:r>
              <w:rPr>
                <w:rFonts w:ascii="仿宋_GB2312" w:hAnsi="仿宋_GB2312" w:eastAsia="仿宋_GB2312"/>
                <w:b w:val="0"/>
                <w:color w:val="000000"/>
                <w:sz w:val="32"/>
              </w:rPr>
              <w:t>剧烈</w:t>
            </w:r>
          </w:p>
        </w:tc>
      </w:tr>
    </w:tbl>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屠宰及肉制品行业集中度偏低、区域龙头并存。双汇、金锣等全国性龙头占主导，得利斯在低温肉制品细分具差异化品牌优势，诸城外贸在鸡肉加工出口具积淀。山东是全国屠宰大省，中小屠宰厂数量多、整合空间大。竞争壁垒来自规模化、冷链、品牌与食品安全体系，而非单纯产能。</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竞争维度</w:t>
            </w:r>
          </w:p>
        </w:tc>
        <w:tc>
          <w:tcPr>
            <w:tcW w:type="dxa" w:w="3402"/>
          </w:tcPr>
          <w:p>
            <w:pPr>
              <w:spacing w:lineRule="exact" w:line="600"/>
              <w:jc w:val="center"/>
            </w:pPr>
            <w:r/>
            <w:r>
              <w:rPr>
                <w:rFonts w:ascii="黑体" w:hAnsi="黑体" w:eastAsia="黑体"/>
                <w:b/>
                <w:color w:val="000000"/>
                <w:sz w:val="32"/>
              </w:rPr>
              <w:t>现状</w:t>
            </w:r>
          </w:p>
        </w:tc>
        <w:tc>
          <w:tcPr>
            <w:tcW w:type="dxa" w:w="2835"/>
          </w:tcPr>
          <w:p>
            <w:pPr>
              <w:spacing w:lineRule="exact" w:line="600"/>
              <w:jc w:val="center"/>
            </w:pPr>
            <w:r/>
            <w:r>
              <w:rPr>
                <w:rFonts w:ascii="黑体" w:hAnsi="黑体" w:eastAsia="黑体"/>
                <w:b/>
                <w:color w:val="000000"/>
                <w:sz w:val="32"/>
              </w:rPr>
              <w:t>依据</w:t>
            </w:r>
          </w:p>
        </w:tc>
      </w:tr>
      <w:tr>
        <w:tc>
          <w:tcPr>
            <w:tcW w:type="dxa" w:w="2835"/>
          </w:tcPr>
          <w:p>
            <w:pPr>
              <w:spacing w:lineRule="exact" w:line="600"/>
              <w:jc w:val="center"/>
            </w:pPr>
            <w:r/>
            <w:r>
              <w:rPr>
                <w:rFonts w:ascii="仿宋_GB2312" w:hAnsi="仿宋_GB2312" w:eastAsia="仿宋_GB2312"/>
                <w:b w:val="0"/>
                <w:color w:val="000000"/>
                <w:sz w:val="32"/>
              </w:rPr>
              <w:t>集中度</w:t>
            </w:r>
          </w:p>
        </w:tc>
        <w:tc>
          <w:tcPr>
            <w:tcW w:type="dxa" w:w="3402"/>
          </w:tcPr>
          <w:p>
            <w:pPr>
              <w:spacing w:lineRule="exact" w:line="600"/>
              <w:jc w:val="center"/>
            </w:pPr>
            <w:r/>
            <w:r>
              <w:rPr>
                <w:rFonts w:ascii="仿宋_GB2312" w:hAnsi="仿宋_GB2312" w:eastAsia="仿宋_GB2312"/>
                <w:b w:val="0"/>
                <w:color w:val="000000"/>
                <w:sz w:val="32"/>
              </w:rPr>
              <w:t>偏低</w:t>
            </w:r>
          </w:p>
        </w:tc>
        <w:tc>
          <w:tcPr>
            <w:tcW w:type="dxa" w:w="2835"/>
          </w:tcPr>
          <w:p>
            <w:pPr>
              <w:spacing w:lineRule="exact" w:line="600"/>
              <w:jc w:val="center"/>
            </w:pPr>
            <w:r/>
            <w:r>
              <w:rPr>
                <w:rFonts w:ascii="仿宋_GB2312" w:hAnsi="仿宋_GB2312" w:eastAsia="仿宋_GB2312"/>
                <w:b w:val="0"/>
                <w:color w:val="000000"/>
                <w:sz w:val="32"/>
              </w:rPr>
              <w:t>区域龙头</w:t>
            </w:r>
          </w:p>
        </w:tc>
      </w:tr>
      <w:tr>
        <w:tc>
          <w:tcPr>
            <w:tcW w:type="dxa" w:w="2835"/>
          </w:tcPr>
          <w:p>
            <w:pPr>
              <w:spacing w:lineRule="exact" w:line="600"/>
              <w:jc w:val="center"/>
            </w:pPr>
            <w:r/>
            <w:r>
              <w:rPr>
                <w:rFonts w:ascii="仿宋_GB2312" w:hAnsi="仿宋_GB2312" w:eastAsia="仿宋_GB2312"/>
                <w:b w:val="0"/>
                <w:color w:val="000000"/>
                <w:sz w:val="32"/>
              </w:rPr>
              <w:t>全国龙头</w:t>
            </w:r>
          </w:p>
        </w:tc>
        <w:tc>
          <w:tcPr>
            <w:tcW w:type="dxa" w:w="3402"/>
          </w:tcPr>
          <w:p>
            <w:pPr>
              <w:spacing w:lineRule="exact" w:line="600"/>
              <w:jc w:val="center"/>
            </w:pPr>
            <w:r/>
            <w:r>
              <w:rPr>
                <w:rFonts w:ascii="仿宋_GB2312" w:hAnsi="仿宋_GB2312" w:eastAsia="仿宋_GB2312"/>
                <w:b w:val="0"/>
                <w:color w:val="000000"/>
                <w:sz w:val="32"/>
              </w:rPr>
              <w:t>双汇/金锣</w:t>
            </w:r>
          </w:p>
        </w:tc>
        <w:tc>
          <w:tcPr>
            <w:tcW w:type="dxa" w:w="2835"/>
          </w:tcPr>
          <w:p>
            <w:pPr>
              <w:spacing w:lineRule="exact" w:line="600"/>
              <w:jc w:val="center"/>
            </w:pPr>
            <w:r/>
            <w:r>
              <w:rPr>
                <w:rFonts w:ascii="仿宋_GB2312" w:hAnsi="仿宋_GB2312" w:eastAsia="仿宋_GB2312"/>
                <w:b w:val="0"/>
                <w:color w:val="000000"/>
                <w:sz w:val="32"/>
              </w:rPr>
              <w:t>主导</w:t>
            </w:r>
          </w:p>
        </w:tc>
      </w:tr>
      <w:tr>
        <w:tc>
          <w:tcPr>
            <w:tcW w:type="dxa" w:w="2835"/>
          </w:tcPr>
          <w:p>
            <w:pPr>
              <w:spacing w:lineRule="exact" w:line="600"/>
              <w:jc w:val="center"/>
            </w:pPr>
            <w:r/>
            <w:r>
              <w:rPr>
                <w:rFonts w:ascii="仿宋_GB2312" w:hAnsi="仿宋_GB2312" w:eastAsia="仿宋_GB2312"/>
                <w:b w:val="0"/>
                <w:color w:val="000000"/>
                <w:sz w:val="32"/>
              </w:rPr>
              <w:t>得利斯</w:t>
            </w:r>
          </w:p>
        </w:tc>
        <w:tc>
          <w:tcPr>
            <w:tcW w:type="dxa" w:w="3402"/>
          </w:tcPr>
          <w:p>
            <w:pPr>
              <w:spacing w:lineRule="exact" w:line="600"/>
              <w:jc w:val="center"/>
            </w:pPr>
            <w:r/>
            <w:r>
              <w:rPr>
                <w:rFonts w:ascii="仿宋_GB2312" w:hAnsi="仿宋_GB2312" w:eastAsia="仿宋_GB2312"/>
                <w:b w:val="0"/>
                <w:color w:val="000000"/>
                <w:sz w:val="32"/>
              </w:rPr>
              <w:t>低温品牌</w:t>
            </w:r>
          </w:p>
        </w:tc>
        <w:tc>
          <w:tcPr>
            <w:tcW w:type="dxa" w:w="2835"/>
          </w:tcPr>
          <w:p>
            <w:pPr>
              <w:spacing w:lineRule="exact" w:line="600"/>
              <w:jc w:val="center"/>
            </w:pPr>
            <w:r/>
            <w:r>
              <w:rPr>
                <w:rFonts w:ascii="仿宋_GB2312" w:hAnsi="仿宋_GB2312" w:eastAsia="仿宋_GB2312"/>
                <w:b w:val="0"/>
                <w:color w:val="000000"/>
                <w:sz w:val="32"/>
              </w:rPr>
              <w:t>差异化</w:t>
            </w:r>
          </w:p>
        </w:tc>
      </w:tr>
      <w:tr>
        <w:tc>
          <w:tcPr>
            <w:tcW w:type="dxa" w:w="2835"/>
          </w:tcPr>
          <w:p>
            <w:pPr>
              <w:spacing w:lineRule="exact" w:line="600"/>
              <w:jc w:val="center"/>
            </w:pPr>
            <w:r/>
            <w:r>
              <w:rPr>
                <w:rFonts w:ascii="仿宋_GB2312" w:hAnsi="仿宋_GB2312" w:eastAsia="仿宋_GB2312"/>
                <w:b w:val="0"/>
                <w:color w:val="000000"/>
                <w:sz w:val="32"/>
              </w:rPr>
              <w:t>中小厂</w:t>
            </w:r>
          </w:p>
        </w:tc>
        <w:tc>
          <w:tcPr>
            <w:tcW w:type="dxa" w:w="3402"/>
          </w:tcPr>
          <w:p>
            <w:pPr>
              <w:spacing w:lineRule="exact" w:line="600"/>
              <w:jc w:val="center"/>
            </w:pPr>
            <w:r/>
            <w:r>
              <w:rPr>
                <w:rFonts w:ascii="仿宋_GB2312" w:hAnsi="仿宋_GB2312" w:eastAsia="仿宋_GB2312"/>
                <w:b w:val="0"/>
                <w:color w:val="000000"/>
                <w:sz w:val="32"/>
              </w:rPr>
              <w:t>整合中</w:t>
            </w:r>
          </w:p>
        </w:tc>
        <w:tc>
          <w:tcPr>
            <w:tcW w:type="dxa" w:w="2835"/>
          </w:tcPr>
          <w:p>
            <w:pPr>
              <w:spacing w:lineRule="exact" w:line="600"/>
              <w:jc w:val="center"/>
            </w:pPr>
            <w:r/>
            <w:r>
              <w:rPr>
                <w:rFonts w:ascii="仿宋_GB2312" w:hAnsi="仿宋_GB2312" w:eastAsia="仿宋_GB2312"/>
                <w:b w:val="0"/>
                <w:color w:val="000000"/>
                <w:sz w:val="32"/>
              </w:rPr>
              <w:t>山东多</w:t>
            </w:r>
          </w:p>
        </w:tc>
      </w:tr>
    </w:tbl>
    <w:p>
      <w:pPr>
        <w:spacing w:lineRule="exact" w:line="600" w:before="120" w:after="120"/>
        <w:ind w:firstLine="420"/>
        <w:jc w:val="left"/>
      </w:pPr>
      <w:r>
        <w:rPr>
          <w:rFonts w:ascii="楷体_GB2312" w:hAnsi="楷体_GB2312" w:eastAsia="楷体_GB2312"/>
          <w:b w:val="0"/>
          <w:color w:val="000000"/>
          <w:sz w:val="32"/>
        </w:rPr>
        <w:t>（三）进出口与出口</w:t>
      </w:r>
    </w:p>
    <w:p>
      <w:pPr>
        <w:spacing w:lineRule="exact" w:line="600" w:before="0" w:after="0"/>
        <w:ind w:firstLine="420"/>
        <w:jc w:val="both"/>
      </w:pPr>
      <w:r>
        <w:rPr>
          <w:rFonts w:ascii="仿宋_GB2312" w:hAnsi="仿宋_GB2312" w:eastAsia="仿宋_GB2312"/>
          <w:b w:val="0"/>
          <w:color w:val="000000"/>
          <w:sz w:val="32"/>
        </w:rPr>
        <w:t>山东是农产品出口第一大省，禽肉（尤其鸡肉）出口日韩及东南亚具优势。诸城外贸等鸡肉加工企业承接出口订单，但受海外检疫标准、汇率与贸易摩擦影响。行业共性研判：国内消费升级与出口并行的双市场结构，利于龙头平抑单一市场波动，但出口合规成本较高。</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出口指标</w:t>
            </w:r>
          </w:p>
        </w:tc>
        <w:tc>
          <w:tcPr>
            <w:tcW w:type="dxa" w:w="3118"/>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备注</w:t>
            </w:r>
          </w:p>
        </w:tc>
      </w:tr>
      <w:tr>
        <w:tc>
          <w:tcPr>
            <w:tcW w:type="dxa" w:w="2835"/>
          </w:tcPr>
          <w:p>
            <w:pPr>
              <w:spacing w:lineRule="exact" w:line="600"/>
              <w:jc w:val="center"/>
            </w:pPr>
            <w:r/>
            <w:r>
              <w:rPr>
                <w:rFonts w:ascii="仿宋_GB2312" w:hAnsi="仿宋_GB2312" w:eastAsia="仿宋_GB2312"/>
                <w:b w:val="0"/>
                <w:color w:val="000000"/>
                <w:sz w:val="32"/>
              </w:rPr>
              <w:t>山东</w:t>
            </w:r>
          </w:p>
        </w:tc>
        <w:tc>
          <w:tcPr>
            <w:tcW w:type="dxa" w:w="3118"/>
          </w:tcPr>
          <w:p>
            <w:pPr>
              <w:spacing w:lineRule="exact" w:line="600"/>
              <w:jc w:val="center"/>
            </w:pPr>
            <w:r/>
            <w:r>
              <w:rPr>
                <w:rFonts w:ascii="仿宋_GB2312" w:hAnsi="仿宋_GB2312" w:eastAsia="仿宋_GB2312"/>
                <w:b w:val="0"/>
                <w:color w:val="000000"/>
                <w:sz w:val="32"/>
              </w:rPr>
              <w:t>农产品出口第一</w:t>
            </w:r>
          </w:p>
        </w:tc>
        <w:tc>
          <w:tcPr>
            <w:tcW w:type="dxa" w:w="3118"/>
          </w:tcPr>
          <w:p>
            <w:pPr>
              <w:spacing w:lineRule="exact" w:line="600"/>
              <w:jc w:val="center"/>
            </w:pPr>
            <w:r/>
            <w:r>
              <w:rPr>
                <w:rFonts w:ascii="仿宋_GB2312" w:hAnsi="仿宋_GB2312" w:eastAsia="仿宋_GB2312"/>
                <w:b w:val="0"/>
                <w:color w:val="000000"/>
                <w:sz w:val="32"/>
              </w:rPr>
              <w:t>禽肉强</w:t>
            </w:r>
          </w:p>
        </w:tc>
      </w:tr>
      <w:tr>
        <w:tc>
          <w:tcPr>
            <w:tcW w:type="dxa" w:w="2835"/>
          </w:tcPr>
          <w:p>
            <w:pPr>
              <w:spacing w:lineRule="exact" w:line="600"/>
              <w:jc w:val="center"/>
            </w:pPr>
            <w:r/>
            <w:r>
              <w:rPr>
                <w:rFonts w:ascii="仿宋_GB2312" w:hAnsi="仿宋_GB2312" w:eastAsia="仿宋_GB2312"/>
                <w:b w:val="0"/>
                <w:color w:val="000000"/>
                <w:sz w:val="32"/>
              </w:rPr>
              <w:t>鸡肉出口</w:t>
            </w:r>
          </w:p>
        </w:tc>
        <w:tc>
          <w:tcPr>
            <w:tcW w:type="dxa" w:w="3118"/>
          </w:tcPr>
          <w:p>
            <w:pPr>
              <w:spacing w:lineRule="exact" w:line="600"/>
              <w:jc w:val="center"/>
            </w:pPr>
            <w:r/>
            <w:r>
              <w:rPr>
                <w:rFonts w:ascii="仿宋_GB2312" w:hAnsi="仿宋_GB2312" w:eastAsia="仿宋_GB2312"/>
                <w:b w:val="0"/>
                <w:color w:val="000000"/>
                <w:sz w:val="32"/>
              </w:rPr>
              <w:t>日韩/东南亚</w:t>
            </w:r>
          </w:p>
        </w:tc>
        <w:tc>
          <w:tcPr>
            <w:tcW w:type="dxa" w:w="3118"/>
          </w:tcPr>
          <w:p>
            <w:pPr>
              <w:spacing w:lineRule="exact" w:line="600"/>
              <w:jc w:val="center"/>
            </w:pPr>
            <w:r/>
            <w:r>
              <w:rPr>
                <w:rFonts w:ascii="仿宋_GB2312" w:hAnsi="仿宋_GB2312" w:eastAsia="仿宋_GB2312"/>
                <w:b w:val="0"/>
                <w:color w:val="000000"/>
                <w:sz w:val="32"/>
              </w:rPr>
              <w:t>优势</w:t>
            </w:r>
          </w:p>
        </w:tc>
      </w:tr>
      <w:tr>
        <w:tc>
          <w:tcPr>
            <w:tcW w:type="dxa" w:w="2835"/>
          </w:tcPr>
          <w:p>
            <w:pPr>
              <w:spacing w:lineRule="exact" w:line="600"/>
              <w:jc w:val="center"/>
            </w:pPr>
            <w:r/>
            <w:r>
              <w:rPr>
                <w:rFonts w:ascii="仿宋_GB2312" w:hAnsi="仿宋_GB2312" w:eastAsia="仿宋_GB2312"/>
                <w:b w:val="0"/>
                <w:color w:val="000000"/>
                <w:sz w:val="32"/>
              </w:rPr>
              <w:t>标准</w:t>
            </w:r>
          </w:p>
        </w:tc>
        <w:tc>
          <w:tcPr>
            <w:tcW w:type="dxa" w:w="3118"/>
          </w:tcPr>
          <w:p>
            <w:pPr>
              <w:spacing w:lineRule="exact" w:line="600"/>
              <w:jc w:val="center"/>
            </w:pPr>
            <w:r/>
            <w:r>
              <w:rPr>
                <w:rFonts w:ascii="仿宋_GB2312" w:hAnsi="仿宋_GB2312" w:eastAsia="仿宋_GB2312"/>
                <w:b w:val="0"/>
                <w:color w:val="000000"/>
                <w:sz w:val="32"/>
              </w:rPr>
              <w:t>海外检疫</w:t>
            </w:r>
          </w:p>
        </w:tc>
        <w:tc>
          <w:tcPr>
            <w:tcW w:type="dxa" w:w="3118"/>
          </w:tcPr>
          <w:p>
            <w:pPr>
              <w:spacing w:lineRule="exact" w:line="600"/>
              <w:jc w:val="center"/>
            </w:pPr>
            <w:r/>
            <w:r>
              <w:rPr>
                <w:rFonts w:ascii="仿宋_GB2312" w:hAnsi="仿宋_GB2312" w:eastAsia="仿宋_GB2312"/>
                <w:b w:val="0"/>
                <w:color w:val="000000"/>
                <w:sz w:val="32"/>
              </w:rPr>
              <w:t>合规高</w:t>
            </w:r>
          </w:p>
        </w:tc>
      </w:tr>
      <w:tr>
        <w:tc>
          <w:tcPr>
            <w:tcW w:type="dxa" w:w="2835"/>
          </w:tcPr>
          <w:p>
            <w:pPr>
              <w:spacing w:lineRule="exact" w:line="600"/>
              <w:jc w:val="center"/>
            </w:pPr>
            <w:r/>
            <w:r>
              <w:rPr>
                <w:rFonts w:ascii="仿宋_GB2312" w:hAnsi="仿宋_GB2312" w:eastAsia="仿宋_GB2312"/>
                <w:b w:val="0"/>
                <w:color w:val="000000"/>
                <w:sz w:val="32"/>
              </w:rPr>
              <w:t>风险</w:t>
            </w:r>
          </w:p>
        </w:tc>
        <w:tc>
          <w:tcPr>
            <w:tcW w:type="dxa" w:w="3118"/>
          </w:tcPr>
          <w:p>
            <w:pPr>
              <w:spacing w:lineRule="exact" w:line="600"/>
              <w:jc w:val="center"/>
            </w:pPr>
            <w:r/>
            <w:r>
              <w:rPr>
                <w:rFonts w:ascii="仿宋_GB2312" w:hAnsi="仿宋_GB2312" w:eastAsia="仿宋_GB2312"/>
                <w:b w:val="0"/>
                <w:color w:val="000000"/>
                <w:sz w:val="32"/>
              </w:rPr>
              <w:t>汇率/贸易</w:t>
            </w:r>
          </w:p>
        </w:tc>
        <w:tc>
          <w:tcPr>
            <w:tcW w:type="dxa" w:w="3118"/>
          </w:tcPr>
          <w:p>
            <w:pPr>
              <w:spacing w:lineRule="exact" w:line="600"/>
              <w:jc w:val="center"/>
            </w:pPr>
            <w:r/>
            <w:r>
              <w:rPr>
                <w:rFonts w:ascii="仿宋_GB2312" w:hAnsi="仿宋_GB2312" w:eastAsia="仿宋_GB2312"/>
                <w:b w:val="0"/>
                <w:color w:val="000000"/>
                <w:sz w:val="32"/>
              </w:rPr>
              <w:t>波动</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（一）集群规模与集聚</w:t>
      </w:r>
    </w:p>
    <w:p>
      <w:pPr>
        <w:spacing w:lineRule="exact" w:line="600" w:before="0" w:after="0"/>
        <w:ind w:firstLine="420"/>
        <w:jc w:val="both"/>
      </w:pPr>
      <w:r>
        <w:rPr>
          <w:rFonts w:ascii="仿宋_GB2312" w:hAnsi="仿宋_GB2312" w:eastAsia="仿宋_GB2312"/>
          <w:b w:val="0"/>
          <w:color w:val="000000"/>
          <w:sz w:val="32"/>
        </w:rPr>
        <w:t>诸城健康食品及预制菜集群以屠宰及肉制品加工为起点，形成「养殖—屠宰—分割—肉制品—预制菜」完整链条。全市预制菜相关企业556家、规上52家，屠宰企业是其中产能与原料的基石。集群内得利斯、诸城外贸等链主带动屠宰、分割、冷链与肉制品配套协同发展，集聚效应明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集聚指标</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预制菜企业</w:t>
            </w:r>
          </w:p>
        </w:tc>
        <w:tc>
          <w:tcPr>
            <w:tcW w:type="dxa" w:w="3402"/>
          </w:tcPr>
          <w:p>
            <w:pPr>
              <w:spacing w:lineRule="exact" w:line="600"/>
              <w:jc w:val="center"/>
            </w:pPr>
            <w:r/>
            <w:r>
              <w:rPr>
                <w:rFonts w:ascii="仿宋_GB2312" w:hAnsi="仿宋_GB2312" w:eastAsia="仿宋_GB2312"/>
                <w:b w:val="0"/>
                <w:color w:val="000000"/>
                <w:sz w:val="32"/>
              </w:rPr>
              <w:t>556家</w:t>
            </w:r>
          </w:p>
        </w:tc>
        <w:tc>
          <w:tcPr>
            <w:tcW w:type="dxa" w:w="2835"/>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规上企业</w:t>
            </w:r>
          </w:p>
        </w:tc>
        <w:tc>
          <w:tcPr>
            <w:tcW w:type="dxa" w:w="3402"/>
          </w:tcPr>
          <w:p>
            <w:pPr>
              <w:spacing w:lineRule="exact" w:line="600"/>
              <w:jc w:val="center"/>
            </w:pPr>
            <w:r/>
            <w:r>
              <w:rPr>
                <w:rFonts w:ascii="仿宋_GB2312" w:hAnsi="仿宋_GB2312" w:eastAsia="仿宋_GB2312"/>
                <w:b w:val="0"/>
                <w:color w:val="000000"/>
                <w:sz w:val="32"/>
              </w:rPr>
              <w:t>52家</w:t>
            </w:r>
          </w:p>
        </w:tc>
        <w:tc>
          <w:tcPr>
            <w:tcW w:type="dxa" w:w="2835"/>
          </w:tcPr>
          <w:p>
            <w:pPr>
              <w:spacing w:lineRule="exact" w:line="600"/>
              <w:jc w:val="center"/>
            </w:pPr>
            <w:r/>
            <w:r>
              <w:rPr>
                <w:rFonts w:ascii="仿宋_GB2312" w:hAnsi="仿宋_GB2312" w:eastAsia="仿宋_GB2312"/>
                <w:b w:val="0"/>
                <w:color w:val="000000"/>
                <w:sz w:val="32"/>
              </w:rPr>
              <w:t>诸城公开</w:t>
            </w:r>
          </w:p>
        </w:tc>
      </w:tr>
      <w:tr>
        <w:tc>
          <w:tcPr>
            <w:tcW w:type="dxa" w:w="2835"/>
          </w:tcPr>
          <w:p>
            <w:pPr>
              <w:spacing w:lineRule="exact" w:line="600"/>
              <w:jc w:val="center"/>
            </w:pPr>
            <w:r/>
            <w:r>
              <w:rPr>
                <w:rFonts w:ascii="仿宋_GB2312" w:hAnsi="仿宋_GB2312" w:eastAsia="仿宋_GB2312"/>
                <w:b w:val="0"/>
                <w:color w:val="000000"/>
                <w:sz w:val="32"/>
              </w:rPr>
              <w:t>链主</w:t>
            </w:r>
          </w:p>
        </w:tc>
        <w:tc>
          <w:tcPr>
            <w:tcW w:type="dxa" w:w="3402"/>
          </w:tcPr>
          <w:p>
            <w:pPr>
              <w:spacing w:lineRule="exact" w:line="600"/>
              <w:jc w:val="center"/>
            </w:pPr>
            <w:r/>
            <w:r>
              <w:rPr>
                <w:rFonts w:ascii="仿宋_GB2312" w:hAnsi="仿宋_GB2312" w:eastAsia="仿宋_GB2312"/>
                <w:b w:val="0"/>
                <w:color w:val="000000"/>
                <w:sz w:val="32"/>
              </w:rPr>
              <w:t>得利斯/外贸</w:t>
            </w:r>
          </w:p>
        </w:tc>
        <w:tc>
          <w:tcPr>
            <w:tcW w:type="dxa" w:w="2835"/>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链条</w:t>
            </w:r>
          </w:p>
        </w:tc>
        <w:tc>
          <w:tcPr>
            <w:tcW w:type="dxa" w:w="3402"/>
          </w:tcPr>
          <w:p>
            <w:pPr>
              <w:spacing w:lineRule="exact" w:line="600"/>
              <w:jc w:val="center"/>
            </w:pPr>
            <w:r/>
            <w:r>
              <w:rPr>
                <w:rFonts w:ascii="仿宋_GB2312" w:hAnsi="仿宋_GB2312" w:eastAsia="仿宋_GB2312"/>
                <w:b w:val="0"/>
                <w:color w:val="000000"/>
                <w:sz w:val="32"/>
              </w:rPr>
              <w:t>养殖到预制</w:t>
            </w:r>
          </w:p>
        </w:tc>
        <w:tc>
          <w:tcPr>
            <w:tcW w:type="dxa" w:w="2835"/>
          </w:tcPr>
          <w:p>
            <w:pPr>
              <w:spacing w:lineRule="exact" w:line="600"/>
              <w:jc w:val="center"/>
            </w:pPr>
            <w:r/>
            <w:r>
              <w:rPr>
                <w:rFonts w:ascii="仿宋_GB2312" w:hAnsi="仿宋_GB2312" w:eastAsia="仿宋_GB2312"/>
                <w:b w:val="0"/>
                <w:color w:val="000000"/>
                <w:sz w:val="32"/>
              </w:rPr>
              <w:t>完整</w:t>
            </w:r>
          </w:p>
        </w:tc>
      </w:tr>
    </w:tbl>
    <w:p>
      <w:pPr>
        <w:spacing w:lineRule="exact" w:line="600" w:before="120" w:after="120"/>
        <w:ind w:firstLine="420"/>
        <w:jc w:val="left"/>
      </w:pPr>
      <w:r>
        <w:rPr>
          <w:rFonts w:ascii="楷体_GB2312" w:hAnsi="楷体_GB2312" w:eastAsia="楷体_GB2312"/>
          <w:b w:val="0"/>
          <w:color w:val="000000"/>
          <w:sz w:val="32"/>
        </w:rPr>
        <w:t>（二）链主企业能力</w:t>
      </w:r>
    </w:p>
    <w:p>
      <w:pPr>
        <w:spacing w:lineRule="exact" w:line="600" w:before="0" w:after="0"/>
        <w:ind w:firstLine="420"/>
        <w:jc w:val="both"/>
      </w:pPr>
      <w:r>
        <w:rPr>
          <w:rFonts w:ascii="仿宋_GB2312" w:hAnsi="仿宋_GB2312" w:eastAsia="仿宋_GB2312"/>
          <w:b w:val="0"/>
          <w:color w:val="000000"/>
          <w:sz w:val="32"/>
        </w:rPr>
        <w:t>得利斯2023年营收30.92亿元，为农业产业化国家重点龙头企业，在低温肉制品与冷却肉领域品牌积淀深厚，具备生猪屠宰、分割、肉制品全链条能力；诸城外贸为大型肉鸡全产业链企业，鸡肉屠宰加工与出口能力强（公开财务口径有限）。两者构成诸城屠宰及肉制品加工的「双核」。</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链主指标</w:t>
            </w:r>
          </w:p>
        </w:tc>
        <w:tc>
          <w:tcPr>
            <w:tcW w:type="dxa" w:w="3118"/>
          </w:tcPr>
          <w:p>
            <w:pPr>
              <w:spacing w:lineRule="exact" w:line="600"/>
              <w:jc w:val="center"/>
            </w:pPr>
            <w:r/>
            <w:r>
              <w:rPr>
                <w:rFonts w:ascii="黑体" w:hAnsi="黑体" w:eastAsia="黑体"/>
                <w:b/>
                <w:color w:val="000000"/>
                <w:sz w:val="32"/>
              </w:rPr>
              <w:t>2023内容</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得利斯营收</w:t>
            </w:r>
          </w:p>
        </w:tc>
        <w:tc>
          <w:tcPr>
            <w:tcW w:type="dxa" w:w="3118"/>
          </w:tcPr>
          <w:p>
            <w:pPr>
              <w:spacing w:lineRule="exact" w:line="600"/>
              <w:jc w:val="center"/>
            </w:pPr>
            <w:r/>
            <w:r>
              <w:rPr>
                <w:rFonts w:ascii="仿宋_GB2312" w:hAnsi="仿宋_GB2312" w:eastAsia="仿宋_GB2312"/>
                <w:b w:val="0"/>
                <w:color w:val="000000"/>
                <w:sz w:val="32"/>
              </w:rPr>
              <w:t>30.92亿元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得利斯属性</w:t>
            </w:r>
          </w:p>
        </w:tc>
        <w:tc>
          <w:tcPr>
            <w:tcW w:type="dxa" w:w="3118"/>
          </w:tcPr>
          <w:p>
            <w:pPr>
              <w:spacing w:lineRule="exact" w:line="600"/>
              <w:jc w:val="center"/>
            </w:pPr>
            <w:r/>
            <w:r>
              <w:rPr>
                <w:rFonts w:ascii="仿宋_GB2312" w:hAnsi="仿宋_GB2312" w:eastAsia="仿宋_GB2312"/>
                <w:b w:val="0"/>
                <w:color w:val="000000"/>
                <w:sz w:val="32"/>
              </w:rPr>
              <w:t>国家重点龙头</w:t>
            </w:r>
          </w:p>
        </w:tc>
        <w:tc>
          <w:tcPr>
            <w:tcW w:type="dxa" w:w="3118"/>
          </w:tcPr>
          <w:p>
            <w:pPr>
              <w:spacing w:lineRule="exact" w:line="600"/>
              <w:jc w:val="center"/>
            </w:pPr>
            <w:r/>
            <w:r>
              <w:rPr>
                <w:rFonts w:ascii="仿宋_GB2312" w:hAnsi="仿宋_GB2312" w:eastAsia="仿宋_GB2312"/>
                <w:b w:val="0"/>
                <w:color w:val="000000"/>
                <w:sz w:val="32"/>
              </w:rPr>
              <w:t>农业部</w:t>
            </w:r>
          </w:p>
        </w:tc>
      </w:tr>
      <w:tr>
        <w:tc>
          <w:tcPr>
            <w:tcW w:type="dxa" w:w="2835"/>
          </w:tcPr>
          <w:p>
            <w:pPr>
              <w:spacing w:lineRule="exact" w:line="600"/>
              <w:jc w:val="center"/>
            </w:pPr>
            <w:r/>
            <w:r>
              <w:rPr>
                <w:rFonts w:ascii="仿宋_GB2312" w:hAnsi="仿宋_GB2312" w:eastAsia="仿宋_GB2312"/>
                <w:b w:val="0"/>
                <w:color w:val="000000"/>
                <w:sz w:val="32"/>
              </w:rPr>
              <w:t>诸城外贸</w:t>
            </w:r>
          </w:p>
        </w:tc>
        <w:tc>
          <w:tcPr>
            <w:tcW w:type="dxa" w:w="3118"/>
          </w:tcPr>
          <w:p>
            <w:pPr>
              <w:spacing w:lineRule="exact" w:line="600"/>
              <w:jc w:val="center"/>
            </w:pPr>
            <w:r/>
            <w:r>
              <w:rPr>
                <w:rFonts w:ascii="仿宋_GB2312" w:hAnsi="仿宋_GB2312" w:eastAsia="仿宋_GB2312"/>
                <w:b w:val="0"/>
                <w:color w:val="000000"/>
                <w:sz w:val="32"/>
              </w:rPr>
              <w:t>肉鸡全链</w:t>
            </w:r>
          </w:p>
        </w:tc>
        <w:tc>
          <w:tcPr>
            <w:tcW w:type="dxa" w:w="3118"/>
          </w:tcPr>
          <w:p>
            <w:pPr>
              <w:spacing w:lineRule="exact" w:line="600"/>
              <w:jc w:val="center"/>
            </w:pPr>
            <w:r/>
            <w:r>
              <w:rPr>
                <w:rFonts w:ascii="仿宋_GB2312" w:hAnsi="仿宋_GB2312" w:eastAsia="仿宋_GB2312"/>
                <w:b w:val="0"/>
                <w:color w:val="000000"/>
                <w:sz w:val="32"/>
              </w:rPr>
              <w:t>出口强</w:t>
            </w:r>
          </w:p>
        </w:tc>
      </w:tr>
      <w:tr>
        <w:tc>
          <w:tcPr>
            <w:tcW w:type="dxa" w:w="2835"/>
          </w:tcPr>
          <w:p>
            <w:pPr>
              <w:spacing w:lineRule="exact" w:line="600"/>
              <w:jc w:val="center"/>
            </w:pPr>
            <w:r/>
            <w:r>
              <w:rPr>
                <w:rFonts w:ascii="仿宋_GB2312" w:hAnsi="仿宋_GB2312" w:eastAsia="仿宋_GB2312"/>
                <w:b w:val="0"/>
                <w:color w:val="000000"/>
                <w:sz w:val="32"/>
              </w:rPr>
              <w:t>能力</w:t>
            </w:r>
          </w:p>
        </w:tc>
        <w:tc>
          <w:tcPr>
            <w:tcW w:type="dxa" w:w="3118"/>
          </w:tcPr>
          <w:p>
            <w:pPr>
              <w:spacing w:lineRule="exact" w:line="600"/>
              <w:jc w:val="center"/>
            </w:pPr>
            <w:r/>
            <w:r>
              <w:rPr>
                <w:rFonts w:ascii="仿宋_GB2312" w:hAnsi="仿宋_GB2312" w:eastAsia="仿宋_GB2312"/>
                <w:b w:val="0"/>
                <w:color w:val="000000"/>
                <w:sz w:val="32"/>
              </w:rPr>
              <w:t>屠宰+肉制品</w:t>
            </w:r>
          </w:p>
        </w:tc>
        <w:tc>
          <w:tcPr>
            <w:tcW w:type="dxa" w:w="3118"/>
          </w:tcPr>
          <w:p>
            <w:pPr>
              <w:spacing w:lineRule="exact" w:line="600"/>
              <w:jc w:val="center"/>
            </w:pPr>
            <w:r/>
            <w:r>
              <w:rPr>
                <w:rFonts w:ascii="仿宋_GB2312" w:hAnsi="仿宋_GB2312" w:eastAsia="仿宋_GB2312"/>
                <w:b w:val="0"/>
                <w:color w:val="000000"/>
                <w:sz w:val="32"/>
              </w:rPr>
              <w:t>双核</w:t>
            </w:r>
          </w:p>
        </w:tc>
      </w:tr>
    </w:tbl>
    <w:p>
      <w:pPr>
        <w:spacing w:lineRule="exact" w:line="600" w:before="120" w:after="120"/>
        <w:ind w:firstLine="420"/>
        <w:jc w:val="left"/>
      </w:pPr>
      <w:r>
        <w:rPr>
          <w:rFonts w:ascii="楷体_GB2312" w:hAnsi="楷体_GB2312" w:eastAsia="楷体_GB2312"/>
          <w:b w:val="0"/>
          <w:color w:val="000000"/>
          <w:sz w:val="32"/>
        </w:rPr>
        <w:t>（三）配套与专精特新</w:t>
      </w:r>
    </w:p>
    <w:p>
      <w:pPr>
        <w:spacing w:lineRule="exact" w:line="600" w:before="0" w:after="0"/>
        <w:ind w:firstLine="420"/>
        <w:jc w:val="both"/>
      </w:pPr>
      <w:r>
        <w:rPr>
          <w:rFonts w:ascii="仿宋_GB2312" w:hAnsi="仿宋_GB2312" w:eastAsia="仿宋_GB2312"/>
          <w:b w:val="0"/>
          <w:color w:val="000000"/>
          <w:sz w:val="32"/>
        </w:rPr>
        <w:t>围绕屠宰及肉制品加工，诸城集聚饲料、兽药、包装、冷链设备、肠衣等配套企业，并与下游预制菜企业（惠发等）形成协同。本地中小屠宰与分割厂通过技改提升机械化与冷链水平，争取纳入规上梯队；集群以龙头带动上下游融通发展（公开资料有限部分以共性研判）。诸城建有畜牧兽医公共服务与食品检测平台，为中小屠宰厂提供检疫、检测与技术支撑，加速其规范化与冷链化改造，补强「养殖—屠宰—预制」链条的配套梯队。</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配套环节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作用</w:t>
            </w:r>
          </w:p>
        </w:tc>
      </w:tr>
      <w:tr>
        <w:tc>
          <w:tcPr>
            <w:tcW w:type="dxa" w:w="2835"/>
          </w:tcPr>
          <w:p>
            <w:pPr>
              <w:spacing w:lineRule="exact" w:line="600"/>
              <w:jc w:val="center"/>
            </w:pPr>
            <w:r/>
            <w:r>
              <w:rPr>
                <w:rFonts w:ascii="仿宋_GB2312" w:hAnsi="仿宋_GB2312" w:eastAsia="仿宋_GB2312"/>
                <w:b w:val="0"/>
                <w:color w:val="000000"/>
                <w:sz w:val="32"/>
              </w:rPr>
              <w:t>饲料/兽药</w:t>
            </w:r>
          </w:p>
        </w:tc>
        <w:tc>
          <w:tcPr>
            <w:tcW w:type="dxa" w:w="3402"/>
          </w:tcPr>
          <w:p>
            <w:pPr>
              <w:spacing w:lineRule="exact" w:line="600"/>
              <w:jc w:val="center"/>
            </w:pPr>
            <w:r/>
            <w:r>
              <w:rPr>
                <w:rFonts w:ascii="仿宋_GB2312" w:hAnsi="仿宋_GB2312" w:eastAsia="仿宋_GB2312"/>
                <w:b w:val="0"/>
                <w:color w:val="000000"/>
                <w:sz w:val="32"/>
              </w:rPr>
              <w:t>本地</w:t>
            </w:r>
          </w:p>
        </w:tc>
        <w:tc>
          <w:tcPr>
            <w:tcW w:type="dxa" w:w="2835"/>
          </w:tcPr>
          <w:p>
            <w:pPr>
              <w:spacing w:lineRule="exact" w:line="600"/>
              <w:jc w:val="center"/>
            </w:pPr>
            <w:r/>
            <w:r>
              <w:rPr>
                <w:rFonts w:ascii="仿宋_GB2312" w:hAnsi="仿宋_GB2312" w:eastAsia="仿宋_GB2312"/>
                <w:b w:val="0"/>
                <w:color w:val="000000"/>
                <w:sz w:val="32"/>
              </w:rPr>
              <w:t>上游</w:t>
            </w:r>
          </w:p>
        </w:tc>
      </w:tr>
      <w:tr>
        <w:tc>
          <w:tcPr>
            <w:tcW w:type="dxa" w:w="2835"/>
          </w:tcPr>
          <w:p>
            <w:pPr>
              <w:spacing w:lineRule="exact" w:line="600"/>
              <w:jc w:val="center"/>
            </w:pPr>
            <w:r/>
            <w:r>
              <w:rPr>
                <w:rFonts w:ascii="仿宋_GB2312" w:hAnsi="仿宋_GB2312" w:eastAsia="仿宋_GB2312"/>
                <w:b w:val="0"/>
                <w:color w:val="000000"/>
                <w:sz w:val="32"/>
              </w:rPr>
              <w:t>包装/肠衣</w:t>
            </w:r>
          </w:p>
        </w:tc>
        <w:tc>
          <w:tcPr>
            <w:tcW w:type="dxa" w:w="3402"/>
          </w:tcPr>
          <w:p>
            <w:pPr>
              <w:spacing w:lineRule="exact" w:line="600"/>
              <w:jc w:val="center"/>
            </w:pPr>
            <w:r/>
            <w:r>
              <w:rPr>
                <w:rFonts w:ascii="仿宋_GB2312" w:hAnsi="仿宋_GB2312" w:eastAsia="仿宋_GB2312"/>
                <w:b w:val="0"/>
                <w:color w:val="000000"/>
                <w:sz w:val="32"/>
              </w:rPr>
              <w:t>配套</w:t>
            </w:r>
          </w:p>
        </w:tc>
        <w:tc>
          <w:tcPr>
            <w:tcW w:type="dxa" w:w="2835"/>
          </w:tcPr>
          <w:p>
            <w:pPr>
              <w:spacing w:lineRule="exact" w:line="600"/>
              <w:jc w:val="center"/>
            </w:pPr>
            <w:r/>
            <w:r>
              <w:rPr>
                <w:rFonts w:ascii="仿宋_GB2312" w:hAnsi="仿宋_GB2312" w:eastAsia="仿宋_GB2312"/>
                <w:b w:val="0"/>
                <w:color w:val="000000"/>
                <w:sz w:val="32"/>
              </w:rPr>
              <w:t>中游</w:t>
            </w:r>
          </w:p>
        </w:tc>
      </w:tr>
      <w:tr>
        <w:tc>
          <w:tcPr>
            <w:tcW w:type="dxa" w:w="2835"/>
          </w:tcPr>
          <w:p>
            <w:pPr>
              <w:spacing w:lineRule="exact" w:line="600"/>
              <w:jc w:val="center"/>
            </w:pPr>
            <w:r/>
            <w:r>
              <w:rPr>
                <w:rFonts w:ascii="仿宋_GB2312" w:hAnsi="仿宋_GB2312" w:eastAsia="仿宋_GB2312"/>
                <w:b w:val="0"/>
                <w:color w:val="000000"/>
                <w:sz w:val="32"/>
              </w:rPr>
              <w:t>冷链设备</w:t>
            </w:r>
          </w:p>
        </w:tc>
        <w:tc>
          <w:tcPr>
            <w:tcW w:type="dxa" w:w="3402"/>
          </w:tcPr>
          <w:p>
            <w:pPr>
              <w:spacing w:lineRule="exact" w:line="600"/>
              <w:jc w:val="center"/>
            </w:pPr>
            <w:r/>
            <w:r>
              <w:rPr>
                <w:rFonts w:ascii="仿宋_GB2312" w:hAnsi="仿宋_GB2312" w:eastAsia="仿宋_GB2312"/>
                <w:b w:val="0"/>
                <w:color w:val="000000"/>
                <w:sz w:val="32"/>
              </w:rPr>
              <w:t>本地</w:t>
            </w:r>
          </w:p>
        </w:tc>
        <w:tc>
          <w:tcPr>
            <w:tcW w:type="dxa" w:w="2835"/>
          </w:tcPr>
          <w:p>
            <w:pPr>
              <w:spacing w:lineRule="exact" w:line="600"/>
              <w:jc w:val="center"/>
            </w:pPr>
            <w:r/>
            <w:r>
              <w:rPr>
                <w:rFonts w:ascii="仿宋_GB2312" w:hAnsi="仿宋_GB2312" w:eastAsia="仿宋_GB2312"/>
                <w:b w:val="0"/>
                <w:color w:val="000000"/>
                <w:sz w:val="32"/>
              </w:rPr>
              <w:t>流通</w:t>
            </w:r>
          </w:p>
        </w:tc>
      </w:tr>
      <w:tr>
        <w:tc>
          <w:tcPr>
            <w:tcW w:type="dxa" w:w="2835"/>
          </w:tcPr>
          <w:p>
            <w:pPr>
              <w:spacing w:lineRule="exact" w:line="600"/>
              <w:jc w:val="center"/>
            </w:pPr>
            <w:r/>
            <w:r>
              <w:rPr>
                <w:rFonts w:ascii="仿宋_GB2312" w:hAnsi="仿宋_GB2312" w:eastAsia="仿宋_GB2312"/>
                <w:b w:val="0"/>
                <w:color w:val="000000"/>
                <w:sz w:val="32"/>
              </w:rPr>
              <w:t>公共平台</w:t>
            </w:r>
          </w:p>
        </w:tc>
        <w:tc>
          <w:tcPr>
            <w:tcW w:type="dxa" w:w="3402"/>
          </w:tcPr>
          <w:p>
            <w:pPr>
              <w:spacing w:lineRule="exact" w:line="600"/>
              <w:jc w:val="center"/>
            </w:pPr>
            <w:r/>
            <w:r>
              <w:rPr>
                <w:rFonts w:ascii="仿宋_GB2312" w:hAnsi="仿宋_GB2312" w:eastAsia="仿宋_GB2312"/>
                <w:b w:val="0"/>
                <w:color w:val="000000"/>
                <w:sz w:val="32"/>
              </w:rPr>
              <w:t>检测/检疫</w:t>
            </w:r>
          </w:p>
        </w:tc>
        <w:tc>
          <w:tcPr>
            <w:tcW w:type="dxa" w:w="2835"/>
          </w:tcPr>
          <w:p>
            <w:pPr>
              <w:spacing w:lineRule="exact" w:line="600"/>
              <w:jc w:val="center"/>
            </w:pPr>
            <w:r/>
            <w:r>
              <w:rPr>
                <w:rFonts w:ascii="仿宋_GB2312" w:hAnsi="仿宋_GB2312" w:eastAsia="仿宋_GB2312"/>
                <w:b w:val="0"/>
                <w:color w:val="000000"/>
                <w:sz w:val="32"/>
              </w:rPr>
              <w:t>规范化</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（一）核心工艺</w:t>
      </w:r>
    </w:p>
    <w:p>
      <w:pPr>
        <w:spacing w:lineRule="exact" w:line="600" w:before="0" w:after="0"/>
        <w:ind w:firstLine="420"/>
        <w:jc w:val="both"/>
      </w:pPr>
      <w:r>
        <w:rPr>
          <w:rFonts w:ascii="仿宋_GB2312" w:hAnsi="仿宋_GB2312" w:eastAsia="仿宋_GB2312"/>
          <w:b w:val="0"/>
          <w:color w:val="000000"/>
          <w:sz w:val="32"/>
        </w:rPr>
        <w:t>现代屠宰及肉制品加工核心是机械化屠宰、自动分割、低温冷却与栅栏保鲜技术。得利斯在冷却肉排酸、低温肉制品发酵与乳化工艺方面积累深厚；同步检疫、冷链不断链与HACCP体系保障食品安全。低温肉制品相较高温制品更好保留营养与风味，是技术与品质升级方向。</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工艺环节</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机械化屠宰</w:t>
            </w:r>
          </w:p>
        </w:tc>
        <w:tc>
          <w:tcPr>
            <w:tcW w:type="dxa" w:w="3402"/>
          </w:tcPr>
          <w:p>
            <w:pPr>
              <w:spacing w:lineRule="exact" w:line="600"/>
              <w:jc w:val="center"/>
            </w:pPr>
            <w:r/>
            <w:r>
              <w:rPr>
                <w:rFonts w:ascii="仿宋_GB2312" w:hAnsi="仿宋_GB2312" w:eastAsia="仿宋_GB2312"/>
                <w:b w:val="0"/>
                <w:color w:val="000000"/>
                <w:sz w:val="32"/>
              </w:rPr>
              <w:t>自动分割</w:t>
            </w:r>
          </w:p>
        </w:tc>
        <w:tc>
          <w:tcPr>
            <w:tcW w:type="dxa" w:w="2835"/>
          </w:tcPr>
          <w:p>
            <w:pPr>
              <w:spacing w:lineRule="exact" w:line="600"/>
              <w:jc w:val="center"/>
            </w:pPr>
            <w:r/>
            <w:r>
              <w:rPr>
                <w:rFonts w:ascii="仿宋_GB2312" w:hAnsi="仿宋_GB2312" w:eastAsia="仿宋_GB2312"/>
                <w:b w:val="0"/>
                <w:color w:val="000000"/>
                <w:sz w:val="32"/>
              </w:rPr>
              <w:t>效率</w:t>
            </w:r>
          </w:p>
        </w:tc>
      </w:tr>
      <w:tr>
        <w:tc>
          <w:tcPr>
            <w:tcW w:type="dxa" w:w="2835"/>
          </w:tcPr>
          <w:p>
            <w:pPr>
              <w:spacing w:lineRule="exact" w:line="600"/>
              <w:jc w:val="center"/>
            </w:pPr>
            <w:r/>
            <w:r>
              <w:rPr>
                <w:rFonts w:ascii="仿宋_GB2312" w:hAnsi="仿宋_GB2312" w:eastAsia="仿宋_GB2312"/>
                <w:b w:val="0"/>
                <w:color w:val="000000"/>
                <w:sz w:val="32"/>
              </w:rPr>
              <w:t>冷却排酸</w:t>
            </w:r>
          </w:p>
        </w:tc>
        <w:tc>
          <w:tcPr>
            <w:tcW w:type="dxa" w:w="3402"/>
          </w:tcPr>
          <w:p>
            <w:pPr>
              <w:spacing w:lineRule="exact" w:line="600"/>
              <w:jc w:val="center"/>
            </w:pPr>
            <w:r/>
            <w:r>
              <w:rPr>
                <w:rFonts w:ascii="仿宋_GB2312" w:hAnsi="仿宋_GB2312" w:eastAsia="仿宋_GB2312"/>
                <w:b w:val="0"/>
                <w:color w:val="000000"/>
                <w:sz w:val="32"/>
              </w:rPr>
              <w:t>低温</w:t>
            </w:r>
          </w:p>
        </w:tc>
        <w:tc>
          <w:tcPr>
            <w:tcW w:type="dxa" w:w="2835"/>
          </w:tcPr>
          <w:p>
            <w:pPr>
              <w:spacing w:lineRule="exact" w:line="600"/>
              <w:jc w:val="center"/>
            </w:pPr>
            <w:r/>
            <w:r>
              <w:rPr>
                <w:rFonts w:ascii="仿宋_GB2312" w:hAnsi="仿宋_GB2312" w:eastAsia="仿宋_GB2312"/>
                <w:b w:val="0"/>
                <w:color w:val="000000"/>
                <w:sz w:val="32"/>
              </w:rPr>
              <w:t>品质</w:t>
            </w:r>
          </w:p>
        </w:tc>
      </w:tr>
      <w:tr>
        <w:tc>
          <w:tcPr>
            <w:tcW w:type="dxa" w:w="2835"/>
          </w:tcPr>
          <w:p>
            <w:pPr>
              <w:spacing w:lineRule="exact" w:line="600"/>
              <w:jc w:val="center"/>
            </w:pPr>
            <w:r/>
            <w:r>
              <w:rPr>
                <w:rFonts w:ascii="仿宋_GB2312" w:hAnsi="仿宋_GB2312" w:eastAsia="仿宋_GB2312"/>
                <w:b w:val="0"/>
                <w:color w:val="000000"/>
                <w:sz w:val="32"/>
              </w:rPr>
              <w:t>栅栏保鲜</w:t>
            </w:r>
          </w:p>
        </w:tc>
        <w:tc>
          <w:tcPr>
            <w:tcW w:type="dxa" w:w="3402"/>
          </w:tcPr>
          <w:p>
            <w:pPr>
              <w:spacing w:lineRule="exact" w:line="600"/>
              <w:jc w:val="center"/>
            </w:pPr>
            <w:r/>
            <w:r>
              <w:rPr>
                <w:rFonts w:ascii="仿宋_GB2312" w:hAnsi="仿宋_GB2312" w:eastAsia="仿宋_GB2312"/>
                <w:b w:val="0"/>
                <w:color w:val="000000"/>
                <w:sz w:val="32"/>
              </w:rPr>
              <w:t>HACCP</w:t>
            </w:r>
          </w:p>
        </w:tc>
        <w:tc>
          <w:tcPr>
            <w:tcW w:type="dxa" w:w="2835"/>
          </w:tcPr>
          <w:p>
            <w:pPr>
              <w:spacing w:lineRule="exact" w:line="600"/>
              <w:jc w:val="center"/>
            </w:pPr>
            <w:r/>
            <w:r>
              <w:rPr>
                <w:rFonts w:ascii="仿宋_GB2312" w:hAnsi="仿宋_GB2312" w:eastAsia="仿宋_GB2312"/>
                <w:b w:val="0"/>
                <w:color w:val="000000"/>
                <w:sz w:val="32"/>
              </w:rPr>
              <w:t>安全</w:t>
            </w:r>
          </w:p>
        </w:tc>
      </w:tr>
      <w:tr>
        <w:tc>
          <w:tcPr>
            <w:tcW w:type="dxa" w:w="2835"/>
          </w:tcPr>
          <w:p>
            <w:pPr>
              <w:spacing w:lineRule="exact" w:line="600"/>
              <w:jc w:val="center"/>
            </w:pPr>
            <w:r/>
            <w:r>
              <w:rPr>
                <w:rFonts w:ascii="仿宋_GB2312" w:hAnsi="仿宋_GB2312" w:eastAsia="仿宋_GB2312"/>
                <w:b w:val="0"/>
                <w:color w:val="000000"/>
                <w:sz w:val="32"/>
              </w:rPr>
              <w:t>低温制品</w:t>
            </w:r>
          </w:p>
        </w:tc>
        <w:tc>
          <w:tcPr>
            <w:tcW w:type="dxa" w:w="3402"/>
          </w:tcPr>
          <w:p>
            <w:pPr>
              <w:spacing w:lineRule="exact" w:line="600"/>
              <w:jc w:val="center"/>
            </w:pPr>
            <w:r/>
            <w:r>
              <w:rPr>
                <w:rFonts w:ascii="仿宋_GB2312" w:hAnsi="仿宋_GB2312" w:eastAsia="仿宋_GB2312"/>
                <w:b w:val="0"/>
                <w:color w:val="000000"/>
                <w:sz w:val="32"/>
              </w:rPr>
              <w:t>发酵乳化</w:t>
            </w:r>
          </w:p>
        </w:tc>
        <w:tc>
          <w:tcPr>
            <w:tcW w:type="dxa" w:w="2835"/>
          </w:tcPr>
          <w:p>
            <w:pPr>
              <w:spacing w:lineRule="exact" w:line="600"/>
              <w:jc w:val="center"/>
            </w:pPr>
            <w:r/>
            <w:r>
              <w:rPr>
                <w:rFonts w:ascii="仿宋_GB2312" w:hAnsi="仿宋_GB2312" w:eastAsia="仿宋_GB2312"/>
                <w:b w:val="0"/>
                <w:color w:val="000000"/>
                <w:sz w:val="32"/>
              </w:rPr>
              <w:t>营养</w:t>
            </w:r>
          </w:p>
        </w:tc>
      </w:tr>
    </w:tbl>
    <w:p>
      <w:pPr>
        <w:spacing w:lineRule="exact" w:line="600" w:before="120" w:after="120"/>
        <w:ind w:firstLine="420"/>
        <w:jc w:val="left"/>
      </w:pPr>
      <w:r>
        <w:rPr>
          <w:rFonts w:ascii="楷体_GB2312" w:hAnsi="楷体_GB2312" w:eastAsia="楷体_GB2312"/>
          <w:b w:val="0"/>
          <w:color w:val="000000"/>
          <w:sz w:val="32"/>
        </w:rPr>
        <w:t>（二）创新与研发</w:t>
      </w:r>
    </w:p>
    <w:p>
      <w:pPr>
        <w:spacing w:lineRule="exact" w:line="600" w:before="0" w:after="0"/>
        <w:ind w:firstLine="420"/>
        <w:jc w:val="both"/>
      </w:pPr>
      <w:r>
        <w:rPr>
          <w:rFonts w:ascii="仿宋_GB2312" w:hAnsi="仿宋_GB2312" w:eastAsia="仿宋_GB2312"/>
          <w:b w:val="0"/>
          <w:color w:val="000000"/>
          <w:sz w:val="32"/>
        </w:rPr>
        <w:t>龙头企业建立肉制品研发中心，围绕低盐低脂、功能性肉制品、风味标准化与预制化开展攻关。得利斯拥有国家级企业技术中心与博士后科研工作站资质积淀；诸城外贸在鸡肉深加工与出口产品适应性研发方面具经验。行业研发投入占比较低，创新集中于工艺改进与品类拓展。</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创新资源</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技术中心</w:t>
            </w:r>
          </w:p>
        </w:tc>
        <w:tc>
          <w:tcPr>
            <w:tcW w:type="dxa" w:w="3402"/>
          </w:tcPr>
          <w:p>
            <w:pPr>
              <w:spacing w:lineRule="exact" w:line="600"/>
              <w:jc w:val="center"/>
            </w:pPr>
            <w:r/>
            <w:r>
              <w:rPr>
                <w:rFonts w:ascii="仿宋_GB2312" w:hAnsi="仿宋_GB2312" w:eastAsia="仿宋_GB2312"/>
                <w:b w:val="0"/>
                <w:color w:val="000000"/>
                <w:sz w:val="32"/>
              </w:rPr>
              <w:t>国家级</w:t>
            </w:r>
          </w:p>
        </w:tc>
        <w:tc>
          <w:tcPr>
            <w:tcW w:type="dxa" w:w="2835"/>
          </w:tcPr>
          <w:p>
            <w:pPr>
              <w:spacing w:lineRule="exact" w:line="600"/>
              <w:jc w:val="center"/>
            </w:pPr>
            <w:r/>
            <w:r>
              <w:rPr>
                <w:rFonts w:ascii="仿宋_GB2312" w:hAnsi="仿宋_GB2312" w:eastAsia="仿宋_GB2312"/>
                <w:b w:val="0"/>
                <w:color w:val="000000"/>
                <w:sz w:val="32"/>
              </w:rPr>
              <w:t>得利斯</w:t>
            </w:r>
          </w:p>
        </w:tc>
      </w:tr>
      <w:tr>
        <w:tc>
          <w:tcPr>
            <w:tcW w:type="dxa" w:w="2835"/>
          </w:tcPr>
          <w:p>
            <w:pPr>
              <w:spacing w:lineRule="exact" w:line="600"/>
              <w:jc w:val="center"/>
            </w:pPr>
            <w:r/>
            <w:r>
              <w:rPr>
                <w:rFonts w:ascii="仿宋_GB2312" w:hAnsi="仿宋_GB2312" w:eastAsia="仿宋_GB2312"/>
                <w:b w:val="0"/>
                <w:color w:val="000000"/>
                <w:sz w:val="32"/>
              </w:rPr>
              <w:t>研发</w:t>
            </w:r>
          </w:p>
        </w:tc>
        <w:tc>
          <w:tcPr>
            <w:tcW w:type="dxa" w:w="3402"/>
          </w:tcPr>
          <w:p>
            <w:pPr>
              <w:spacing w:lineRule="exact" w:line="600"/>
              <w:jc w:val="center"/>
            </w:pPr>
            <w:r/>
            <w:r>
              <w:rPr>
                <w:rFonts w:ascii="仿宋_GB2312" w:hAnsi="仿宋_GB2312" w:eastAsia="仿宋_GB2312"/>
                <w:b w:val="0"/>
                <w:color w:val="000000"/>
                <w:sz w:val="32"/>
              </w:rPr>
              <w:t>低盐/功能</w:t>
            </w:r>
          </w:p>
        </w:tc>
        <w:tc>
          <w:tcPr>
            <w:tcW w:type="dxa" w:w="2835"/>
          </w:tcPr>
          <w:p>
            <w:pPr>
              <w:spacing w:lineRule="exact" w:line="600"/>
              <w:jc w:val="center"/>
            </w:pPr>
            <w:r/>
            <w:r>
              <w:rPr>
                <w:rFonts w:ascii="仿宋_GB2312" w:hAnsi="仿宋_GB2312" w:eastAsia="仿宋_GB2312"/>
                <w:b w:val="0"/>
                <w:color w:val="000000"/>
                <w:sz w:val="32"/>
              </w:rPr>
              <w:t>龙头</w:t>
            </w:r>
          </w:p>
        </w:tc>
      </w:tr>
      <w:tr>
        <w:tc>
          <w:tcPr>
            <w:tcW w:type="dxa" w:w="2835"/>
          </w:tcPr>
          <w:p>
            <w:pPr>
              <w:spacing w:lineRule="exact" w:line="600"/>
              <w:jc w:val="center"/>
            </w:pPr>
            <w:r/>
            <w:r>
              <w:rPr>
                <w:rFonts w:ascii="仿宋_GB2312" w:hAnsi="仿宋_GB2312" w:eastAsia="仿宋_GB2312"/>
                <w:b w:val="0"/>
                <w:color w:val="000000"/>
                <w:sz w:val="32"/>
              </w:rPr>
              <w:t>品类</w:t>
            </w:r>
          </w:p>
        </w:tc>
        <w:tc>
          <w:tcPr>
            <w:tcW w:type="dxa" w:w="3402"/>
          </w:tcPr>
          <w:p>
            <w:pPr>
              <w:spacing w:lineRule="exact" w:line="600"/>
              <w:jc w:val="center"/>
            </w:pPr>
            <w:r/>
            <w:r>
              <w:rPr>
                <w:rFonts w:ascii="仿宋_GB2312" w:hAnsi="仿宋_GB2312" w:eastAsia="仿宋_GB2312"/>
                <w:b w:val="0"/>
                <w:color w:val="000000"/>
                <w:sz w:val="32"/>
              </w:rPr>
              <w:t>风味标准化</w:t>
            </w:r>
          </w:p>
        </w:tc>
        <w:tc>
          <w:tcPr>
            <w:tcW w:type="dxa" w:w="2835"/>
          </w:tcPr>
          <w:p>
            <w:pPr>
              <w:spacing w:lineRule="exact" w:line="600"/>
              <w:jc w:val="center"/>
            </w:pPr>
            <w:r/>
            <w:r>
              <w:rPr>
                <w:rFonts w:ascii="仿宋_GB2312" w:hAnsi="仿宋_GB2312" w:eastAsia="仿宋_GB2312"/>
                <w:b w:val="0"/>
                <w:color w:val="000000"/>
                <w:sz w:val="32"/>
              </w:rPr>
              <w:t>拓展</w:t>
            </w:r>
          </w:p>
        </w:tc>
      </w:tr>
      <w:tr>
        <w:tc>
          <w:tcPr>
            <w:tcW w:type="dxa" w:w="2835"/>
          </w:tcPr>
          <w:p>
            <w:pPr>
              <w:spacing w:lineRule="exact" w:line="600"/>
              <w:jc w:val="center"/>
            </w:pPr>
            <w:r/>
            <w:r>
              <w:rPr>
                <w:rFonts w:ascii="仿宋_GB2312" w:hAnsi="仿宋_GB2312" w:eastAsia="仿宋_GB2312"/>
                <w:b w:val="0"/>
                <w:color w:val="000000"/>
                <w:sz w:val="32"/>
              </w:rPr>
              <w:t>出口研发</w:t>
            </w:r>
          </w:p>
        </w:tc>
        <w:tc>
          <w:tcPr>
            <w:tcW w:type="dxa" w:w="3402"/>
          </w:tcPr>
          <w:p>
            <w:pPr>
              <w:spacing w:lineRule="exact" w:line="600"/>
              <w:jc w:val="center"/>
            </w:pPr>
            <w:r/>
            <w:r>
              <w:rPr>
                <w:rFonts w:ascii="仿宋_GB2312" w:hAnsi="仿宋_GB2312" w:eastAsia="仿宋_GB2312"/>
                <w:b w:val="0"/>
                <w:color w:val="000000"/>
                <w:sz w:val="32"/>
              </w:rPr>
              <w:t>适应性</w:t>
            </w:r>
          </w:p>
        </w:tc>
        <w:tc>
          <w:tcPr>
            <w:tcW w:type="dxa" w:w="2835"/>
          </w:tcPr>
          <w:p>
            <w:pPr>
              <w:spacing w:lineRule="exact" w:line="600"/>
              <w:jc w:val="center"/>
            </w:pPr>
            <w:r/>
            <w:r>
              <w:rPr>
                <w:rFonts w:ascii="仿宋_GB2312" w:hAnsi="仿宋_GB2312" w:eastAsia="仿宋_GB2312"/>
                <w:b w:val="0"/>
                <w:color w:val="000000"/>
                <w:sz w:val="32"/>
              </w:rPr>
              <w:t>外贸</w:t>
            </w:r>
          </w:p>
        </w:tc>
      </w:tr>
    </w:tbl>
    <w:p>
      <w:pPr>
        <w:spacing w:lineRule="exact" w:line="600" w:before="120" w:after="120"/>
        <w:ind w:firstLine="420"/>
        <w:jc w:val="left"/>
      </w:pPr>
      <w:r>
        <w:rPr>
          <w:rFonts w:ascii="楷体_GB2312" w:hAnsi="楷体_GB2312" w:eastAsia="楷体_GB2312"/>
          <w:b w:val="0"/>
          <w:color w:val="000000"/>
          <w:sz w:val="32"/>
        </w:rPr>
        <w:t>（三）数智化与追溯</w:t>
      </w:r>
    </w:p>
    <w:p>
      <w:pPr>
        <w:spacing w:lineRule="exact" w:line="600" w:before="0" w:after="0"/>
        <w:ind w:firstLine="420"/>
        <w:jc w:val="both"/>
      </w:pPr>
      <w:r>
        <w:rPr>
          <w:rFonts w:ascii="仿宋_GB2312" w:hAnsi="仿宋_GB2312" w:eastAsia="仿宋_GB2312"/>
          <w:b w:val="0"/>
          <w:color w:val="000000"/>
          <w:sz w:val="32"/>
        </w:rPr>
        <w:t>屠宰企业推进屠宰线自动化、MES与溯源系统建设，实现从养殖到餐桌的可追溯。诸城依托食品产业数字化基础，推动屠宰加工上云用数赋智；冷链温控物联网降低损耗、保障鲜度。数智化是提升食品安全信任与运营效率的关键抓手。</w:t>
      </w:r>
    </w:p>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屠宰及肉制品加工成本以原料（活猪、活鸡）为主，占比常超70%，其次为能源、人工、包装与冷链物流。原料价格随猪周期、禽价剧烈波动，是盈利最大变量；饲料（玉米、豆粕）价格通过养殖端传导。龙头企业通过一体化养殖、套期与规模化采购平抑成本。</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成本项</w:t>
            </w:r>
          </w:p>
        </w:tc>
        <w:tc>
          <w:tcPr>
            <w:tcW w:type="dxa" w:w="3118"/>
          </w:tcPr>
          <w:p>
            <w:pPr>
              <w:spacing w:lineRule="exact" w:line="600"/>
              <w:jc w:val="center"/>
            </w:pPr>
            <w:r/>
            <w:r>
              <w:rPr>
                <w:rFonts w:ascii="黑体" w:hAnsi="黑体" w:eastAsia="黑体"/>
                <w:b/>
                <w:color w:val="000000"/>
                <w:sz w:val="32"/>
              </w:rPr>
              <w:t>占比/特征</w:t>
            </w:r>
          </w:p>
        </w:tc>
        <w:tc>
          <w:tcPr>
            <w:tcW w:type="dxa" w:w="3118"/>
          </w:tcPr>
          <w:p>
            <w:pPr>
              <w:spacing w:lineRule="exact" w:line="600"/>
              <w:jc w:val="center"/>
            </w:pPr>
            <w:r/>
            <w:r>
              <w:rPr>
                <w:rFonts w:ascii="黑体" w:hAnsi="黑体" w:eastAsia="黑体"/>
                <w:b/>
                <w:color w:val="000000"/>
                <w:sz w:val="32"/>
              </w:rPr>
              <w:t>影响</w:t>
            </w:r>
          </w:p>
        </w:tc>
      </w:tr>
      <w:tr>
        <w:tc>
          <w:tcPr>
            <w:tcW w:type="dxa" w:w="2835"/>
          </w:tcPr>
          <w:p>
            <w:pPr>
              <w:spacing w:lineRule="exact" w:line="600"/>
              <w:jc w:val="center"/>
            </w:pPr>
            <w:r/>
            <w:r>
              <w:rPr>
                <w:rFonts w:ascii="仿宋_GB2312" w:hAnsi="仿宋_GB2312" w:eastAsia="仿宋_GB2312"/>
                <w:b w:val="0"/>
                <w:color w:val="000000"/>
                <w:sz w:val="32"/>
              </w:rPr>
              <w:t>原料</w:t>
            </w:r>
          </w:p>
        </w:tc>
        <w:tc>
          <w:tcPr>
            <w:tcW w:type="dxa" w:w="3118"/>
          </w:tcPr>
          <w:p>
            <w:pPr>
              <w:spacing w:lineRule="exact" w:line="600"/>
              <w:jc w:val="center"/>
            </w:pPr>
            <w:r/>
            <w:r>
              <w:rPr>
                <w:rFonts w:ascii="仿宋_GB2312" w:hAnsi="仿宋_GB2312" w:eastAsia="仿宋_GB2312"/>
                <w:b w:val="0"/>
                <w:color w:val="000000"/>
                <w:sz w:val="32"/>
              </w:rPr>
              <w:t>超70%</w:t>
            </w:r>
          </w:p>
        </w:tc>
        <w:tc>
          <w:tcPr>
            <w:tcW w:type="dxa" w:w="3118"/>
          </w:tcPr>
          <w:p>
            <w:pPr>
              <w:spacing w:lineRule="exact" w:line="600"/>
              <w:jc w:val="center"/>
            </w:pPr>
            <w:r/>
            <w:r>
              <w:rPr>
                <w:rFonts w:ascii="仿宋_GB2312" w:hAnsi="仿宋_GB2312" w:eastAsia="仿宋_GB2312"/>
                <w:b w:val="0"/>
                <w:color w:val="000000"/>
                <w:sz w:val="32"/>
              </w:rPr>
              <w:t>猪周期</w:t>
            </w:r>
          </w:p>
        </w:tc>
      </w:tr>
      <w:tr>
        <w:tc>
          <w:tcPr>
            <w:tcW w:type="dxa" w:w="2835"/>
          </w:tcPr>
          <w:p>
            <w:pPr>
              <w:spacing w:lineRule="exact" w:line="600"/>
              <w:jc w:val="center"/>
            </w:pPr>
            <w:r/>
            <w:r>
              <w:rPr>
                <w:rFonts w:ascii="仿宋_GB2312" w:hAnsi="仿宋_GB2312" w:eastAsia="仿宋_GB2312"/>
                <w:b w:val="0"/>
                <w:color w:val="000000"/>
                <w:sz w:val="32"/>
              </w:rPr>
              <w:t>能源</w:t>
            </w:r>
          </w:p>
        </w:tc>
        <w:tc>
          <w:tcPr>
            <w:tcW w:type="dxa" w:w="3118"/>
          </w:tcPr>
          <w:p>
            <w:pPr>
              <w:spacing w:lineRule="exact" w:line="600"/>
              <w:jc w:val="center"/>
            </w:pPr>
            <w:r/>
            <w:r>
              <w:rPr>
                <w:rFonts w:ascii="仿宋_GB2312" w:hAnsi="仿宋_GB2312" w:eastAsia="仿宋_GB2312"/>
                <w:b w:val="0"/>
                <w:color w:val="000000"/>
                <w:sz w:val="32"/>
              </w:rPr>
              <w:t>稳定</w:t>
            </w:r>
          </w:p>
        </w:tc>
        <w:tc>
          <w:tcPr>
            <w:tcW w:type="dxa" w:w="3118"/>
          </w:tcPr>
          <w:p>
            <w:pPr>
              <w:spacing w:lineRule="exact" w:line="600"/>
              <w:jc w:val="center"/>
            </w:pPr>
            <w:r/>
            <w:r>
              <w:rPr>
                <w:rFonts w:ascii="仿宋_GB2312" w:hAnsi="仿宋_GB2312" w:eastAsia="仿宋_GB2312"/>
                <w:b w:val="0"/>
                <w:color w:val="000000"/>
                <w:sz w:val="32"/>
              </w:rPr>
              <w:t>次要</w:t>
            </w:r>
          </w:p>
        </w:tc>
      </w:tr>
      <w:tr>
        <w:tc>
          <w:tcPr>
            <w:tcW w:type="dxa" w:w="2835"/>
          </w:tcPr>
          <w:p>
            <w:pPr>
              <w:spacing w:lineRule="exact" w:line="600"/>
              <w:jc w:val="center"/>
            </w:pPr>
            <w:r/>
            <w:r>
              <w:rPr>
                <w:rFonts w:ascii="仿宋_GB2312" w:hAnsi="仿宋_GB2312" w:eastAsia="仿宋_GB2312"/>
                <w:b w:val="0"/>
                <w:color w:val="000000"/>
                <w:sz w:val="32"/>
              </w:rPr>
              <w:t>人工</w:t>
            </w:r>
          </w:p>
        </w:tc>
        <w:tc>
          <w:tcPr>
            <w:tcW w:type="dxa" w:w="3118"/>
          </w:tcPr>
          <w:p>
            <w:pPr>
              <w:spacing w:lineRule="exact" w:line="600"/>
              <w:jc w:val="center"/>
            </w:pPr>
            <w:r/>
            <w:r>
              <w:rPr>
                <w:rFonts w:ascii="仿宋_GB2312" w:hAnsi="仿宋_GB2312" w:eastAsia="仿宋_GB2312"/>
                <w:b w:val="0"/>
                <w:color w:val="000000"/>
                <w:sz w:val="32"/>
              </w:rPr>
              <w:t>上升</w:t>
            </w:r>
          </w:p>
        </w:tc>
        <w:tc>
          <w:tcPr>
            <w:tcW w:type="dxa" w:w="3118"/>
          </w:tcPr>
          <w:p>
            <w:pPr>
              <w:spacing w:lineRule="exact" w:line="600"/>
              <w:jc w:val="center"/>
            </w:pPr>
            <w:r/>
            <w:r>
              <w:rPr>
                <w:rFonts w:ascii="仿宋_GB2312" w:hAnsi="仿宋_GB2312" w:eastAsia="仿宋_GB2312"/>
                <w:b w:val="0"/>
                <w:color w:val="000000"/>
                <w:sz w:val="32"/>
              </w:rPr>
              <w:t>自动化</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118"/>
          </w:tcPr>
          <w:p>
            <w:pPr>
              <w:spacing w:lineRule="exact" w:line="600"/>
              <w:jc w:val="center"/>
            </w:pPr>
            <w:r/>
            <w:r>
              <w:rPr>
                <w:rFonts w:ascii="仿宋_GB2312" w:hAnsi="仿宋_GB2312" w:eastAsia="仿宋_GB2312"/>
                <w:b w:val="0"/>
                <w:color w:val="000000"/>
                <w:sz w:val="32"/>
              </w:rPr>
              <w:t>物流</w:t>
            </w:r>
          </w:p>
        </w:tc>
        <w:tc>
          <w:tcPr>
            <w:tcW w:type="dxa" w:w="3118"/>
          </w:tcPr>
          <w:p>
            <w:pPr>
              <w:spacing w:lineRule="exact" w:line="600"/>
              <w:jc w:val="center"/>
            </w:pPr>
            <w:r/>
            <w:r>
              <w:rPr>
                <w:rFonts w:ascii="仿宋_GB2312" w:hAnsi="仿宋_GB2312" w:eastAsia="仿宋_GB2312"/>
                <w:b w:val="0"/>
                <w:color w:val="000000"/>
                <w:sz w:val="32"/>
              </w:rPr>
              <w:t>损耗</w:t>
            </w:r>
          </w:p>
        </w:tc>
      </w:tr>
      <w:tr>
        <w:tc>
          <w:tcPr>
            <w:tcW w:type="dxa" w:w="2835"/>
          </w:tcPr>
          <w:p>
            <w:pPr>
              <w:spacing w:lineRule="exact" w:line="600"/>
              <w:jc w:val="center"/>
            </w:pPr>
            <w:r/>
            <w:r>
              <w:rPr>
                <w:rFonts w:ascii="仿宋_GB2312" w:hAnsi="仿宋_GB2312" w:eastAsia="仿宋_GB2312"/>
                <w:b w:val="0"/>
                <w:color w:val="000000"/>
                <w:sz w:val="32"/>
              </w:rPr>
              <w:t>饲料</w:t>
            </w:r>
          </w:p>
        </w:tc>
        <w:tc>
          <w:tcPr>
            <w:tcW w:type="dxa" w:w="3118"/>
          </w:tcPr>
          <w:p>
            <w:pPr>
              <w:spacing w:lineRule="exact" w:line="600"/>
              <w:jc w:val="center"/>
            </w:pPr>
            <w:r/>
            <w:r>
              <w:rPr>
                <w:rFonts w:ascii="仿宋_GB2312" w:hAnsi="仿宋_GB2312" w:eastAsia="仿宋_GB2312"/>
                <w:b w:val="0"/>
                <w:color w:val="000000"/>
                <w:sz w:val="32"/>
              </w:rPr>
              <w:t>传导</w:t>
            </w:r>
          </w:p>
        </w:tc>
        <w:tc>
          <w:tcPr>
            <w:tcW w:type="dxa" w:w="3118"/>
          </w:tcPr>
          <w:p>
            <w:pPr>
              <w:spacing w:lineRule="exact" w:line="600"/>
              <w:jc w:val="center"/>
            </w:pPr>
            <w:r/>
            <w:r>
              <w:rPr>
                <w:rFonts w:ascii="仿宋_GB2312" w:hAnsi="仿宋_GB2312" w:eastAsia="仿宋_GB2312"/>
                <w:b w:val="0"/>
                <w:color w:val="000000"/>
                <w:sz w:val="32"/>
              </w:rPr>
              <w:t>波动</w:t>
            </w:r>
          </w:p>
        </w:tc>
      </w:tr>
    </w:tbl>
    <w:p>
      <w:pPr>
        <w:spacing w:lineRule="exact" w:line="600" w:before="120" w:after="120"/>
        <w:ind w:firstLine="420"/>
        <w:jc w:val="left"/>
      </w:pPr>
      <w:r>
        <w:rPr>
          <w:rFonts w:ascii="楷体_GB2312" w:hAnsi="楷体_GB2312" w:eastAsia="楷体_GB2312"/>
          <w:b w:val="0"/>
          <w:color w:val="000000"/>
          <w:sz w:val="32"/>
        </w:rPr>
        <w:t>（二）盈利水平</w:t>
      </w:r>
    </w:p>
    <w:p>
      <w:pPr>
        <w:spacing w:lineRule="exact" w:line="600" w:before="0" w:after="0"/>
        <w:ind w:firstLine="420"/>
        <w:jc w:val="both"/>
      </w:pPr>
      <w:r>
        <w:rPr>
          <w:rFonts w:ascii="仿宋_GB2312" w:hAnsi="仿宋_GB2312" w:eastAsia="仿宋_GB2312"/>
          <w:b w:val="0"/>
          <w:color w:val="000000"/>
          <w:sz w:val="32"/>
        </w:rPr>
        <w:t>纯屠宰加工毛利率低（常个位数），盈利依赖肉制品转化与品牌溢价。得利斯2023年整体营收30.92亿元但归母净利润亏损3399.7万元，反映猪价低位与费用压力；其低温肉制品具备较高溢价能力但体量待提升。诸城外贸盈利以鸡肉加工出口为主（公开资料有限）。提升肉制品与预制菜占比是改善盈利的核心。</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盈利指标</w:t>
            </w:r>
          </w:p>
        </w:tc>
        <w:tc>
          <w:tcPr>
            <w:tcW w:type="dxa" w:w="3118"/>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得利斯营收</w:t>
            </w:r>
          </w:p>
        </w:tc>
        <w:tc>
          <w:tcPr>
            <w:tcW w:type="dxa" w:w="3118"/>
          </w:tcPr>
          <w:p>
            <w:pPr>
              <w:spacing w:lineRule="exact" w:line="600"/>
              <w:jc w:val="center"/>
            </w:pPr>
            <w:r/>
            <w:r>
              <w:rPr>
                <w:rFonts w:ascii="仿宋_GB2312" w:hAnsi="仿宋_GB2312" w:eastAsia="仿宋_GB2312"/>
                <w:b w:val="0"/>
                <w:color w:val="000000"/>
                <w:sz w:val="32"/>
              </w:rPr>
              <w:t>30.92亿元</w:t>
            </w:r>
          </w:p>
        </w:tc>
        <w:tc>
          <w:tcPr>
            <w:tcW w:type="dxa" w:w="3118"/>
          </w:tcPr>
          <w:p>
            <w:pPr>
              <w:spacing w:lineRule="exact" w:line="600"/>
              <w:jc w:val="center"/>
            </w:pPr>
            <w:r/>
            <w:r>
              <w:rPr>
                <w:rFonts w:ascii="仿宋_GB2312" w:hAnsi="仿宋_GB2312" w:eastAsia="仿宋_GB2312"/>
                <w:b w:val="0"/>
                <w:color w:val="000000"/>
                <w:sz w:val="32"/>
              </w:rPr>
              <w:t>年报</w:t>
            </w:r>
          </w:p>
        </w:tc>
      </w:tr>
      <w:tr>
        <w:tc>
          <w:tcPr>
            <w:tcW w:type="dxa" w:w="2835"/>
          </w:tcPr>
          <w:p>
            <w:pPr>
              <w:spacing w:lineRule="exact" w:line="600"/>
              <w:jc w:val="center"/>
            </w:pPr>
            <w:r/>
            <w:r>
              <w:rPr>
                <w:rFonts w:ascii="仿宋_GB2312" w:hAnsi="仿宋_GB2312" w:eastAsia="仿宋_GB2312"/>
                <w:b w:val="0"/>
                <w:color w:val="000000"/>
                <w:sz w:val="32"/>
              </w:rPr>
              <w:t>得利斯归母</w:t>
            </w:r>
          </w:p>
        </w:tc>
        <w:tc>
          <w:tcPr>
            <w:tcW w:type="dxa" w:w="3118"/>
          </w:tcPr>
          <w:p>
            <w:pPr>
              <w:spacing w:lineRule="exact" w:line="600"/>
              <w:jc w:val="center"/>
            </w:pPr>
            <w:r/>
            <w:r>
              <w:rPr>
                <w:rFonts w:ascii="仿宋_GB2312" w:hAnsi="仿宋_GB2312" w:eastAsia="仿宋_GB2312"/>
                <w:b w:val="0"/>
                <w:color w:val="000000"/>
                <w:sz w:val="32"/>
              </w:rPr>
              <w:t>亏损3399.7万</w:t>
            </w:r>
          </w:p>
        </w:tc>
        <w:tc>
          <w:tcPr>
            <w:tcW w:type="dxa" w:w="3118"/>
          </w:tcPr>
          <w:p>
            <w:pPr>
              <w:spacing w:lineRule="exact" w:line="600"/>
              <w:jc w:val="center"/>
            </w:pPr>
            <w:r/>
            <w:r>
              <w:rPr>
                <w:rFonts w:ascii="仿宋_GB2312" w:hAnsi="仿宋_GB2312" w:eastAsia="仿宋_GB2312"/>
                <w:b w:val="0"/>
                <w:color w:val="000000"/>
                <w:sz w:val="32"/>
              </w:rPr>
              <w:t>压力</w:t>
            </w:r>
          </w:p>
        </w:tc>
      </w:tr>
      <w:tr>
        <w:tc>
          <w:tcPr>
            <w:tcW w:type="dxa" w:w="2835"/>
          </w:tcPr>
          <w:p>
            <w:pPr>
              <w:spacing w:lineRule="exact" w:line="600"/>
              <w:jc w:val="center"/>
            </w:pPr>
            <w:r/>
            <w:r>
              <w:rPr>
                <w:rFonts w:ascii="仿宋_GB2312" w:hAnsi="仿宋_GB2312" w:eastAsia="仿宋_GB2312"/>
                <w:b w:val="0"/>
                <w:color w:val="000000"/>
                <w:sz w:val="32"/>
              </w:rPr>
              <w:t>屠宰毛利</w:t>
            </w:r>
          </w:p>
        </w:tc>
        <w:tc>
          <w:tcPr>
            <w:tcW w:type="dxa" w:w="3118"/>
          </w:tcPr>
          <w:p>
            <w:pPr>
              <w:spacing w:lineRule="exact" w:line="600"/>
              <w:jc w:val="center"/>
            </w:pPr>
            <w:r/>
            <w:r>
              <w:rPr>
                <w:rFonts w:ascii="仿宋_GB2312" w:hAnsi="仿宋_GB2312" w:eastAsia="仿宋_GB2312"/>
                <w:b w:val="0"/>
                <w:color w:val="000000"/>
                <w:sz w:val="32"/>
              </w:rPr>
              <w:t>低</w:t>
            </w:r>
          </w:p>
        </w:tc>
        <w:tc>
          <w:tcPr>
            <w:tcW w:type="dxa" w:w="3118"/>
          </w:tcPr>
          <w:p>
            <w:pPr>
              <w:spacing w:lineRule="exact" w:line="600"/>
              <w:jc w:val="center"/>
            </w:pPr>
            <w:r/>
            <w:r>
              <w:rPr>
                <w:rFonts w:ascii="仿宋_GB2312" w:hAnsi="仿宋_GB2312" w:eastAsia="仿宋_GB2312"/>
                <w:b w:val="0"/>
                <w:color w:val="000000"/>
                <w:sz w:val="32"/>
              </w:rPr>
              <w:t>个位</w:t>
            </w:r>
          </w:p>
        </w:tc>
      </w:tr>
      <w:tr>
        <w:tc>
          <w:tcPr>
            <w:tcW w:type="dxa" w:w="2835"/>
          </w:tcPr>
          <w:p>
            <w:pPr>
              <w:spacing w:lineRule="exact" w:line="600"/>
              <w:jc w:val="center"/>
            </w:pPr>
            <w:r/>
            <w:r>
              <w:rPr>
                <w:rFonts w:ascii="仿宋_GB2312" w:hAnsi="仿宋_GB2312" w:eastAsia="仿宋_GB2312"/>
                <w:b w:val="0"/>
                <w:color w:val="000000"/>
                <w:sz w:val="32"/>
              </w:rPr>
              <w:t>肉制品</w:t>
            </w:r>
          </w:p>
        </w:tc>
        <w:tc>
          <w:tcPr>
            <w:tcW w:type="dxa" w:w="3118"/>
          </w:tcPr>
          <w:p>
            <w:pPr>
              <w:spacing w:lineRule="exact" w:line="600"/>
              <w:jc w:val="center"/>
            </w:pPr>
            <w:r/>
            <w:r>
              <w:rPr>
                <w:rFonts w:ascii="仿宋_GB2312" w:hAnsi="仿宋_GB2312" w:eastAsia="仿宋_GB2312"/>
                <w:b w:val="0"/>
                <w:color w:val="000000"/>
                <w:sz w:val="32"/>
              </w:rPr>
              <w:t>溢价</w:t>
            </w:r>
          </w:p>
        </w:tc>
        <w:tc>
          <w:tcPr>
            <w:tcW w:type="dxa" w:w="3118"/>
          </w:tcPr>
          <w:p>
            <w:pPr>
              <w:spacing w:lineRule="exact" w:line="600"/>
              <w:jc w:val="center"/>
            </w:pPr>
            <w:r/>
            <w:r>
              <w:rPr>
                <w:rFonts w:ascii="仿宋_GB2312" w:hAnsi="仿宋_GB2312" w:eastAsia="仿宋_GB2312"/>
                <w:b w:val="0"/>
                <w:color w:val="000000"/>
                <w:sz w:val="32"/>
              </w:rPr>
              <w:t>提盈利</w:t>
            </w:r>
          </w:p>
        </w:tc>
      </w:tr>
    </w:tbl>
    <w:p>
      <w:pPr>
        <w:spacing w:lineRule="exact" w:line="600" w:before="120" w:after="120"/>
        <w:ind w:firstLine="420"/>
        <w:jc w:val="left"/>
      </w:pPr>
      <w:r>
        <w:rPr>
          <w:rFonts w:ascii="楷体_GB2312" w:hAnsi="楷体_GB2312" w:eastAsia="楷体_GB2312"/>
          <w:b w:val="0"/>
          <w:color w:val="000000"/>
          <w:sz w:val="32"/>
        </w:rPr>
        <w:t>（三）要素保障</w:t>
      </w:r>
    </w:p>
    <w:p>
      <w:pPr>
        <w:spacing w:lineRule="exact" w:line="600" w:before="0" w:after="0"/>
        <w:ind w:firstLine="420"/>
        <w:jc w:val="both"/>
      </w:pPr>
      <w:r>
        <w:rPr>
          <w:rFonts w:ascii="仿宋_GB2312" w:hAnsi="仿宋_GB2312" w:eastAsia="仿宋_GB2312"/>
          <w:b w:val="0"/>
          <w:color w:val="000000"/>
          <w:sz w:val="32"/>
        </w:rPr>
        <w:t>诸城拥有畜牧养殖用地、饲料粮保障与熟练产业工人，水资源与能源供给稳定。政策上，健康食品及预制菜作为主导产业获用地、资金与技改支持；山东畜牧兽医体系提供防疫与技术支撑。冷链、检测公共服务平台降低中小企业合规与运营成本。</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居民肉类消费升级（冷鲜、低温、方便）打开结构性空间；预制菜爆发拉动屠宰企业肉制品转化；山东农产品与禽肉出口优势持续；龙头品牌化与全产业链整合提升集中度。诸城集群「屠宰+预制」协同，承接预制菜风口，屠宰环节原料优势转化为下游溢价。</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机遇</w:t>
            </w:r>
          </w:p>
        </w:tc>
        <w:tc>
          <w:tcPr>
            <w:tcW w:type="dxa" w:w="3402"/>
          </w:tcPr>
          <w:p>
            <w:pPr>
              <w:spacing w:lineRule="exact" w:line="600"/>
              <w:jc w:val="center"/>
            </w:pPr>
            <w:r/>
            <w:r>
              <w:rPr>
                <w:rFonts w:ascii="黑体" w:hAnsi="黑体" w:eastAsia="黑体"/>
                <w:b/>
                <w:color w:val="000000"/>
                <w:sz w:val="32"/>
              </w:rPr>
              <w:t>驱动</w:t>
            </w:r>
          </w:p>
        </w:tc>
        <w:tc>
          <w:tcPr>
            <w:tcW w:type="dxa" w:w="3118"/>
          </w:tcPr>
          <w:p>
            <w:pPr>
              <w:spacing w:lineRule="exact" w:line="600"/>
              <w:jc w:val="center"/>
            </w:pPr>
            <w:r/>
            <w:r>
              <w:rPr>
                <w:rFonts w:ascii="黑体" w:hAnsi="黑体" w:eastAsia="黑体"/>
                <w:b/>
                <w:color w:val="000000"/>
                <w:sz w:val="32"/>
              </w:rPr>
              <w:t>量化</w:t>
            </w:r>
          </w:p>
        </w:tc>
      </w:tr>
      <w:tr>
        <w:tc>
          <w:tcPr>
            <w:tcW w:type="dxa" w:w="2551"/>
          </w:tcPr>
          <w:p>
            <w:pPr>
              <w:spacing w:lineRule="exact" w:line="600"/>
              <w:jc w:val="center"/>
            </w:pPr>
            <w:r/>
            <w:r>
              <w:rPr>
                <w:rFonts w:ascii="仿宋_GB2312" w:hAnsi="仿宋_GB2312" w:eastAsia="仿宋_GB2312"/>
                <w:b w:val="0"/>
                <w:color w:val="000000"/>
                <w:sz w:val="32"/>
              </w:rPr>
              <w:t>消费升级</w:t>
            </w:r>
          </w:p>
        </w:tc>
        <w:tc>
          <w:tcPr>
            <w:tcW w:type="dxa" w:w="3402"/>
          </w:tcPr>
          <w:p>
            <w:pPr>
              <w:spacing w:lineRule="exact" w:line="600"/>
              <w:jc w:val="center"/>
            </w:pPr>
            <w:r/>
            <w:r>
              <w:rPr>
                <w:rFonts w:ascii="仿宋_GB2312" w:hAnsi="仿宋_GB2312" w:eastAsia="仿宋_GB2312"/>
                <w:b w:val="0"/>
                <w:color w:val="000000"/>
                <w:sz w:val="32"/>
              </w:rPr>
              <w:t>冷鲜/低温</w:t>
            </w:r>
          </w:p>
        </w:tc>
        <w:tc>
          <w:tcPr>
            <w:tcW w:type="dxa" w:w="3118"/>
          </w:tcPr>
          <w:p>
            <w:pPr>
              <w:spacing w:lineRule="exact" w:line="600"/>
              <w:jc w:val="center"/>
            </w:pPr>
            <w:r/>
            <w:r>
              <w:rPr>
                <w:rFonts w:ascii="仿宋_GB2312" w:hAnsi="仿宋_GB2312" w:eastAsia="仿宋_GB2312"/>
                <w:b w:val="0"/>
                <w:color w:val="000000"/>
                <w:sz w:val="32"/>
              </w:rPr>
              <w:t>结构</w:t>
            </w:r>
          </w:p>
        </w:tc>
      </w:tr>
      <w:tr>
        <w:tc>
          <w:tcPr>
            <w:tcW w:type="dxa" w:w="2551"/>
          </w:tcPr>
          <w:p>
            <w:pPr>
              <w:spacing w:lineRule="exact" w:line="600"/>
              <w:jc w:val="center"/>
            </w:pPr>
            <w:r/>
            <w:r>
              <w:rPr>
                <w:rFonts w:ascii="仿宋_GB2312" w:hAnsi="仿宋_GB2312" w:eastAsia="仿宋_GB2312"/>
                <w:b w:val="0"/>
                <w:color w:val="000000"/>
                <w:sz w:val="32"/>
              </w:rPr>
              <w:t>预制菜</w:t>
            </w:r>
          </w:p>
        </w:tc>
        <w:tc>
          <w:tcPr>
            <w:tcW w:type="dxa" w:w="3402"/>
          </w:tcPr>
          <w:p>
            <w:pPr>
              <w:spacing w:lineRule="exact" w:line="600"/>
              <w:jc w:val="center"/>
            </w:pPr>
            <w:r/>
            <w:r>
              <w:rPr>
                <w:rFonts w:ascii="仿宋_GB2312" w:hAnsi="仿宋_GB2312" w:eastAsia="仿宋_GB2312"/>
                <w:b w:val="0"/>
                <w:color w:val="000000"/>
                <w:sz w:val="32"/>
              </w:rPr>
              <w:t>风口</w:t>
            </w:r>
          </w:p>
        </w:tc>
        <w:tc>
          <w:tcPr>
            <w:tcW w:type="dxa" w:w="3118"/>
          </w:tcPr>
          <w:p>
            <w:pPr>
              <w:spacing w:lineRule="exact" w:line="600"/>
              <w:jc w:val="center"/>
            </w:pPr>
            <w:r/>
            <w:r>
              <w:rPr>
                <w:rFonts w:ascii="仿宋_GB2312" w:hAnsi="仿宋_GB2312" w:eastAsia="仿宋_GB2312"/>
                <w:b w:val="0"/>
                <w:color w:val="000000"/>
                <w:sz w:val="32"/>
              </w:rPr>
              <w:t>转化</w:t>
            </w:r>
          </w:p>
        </w:tc>
      </w:tr>
      <w:tr>
        <w:tc>
          <w:tcPr>
            <w:tcW w:type="dxa" w:w="2551"/>
          </w:tcPr>
          <w:p>
            <w:pPr>
              <w:spacing w:lineRule="exact" w:line="600"/>
              <w:jc w:val="center"/>
            </w:pPr>
            <w:r/>
            <w:r>
              <w:rPr>
                <w:rFonts w:ascii="仿宋_GB2312" w:hAnsi="仿宋_GB2312" w:eastAsia="仿宋_GB2312"/>
                <w:b w:val="0"/>
                <w:color w:val="000000"/>
                <w:sz w:val="32"/>
              </w:rPr>
              <w:t>出口</w:t>
            </w:r>
          </w:p>
        </w:tc>
        <w:tc>
          <w:tcPr>
            <w:tcW w:type="dxa" w:w="3402"/>
          </w:tcPr>
          <w:p>
            <w:pPr>
              <w:spacing w:lineRule="exact" w:line="600"/>
              <w:jc w:val="center"/>
            </w:pPr>
            <w:r/>
            <w:r>
              <w:rPr>
                <w:rFonts w:ascii="仿宋_GB2312" w:hAnsi="仿宋_GB2312" w:eastAsia="仿宋_GB2312"/>
                <w:b w:val="0"/>
                <w:color w:val="000000"/>
                <w:sz w:val="32"/>
              </w:rPr>
              <w:t>禽肉优势</w:t>
            </w:r>
          </w:p>
        </w:tc>
        <w:tc>
          <w:tcPr>
            <w:tcW w:type="dxa" w:w="3118"/>
          </w:tcPr>
          <w:p>
            <w:pPr>
              <w:spacing w:lineRule="exact" w:line="600"/>
              <w:jc w:val="center"/>
            </w:pPr>
            <w:r/>
            <w:r>
              <w:rPr>
                <w:rFonts w:ascii="仿宋_GB2312" w:hAnsi="仿宋_GB2312" w:eastAsia="仿宋_GB2312"/>
                <w:b w:val="0"/>
                <w:color w:val="000000"/>
                <w:sz w:val="32"/>
              </w:rPr>
              <w:t>山东第一</w:t>
            </w:r>
          </w:p>
        </w:tc>
      </w:tr>
      <w:tr>
        <w:tc>
          <w:tcPr>
            <w:tcW w:type="dxa" w:w="2551"/>
          </w:tcPr>
          <w:p>
            <w:pPr>
              <w:spacing w:lineRule="exact" w:line="600"/>
              <w:jc w:val="center"/>
            </w:pPr>
            <w:r/>
            <w:r>
              <w:rPr>
                <w:rFonts w:ascii="仿宋_GB2312" w:hAnsi="仿宋_GB2312" w:eastAsia="仿宋_GB2312"/>
                <w:b w:val="0"/>
                <w:color w:val="000000"/>
                <w:sz w:val="32"/>
              </w:rPr>
              <w:t>整合</w:t>
            </w:r>
          </w:p>
        </w:tc>
        <w:tc>
          <w:tcPr>
            <w:tcW w:type="dxa" w:w="3402"/>
          </w:tcPr>
          <w:p>
            <w:pPr>
              <w:spacing w:lineRule="exact" w:line="600"/>
              <w:jc w:val="center"/>
            </w:pPr>
            <w:r/>
            <w:r>
              <w:rPr>
                <w:rFonts w:ascii="仿宋_GB2312" w:hAnsi="仿宋_GB2312" w:eastAsia="仿宋_GB2312"/>
                <w:b w:val="0"/>
                <w:color w:val="000000"/>
                <w:sz w:val="32"/>
              </w:rPr>
              <w:t>集中度</w:t>
            </w:r>
          </w:p>
        </w:tc>
        <w:tc>
          <w:tcPr>
            <w:tcW w:type="dxa" w:w="3118"/>
          </w:tcPr>
          <w:p>
            <w:pPr>
              <w:spacing w:lineRule="exact" w:line="600"/>
              <w:jc w:val="center"/>
            </w:pPr>
            <w:r/>
            <w:r>
              <w:rPr>
                <w:rFonts w:ascii="仿宋_GB2312" w:hAnsi="仿宋_GB2312" w:eastAsia="仿宋_GB2312"/>
                <w:b w:val="0"/>
                <w:color w:val="000000"/>
                <w:sz w:val="32"/>
              </w:rPr>
              <w:t>龙头</w:t>
            </w:r>
          </w:p>
        </w:tc>
      </w:tr>
    </w:tbl>
    <w:p>
      <w:pPr>
        <w:spacing w:lineRule="exact" w:line="600" w:before="120" w:after="120"/>
        <w:ind w:firstLine="420"/>
        <w:jc w:val="left"/>
      </w:pPr>
      <w:r>
        <w:rPr>
          <w:rFonts w:ascii="楷体_GB2312" w:hAnsi="楷体_GB2312" w:eastAsia="楷体_GB2312"/>
          <w:b w:val="0"/>
          <w:color w:val="000000"/>
          <w:sz w:val="32"/>
        </w:rPr>
        <w:t>（二）主要挑战</w:t>
      </w:r>
    </w:p>
    <w:p>
      <w:pPr>
        <w:spacing w:lineRule="exact" w:line="600" w:before="0" w:after="0"/>
        <w:ind w:firstLine="420"/>
        <w:jc w:val="both"/>
      </w:pPr>
      <w:r>
        <w:rPr>
          <w:rFonts w:ascii="仿宋_GB2312" w:hAnsi="仿宋_GB2312" w:eastAsia="仿宋_GB2312"/>
          <w:b w:val="0"/>
          <w:color w:val="000000"/>
          <w:sz w:val="32"/>
        </w:rPr>
        <w:t>一是猪周期与禽价波动剧烈、盈利不稳；二是屠宰产能总体过剩、同质化低价竞争；三是食品安全监管要求持续提高、合规成本上升；四是中小屠宰厂技改与冷链投入压力大。龙头企业需以品牌与预制化摆脱「赚加工费」困境。</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挑战</w:t>
            </w:r>
          </w:p>
        </w:tc>
        <w:tc>
          <w:tcPr>
            <w:tcW w:type="dxa" w:w="3402"/>
          </w:tcPr>
          <w:p>
            <w:pPr>
              <w:spacing w:lineRule="exact" w:line="600"/>
              <w:jc w:val="center"/>
            </w:pPr>
            <w:r/>
            <w:r>
              <w:rPr>
                <w:rFonts w:ascii="黑体" w:hAnsi="黑体" w:eastAsia="黑体"/>
                <w:b/>
                <w:color w:val="000000"/>
                <w:sz w:val="32"/>
              </w:rPr>
              <w:t>表现</w:t>
            </w:r>
          </w:p>
        </w:tc>
        <w:tc>
          <w:tcPr>
            <w:tcW w:type="dxa" w:w="3118"/>
          </w:tcPr>
          <w:p>
            <w:pPr>
              <w:spacing w:lineRule="exact" w:line="600"/>
              <w:jc w:val="center"/>
            </w:pPr>
            <w:r/>
            <w:r>
              <w:rPr>
                <w:rFonts w:ascii="黑体" w:hAnsi="黑体" w:eastAsia="黑体"/>
                <w:b/>
                <w:color w:val="000000"/>
                <w:sz w:val="32"/>
              </w:rPr>
              <w:t>影响</w:t>
            </w:r>
          </w:p>
        </w:tc>
      </w:tr>
      <w:tr>
        <w:tc>
          <w:tcPr>
            <w:tcW w:type="dxa" w:w="2551"/>
          </w:tcPr>
          <w:p>
            <w:pPr>
              <w:spacing w:lineRule="exact" w:line="600"/>
              <w:jc w:val="center"/>
            </w:pPr>
            <w:r/>
            <w:r>
              <w:rPr>
                <w:rFonts w:ascii="仿宋_GB2312" w:hAnsi="仿宋_GB2312" w:eastAsia="仿宋_GB2312"/>
                <w:b w:val="0"/>
                <w:color w:val="000000"/>
                <w:sz w:val="32"/>
              </w:rPr>
              <w:t>价格波动</w:t>
            </w:r>
          </w:p>
        </w:tc>
        <w:tc>
          <w:tcPr>
            <w:tcW w:type="dxa" w:w="3402"/>
          </w:tcPr>
          <w:p>
            <w:pPr>
              <w:spacing w:lineRule="exact" w:line="600"/>
              <w:jc w:val="center"/>
            </w:pPr>
            <w:r/>
            <w:r>
              <w:rPr>
                <w:rFonts w:ascii="仿宋_GB2312" w:hAnsi="仿宋_GB2312" w:eastAsia="仿宋_GB2312"/>
                <w:b w:val="0"/>
                <w:color w:val="000000"/>
                <w:sz w:val="32"/>
              </w:rPr>
              <w:t>猪周期</w:t>
            </w:r>
          </w:p>
        </w:tc>
        <w:tc>
          <w:tcPr>
            <w:tcW w:type="dxa" w:w="3118"/>
          </w:tcPr>
          <w:p>
            <w:pPr>
              <w:spacing w:lineRule="exact" w:line="600"/>
              <w:jc w:val="center"/>
            </w:pPr>
            <w:r/>
            <w:r>
              <w:rPr>
                <w:rFonts w:ascii="仿宋_GB2312" w:hAnsi="仿宋_GB2312" w:eastAsia="仿宋_GB2312"/>
                <w:b w:val="0"/>
                <w:color w:val="000000"/>
                <w:sz w:val="32"/>
              </w:rPr>
              <w:t>盈利不稳</w:t>
            </w:r>
          </w:p>
        </w:tc>
      </w:tr>
      <w:tr>
        <w:tc>
          <w:tcPr>
            <w:tcW w:type="dxa" w:w="2551"/>
          </w:tcPr>
          <w:p>
            <w:pPr>
              <w:spacing w:lineRule="exact" w:line="600"/>
              <w:jc w:val="center"/>
            </w:pPr>
            <w:r/>
            <w:r>
              <w:rPr>
                <w:rFonts w:ascii="仿宋_GB2312" w:hAnsi="仿宋_GB2312" w:eastAsia="仿宋_GB2312"/>
                <w:b w:val="0"/>
                <w:color w:val="000000"/>
                <w:sz w:val="32"/>
              </w:rPr>
              <w:t>产能过剩</w:t>
            </w:r>
          </w:p>
        </w:tc>
        <w:tc>
          <w:tcPr>
            <w:tcW w:type="dxa" w:w="3402"/>
          </w:tcPr>
          <w:p>
            <w:pPr>
              <w:spacing w:lineRule="exact" w:line="600"/>
              <w:jc w:val="center"/>
            </w:pPr>
            <w:r/>
            <w:r>
              <w:rPr>
                <w:rFonts w:ascii="仿宋_GB2312" w:hAnsi="仿宋_GB2312" w:eastAsia="仿宋_GB2312"/>
                <w:b w:val="0"/>
                <w:color w:val="000000"/>
                <w:sz w:val="32"/>
              </w:rPr>
              <w:t>同质化</w:t>
            </w:r>
          </w:p>
        </w:tc>
        <w:tc>
          <w:tcPr>
            <w:tcW w:type="dxa" w:w="3118"/>
          </w:tcPr>
          <w:p>
            <w:pPr>
              <w:spacing w:lineRule="exact" w:line="600"/>
              <w:jc w:val="center"/>
            </w:pPr>
            <w:r/>
            <w:r>
              <w:rPr>
                <w:rFonts w:ascii="仿宋_GB2312" w:hAnsi="仿宋_GB2312" w:eastAsia="仿宋_GB2312"/>
                <w:b w:val="0"/>
                <w:color w:val="000000"/>
                <w:sz w:val="32"/>
              </w:rPr>
              <w:t>低价</w:t>
            </w:r>
          </w:p>
        </w:tc>
      </w:tr>
      <w:tr>
        <w:tc>
          <w:tcPr>
            <w:tcW w:type="dxa" w:w="2551"/>
          </w:tcPr>
          <w:p>
            <w:pPr>
              <w:spacing w:lineRule="exact" w:line="600"/>
              <w:jc w:val="center"/>
            </w:pPr>
            <w:r/>
            <w:r>
              <w:rPr>
                <w:rFonts w:ascii="仿宋_GB2312" w:hAnsi="仿宋_GB2312" w:eastAsia="仿宋_GB2312"/>
                <w:b w:val="0"/>
                <w:color w:val="000000"/>
                <w:sz w:val="32"/>
              </w:rPr>
              <w:t>监管</w:t>
            </w:r>
          </w:p>
        </w:tc>
        <w:tc>
          <w:tcPr>
            <w:tcW w:type="dxa" w:w="3402"/>
          </w:tcPr>
          <w:p>
            <w:pPr>
              <w:spacing w:lineRule="exact" w:line="600"/>
              <w:jc w:val="center"/>
            </w:pPr>
            <w:r/>
            <w:r>
              <w:rPr>
                <w:rFonts w:ascii="仿宋_GB2312" w:hAnsi="仿宋_GB2312" w:eastAsia="仿宋_GB2312"/>
                <w:b w:val="0"/>
                <w:color w:val="000000"/>
                <w:sz w:val="32"/>
              </w:rPr>
              <w:t>食安</w:t>
            </w:r>
          </w:p>
        </w:tc>
        <w:tc>
          <w:tcPr>
            <w:tcW w:type="dxa" w:w="3118"/>
          </w:tcPr>
          <w:p>
            <w:pPr>
              <w:spacing w:lineRule="exact" w:line="600"/>
              <w:jc w:val="center"/>
            </w:pPr>
            <w:r/>
            <w:r>
              <w:rPr>
                <w:rFonts w:ascii="仿宋_GB2312" w:hAnsi="仿宋_GB2312" w:eastAsia="仿宋_GB2312"/>
                <w:b w:val="0"/>
                <w:color w:val="000000"/>
                <w:sz w:val="32"/>
              </w:rPr>
              <w:t>合规升</w:t>
            </w:r>
          </w:p>
        </w:tc>
      </w:tr>
      <w:tr>
        <w:tc>
          <w:tcPr>
            <w:tcW w:type="dxa" w:w="2551"/>
          </w:tcPr>
          <w:p>
            <w:pPr>
              <w:spacing w:lineRule="exact" w:line="600"/>
              <w:jc w:val="center"/>
            </w:pPr>
            <w:r/>
            <w:r>
              <w:rPr>
                <w:rFonts w:ascii="仿宋_GB2312" w:hAnsi="仿宋_GB2312" w:eastAsia="仿宋_GB2312"/>
                <w:b w:val="0"/>
                <w:color w:val="000000"/>
                <w:sz w:val="32"/>
              </w:rPr>
              <w:t>中小厂</w:t>
            </w:r>
          </w:p>
        </w:tc>
        <w:tc>
          <w:tcPr>
            <w:tcW w:type="dxa" w:w="3402"/>
          </w:tcPr>
          <w:p>
            <w:pPr>
              <w:spacing w:lineRule="exact" w:line="600"/>
              <w:jc w:val="center"/>
            </w:pPr>
            <w:r/>
            <w:r>
              <w:rPr>
                <w:rFonts w:ascii="仿宋_GB2312" w:hAnsi="仿宋_GB2312" w:eastAsia="仿宋_GB2312"/>
                <w:b w:val="0"/>
                <w:color w:val="000000"/>
                <w:sz w:val="32"/>
              </w:rPr>
              <w:t>技改压</w:t>
            </w:r>
          </w:p>
        </w:tc>
        <w:tc>
          <w:tcPr>
            <w:tcW w:type="dxa" w:w="3118"/>
          </w:tcPr>
          <w:p>
            <w:pPr>
              <w:spacing w:lineRule="exact" w:line="600"/>
              <w:jc w:val="center"/>
            </w:pPr>
            <w:r/>
            <w:r>
              <w:rPr>
                <w:rFonts w:ascii="仿宋_GB2312" w:hAnsi="仿宋_GB2312" w:eastAsia="仿宋_GB2312"/>
                <w:b w:val="0"/>
                <w:color w:val="000000"/>
                <w:sz w:val="32"/>
              </w:rPr>
              <w:t>投入大</w:t>
            </w:r>
          </w:p>
        </w:tc>
      </w:tr>
    </w:tbl>
    <w:p>
      <w:pPr>
        <w:spacing w:lineRule="exact" w:line="600" w:before="120" w:after="120"/>
        <w:ind w:firstLine="420"/>
        <w:jc w:val="left"/>
      </w:pPr>
      <w:r>
        <w:rPr>
          <w:rFonts w:ascii="楷体_GB2312" w:hAnsi="楷体_GB2312" w:eastAsia="楷体_GB2312"/>
          <w:b w:val="0"/>
          <w:color w:val="000000"/>
          <w:sz w:val="32"/>
        </w:rPr>
        <w:t>（三）风险因素</w:t>
      </w:r>
    </w:p>
    <w:p>
      <w:pPr>
        <w:spacing w:lineRule="exact" w:line="600" w:before="0" w:after="0"/>
        <w:ind w:firstLine="420"/>
        <w:jc w:val="both"/>
      </w:pPr>
      <w:r>
        <w:rPr>
          <w:rFonts w:ascii="仿宋_GB2312" w:hAnsi="仿宋_GB2312" w:eastAsia="仿宋_GB2312"/>
          <w:b w:val="0"/>
          <w:color w:val="000000"/>
          <w:sz w:val="32"/>
        </w:rPr>
        <w:t>风险包括：原料价格与疫病（非洲猪瘟等）风险、食品安全事件声誉风险、生猪产能政策调整风险、出口检疫与贸易摩擦风险。建议以一体化养殖、套期保值、质量追溯全覆盖与客户多元化为缓释手段。</w:t>
      </w:r>
    </w:p>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（一）品牌化与低温化</w:t>
      </w:r>
    </w:p>
    <w:p>
      <w:pPr>
        <w:spacing w:lineRule="exact" w:line="600" w:before="0" w:after="0"/>
        <w:ind w:firstLine="420"/>
        <w:jc w:val="both"/>
      </w:pPr>
      <w:r>
        <w:rPr>
          <w:rFonts w:ascii="仿宋_GB2312" w:hAnsi="仿宋_GB2312" w:eastAsia="仿宋_GB2312"/>
          <w:b w:val="0"/>
          <w:color w:val="000000"/>
          <w:sz w:val="32"/>
        </w:rPr>
        <w:t>路径为由「热鲜/白条」向冷鲜肉、低温肉制品与品牌化升级。得利斯依托低温肉制品品牌优势，强化冷却肉与高端发酵肉制品；诸城外贸提升鸡肉深加工品牌。以品牌溢价对冲原料波动，是屠宰行业摆脱低毛利的根本路径。</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升级方向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主体</w:t>
            </w:r>
          </w:p>
        </w:tc>
      </w:tr>
      <w:tr>
        <w:tc>
          <w:tcPr>
            <w:tcW w:type="dxa" w:w="2835"/>
          </w:tcPr>
          <w:p>
            <w:pPr>
              <w:spacing w:lineRule="exact" w:line="600"/>
              <w:jc w:val="center"/>
            </w:pPr>
            <w:r/>
            <w:r>
              <w:rPr>
                <w:rFonts w:ascii="仿宋_GB2312" w:hAnsi="仿宋_GB2312" w:eastAsia="仿宋_GB2312"/>
                <w:b w:val="0"/>
                <w:color w:val="000000"/>
                <w:sz w:val="32"/>
              </w:rPr>
              <w:t>冷鲜肉</w:t>
            </w:r>
          </w:p>
        </w:tc>
        <w:tc>
          <w:tcPr>
            <w:tcW w:type="dxa" w:w="3402"/>
          </w:tcPr>
          <w:p>
            <w:pPr>
              <w:spacing w:lineRule="exact" w:line="600"/>
              <w:jc w:val="center"/>
            </w:pPr>
            <w:r/>
            <w:r>
              <w:rPr>
                <w:rFonts w:ascii="仿宋_GB2312" w:hAnsi="仿宋_GB2312" w:eastAsia="仿宋_GB2312"/>
                <w:b w:val="0"/>
                <w:color w:val="000000"/>
                <w:sz w:val="32"/>
              </w:rPr>
              <w:t>冷却排酸</w:t>
            </w:r>
          </w:p>
        </w:tc>
        <w:tc>
          <w:tcPr>
            <w:tcW w:type="dxa" w:w="2835"/>
          </w:tcPr>
          <w:p>
            <w:pPr>
              <w:spacing w:lineRule="exact" w:line="600"/>
              <w:jc w:val="center"/>
            </w:pPr>
            <w:r/>
            <w:r>
              <w:rPr>
                <w:rFonts w:ascii="仿宋_GB2312" w:hAnsi="仿宋_GB2312" w:eastAsia="仿宋_GB2312"/>
                <w:b w:val="0"/>
                <w:color w:val="000000"/>
                <w:sz w:val="32"/>
              </w:rPr>
              <w:t>得利斯</w:t>
            </w:r>
          </w:p>
        </w:tc>
      </w:tr>
      <w:tr>
        <w:tc>
          <w:tcPr>
            <w:tcW w:type="dxa" w:w="2835"/>
          </w:tcPr>
          <w:p>
            <w:pPr>
              <w:spacing w:lineRule="exact" w:line="600"/>
              <w:jc w:val="center"/>
            </w:pPr>
            <w:r/>
            <w:r>
              <w:rPr>
                <w:rFonts w:ascii="仿宋_GB2312" w:hAnsi="仿宋_GB2312" w:eastAsia="仿宋_GB2312"/>
                <w:b w:val="0"/>
                <w:color w:val="000000"/>
                <w:sz w:val="32"/>
              </w:rPr>
              <w:t>低温制品</w:t>
            </w:r>
          </w:p>
        </w:tc>
        <w:tc>
          <w:tcPr>
            <w:tcW w:type="dxa" w:w="3402"/>
          </w:tcPr>
          <w:p>
            <w:pPr>
              <w:spacing w:lineRule="exact" w:line="600"/>
              <w:jc w:val="center"/>
            </w:pPr>
            <w:r/>
            <w:r>
              <w:rPr>
                <w:rFonts w:ascii="仿宋_GB2312" w:hAnsi="仿宋_GB2312" w:eastAsia="仿宋_GB2312"/>
                <w:b w:val="0"/>
                <w:color w:val="000000"/>
                <w:sz w:val="32"/>
              </w:rPr>
              <w:t>发酵乳化</w:t>
            </w:r>
          </w:p>
        </w:tc>
        <w:tc>
          <w:tcPr>
            <w:tcW w:type="dxa" w:w="2835"/>
          </w:tcPr>
          <w:p>
            <w:pPr>
              <w:spacing w:lineRule="exact" w:line="600"/>
              <w:jc w:val="center"/>
            </w:pPr>
            <w:r/>
            <w:r>
              <w:rPr>
                <w:rFonts w:ascii="仿宋_GB2312" w:hAnsi="仿宋_GB2312" w:eastAsia="仿宋_GB2312"/>
                <w:b w:val="0"/>
                <w:color w:val="000000"/>
                <w:sz w:val="32"/>
              </w:rPr>
              <w:t>品牌</w:t>
            </w:r>
          </w:p>
        </w:tc>
      </w:tr>
      <w:tr>
        <w:tc>
          <w:tcPr>
            <w:tcW w:type="dxa" w:w="2835"/>
          </w:tcPr>
          <w:p>
            <w:pPr>
              <w:spacing w:lineRule="exact" w:line="600"/>
              <w:jc w:val="center"/>
            </w:pPr>
            <w:r/>
            <w:r>
              <w:rPr>
                <w:rFonts w:ascii="仿宋_GB2312" w:hAnsi="仿宋_GB2312" w:eastAsia="仿宋_GB2312"/>
                <w:b w:val="0"/>
                <w:color w:val="000000"/>
                <w:sz w:val="32"/>
              </w:rPr>
              <w:t>鸡肉深加工</w:t>
            </w:r>
          </w:p>
        </w:tc>
        <w:tc>
          <w:tcPr>
            <w:tcW w:type="dxa" w:w="3402"/>
          </w:tcPr>
          <w:p>
            <w:pPr>
              <w:spacing w:lineRule="exact" w:line="600"/>
              <w:jc w:val="center"/>
            </w:pPr>
            <w:r/>
            <w:r>
              <w:rPr>
                <w:rFonts w:ascii="仿宋_GB2312" w:hAnsi="仿宋_GB2312" w:eastAsia="仿宋_GB2312"/>
                <w:b w:val="0"/>
                <w:color w:val="000000"/>
                <w:sz w:val="32"/>
              </w:rPr>
              <w:t>品牌</w:t>
            </w:r>
          </w:p>
        </w:tc>
        <w:tc>
          <w:tcPr>
            <w:tcW w:type="dxa" w:w="2835"/>
          </w:tcPr>
          <w:p>
            <w:pPr>
              <w:spacing w:lineRule="exact" w:line="600"/>
              <w:jc w:val="center"/>
            </w:pPr>
            <w:r/>
            <w:r>
              <w:rPr>
                <w:rFonts w:ascii="仿宋_GB2312" w:hAnsi="仿宋_GB2312" w:eastAsia="仿宋_GB2312"/>
                <w:b w:val="0"/>
                <w:color w:val="000000"/>
                <w:sz w:val="32"/>
              </w:rPr>
              <w:t>外贸</w:t>
            </w:r>
          </w:p>
        </w:tc>
      </w:tr>
      <w:tr>
        <w:tc>
          <w:tcPr>
            <w:tcW w:type="dxa" w:w="2835"/>
          </w:tcPr>
          <w:p>
            <w:pPr>
              <w:spacing w:lineRule="exact" w:line="600"/>
              <w:jc w:val="center"/>
            </w:pPr>
            <w:r/>
            <w:r>
              <w:rPr>
                <w:rFonts w:ascii="仿宋_GB2312" w:hAnsi="仿宋_GB2312" w:eastAsia="仿宋_GB2312"/>
                <w:b w:val="0"/>
                <w:color w:val="000000"/>
                <w:sz w:val="32"/>
              </w:rPr>
              <w:t>溢价</w:t>
            </w:r>
          </w:p>
        </w:tc>
        <w:tc>
          <w:tcPr>
            <w:tcW w:type="dxa" w:w="3402"/>
          </w:tcPr>
          <w:p>
            <w:pPr>
              <w:spacing w:lineRule="exact" w:line="600"/>
              <w:jc w:val="center"/>
            </w:pPr>
            <w:r/>
            <w:r>
              <w:rPr>
                <w:rFonts w:ascii="仿宋_GB2312" w:hAnsi="仿宋_GB2312" w:eastAsia="仿宋_GB2312"/>
                <w:b w:val="0"/>
                <w:color w:val="000000"/>
                <w:sz w:val="32"/>
              </w:rPr>
              <w:t>对冲波动</w:t>
            </w:r>
          </w:p>
        </w:tc>
        <w:tc>
          <w:tcPr>
            <w:tcW w:type="dxa" w:w="2835"/>
          </w:tcPr>
          <w:p>
            <w:pPr>
              <w:spacing w:lineRule="exact" w:line="600"/>
              <w:jc w:val="center"/>
            </w:pPr>
            <w:r/>
            <w:r>
              <w:rPr>
                <w:rFonts w:ascii="仿宋_GB2312" w:hAnsi="仿宋_GB2312" w:eastAsia="仿宋_GB2312"/>
                <w:b w:val="0"/>
                <w:color w:val="000000"/>
                <w:sz w:val="32"/>
              </w:rPr>
              <w:t>根本</w:t>
            </w:r>
          </w:p>
        </w:tc>
      </w:tr>
    </w:tbl>
    <w:p>
      <w:pPr>
        <w:spacing w:lineRule="exact" w:line="600" w:before="120" w:after="120"/>
        <w:ind w:firstLine="420"/>
        <w:jc w:val="left"/>
      </w:pPr>
      <w:r>
        <w:rPr>
          <w:rFonts w:ascii="楷体_GB2312" w:hAnsi="楷体_GB2312" w:eastAsia="楷体_GB2312"/>
          <w:b w:val="0"/>
          <w:color w:val="000000"/>
          <w:sz w:val="32"/>
        </w:rPr>
        <w:t>（二）屠宰—预制一体化</w:t>
      </w:r>
    </w:p>
    <w:p>
      <w:pPr>
        <w:spacing w:lineRule="exact" w:line="600" w:before="0" w:after="0"/>
        <w:ind w:firstLine="420"/>
        <w:jc w:val="both"/>
      </w:pPr>
      <w:r>
        <w:rPr>
          <w:rFonts w:ascii="仿宋_GB2312" w:hAnsi="仿宋_GB2312" w:eastAsia="仿宋_GB2312"/>
          <w:b w:val="0"/>
          <w:color w:val="000000"/>
          <w:sz w:val="32"/>
        </w:rPr>
        <w:t>以屠宰产能为基座，向下游预制菜与调理肉延伸，提升肉制品转化率与综合毛利。诸城集群「屠宰+惠发预制菜」协同的典型路径，龙头通过自有原料肉保障预制菜成本与品质稳定，形成「从农场到餐桌」闭环。</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一体化</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价值</w:t>
            </w:r>
          </w:p>
        </w:tc>
      </w:tr>
      <w:tr>
        <w:tc>
          <w:tcPr>
            <w:tcW w:type="dxa" w:w="2835"/>
          </w:tcPr>
          <w:p>
            <w:pPr>
              <w:spacing w:lineRule="exact" w:line="600"/>
              <w:jc w:val="center"/>
            </w:pPr>
            <w:r/>
            <w:r>
              <w:rPr>
                <w:rFonts w:ascii="仿宋_GB2312" w:hAnsi="仿宋_GB2312" w:eastAsia="仿宋_GB2312"/>
                <w:b w:val="0"/>
                <w:color w:val="000000"/>
                <w:sz w:val="32"/>
              </w:rPr>
              <w:t>屠宰基座</w:t>
            </w:r>
          </w:p>
        </w:tc>
        <w:tc>
          <w:tcPr>
            <w:tcW w:type="dxa" w:w="3402"/>
          </w:tcPr>
          <w:p>
            <w:pPr>
              <w:spacing w:lineRule="exact" w:line="600"/>
              <w:jc w:val="center"/>
            </w:pPr>
            <w:r/>
            <w:r>
              <w:rPr>
                <w:rFonts w:ascii="仿宋_GB2312" w:hAnsi="仿宋_GB2312" w:eastAsia="仿宋_GB2312"/>
                <w:b w:val="0"/>
                <w:color w:val="000000"/>
                <w:sz w:val="32"/>
              </w:rPr>
              <w:t>原料肉</w:t>
            </w:r>
          </w:p>
        </w:tc>
        <w:tc>
          <w:tcPr>
            <w:tcW w:type="dxa" w:w="2835"/>
          </w:tcPr>
          <w:p>
            <w:pPr>
              <w:spacing w:lineRule="exact" w:line="600"/>
              <w:jc w:val="center"/>
            </w:pPr>
            <w:r/>
            <w:r>
              <w:rPr>
                <w:rFonts w:ascii="仿宋_GB2312" w:hAnsi="仿宋_GB2312" w:eastAsia="仿宋_GB2312"/>
                <w:b w:val="0"/>
                <w:color w:val="000000"/>
                <w:sz w:val="32"/>
              </w:rPr>
              <w:t>稳定</w:t>
            </w:r>
          </w:p>
        </w:tc>
      </w:tr>
      <w:tr>
        <w:tc>
          <w:tcPr>
            <w:tcW w:type="dxa" w:w="2835"/>
          </w:tcPr>
          <w:p>
            <w:pPr>
              <w:spacing w:lineRule="exact" w:line="600"/>
              <w:jc w:val="center"/>
            </w:pPr>
            <w:r/>
            <w:r>
              <w:rPr>
                <w:rFonts w:ascii="仿宋_GB2312" w:hAnsi="仿宋_GB2312" w:eastAsia="仿宋_GB2312"/>
                <w:b w:val="0"/>
                <w:color w:val="000000"/>
                <w:sz w:val="32"/>
              </w:rPr>
              <w:t>下游</w:t>
            </w:r>
          </w:p>
        </w:tc>
        <w:tc>
          <w:tcPr>
            <w:tcW w:type="dxa" w:w="3402"/>
          </w:tcPr>
          <w:p>
            <w:pPr>
              <w:spacing w:lineRule="exact" w:line="600"/>
              <w:jc w:val="center"/>
            </w:pPr>
            <w:r/>
            <w:r>
              <w:rPr>
                <w:rFonts w:ascii="仿宋_GB2312" w:hAnsi="仿宋_GB2312" w:eastAsia="仿宋_GB2312"/>
                <w:b w:val="0"/>
                <w:color w:val="000000"/>
                <w:sz w:val="32"/>
              </w:rPr>
              <w:t>预制/调理</w:t>
            </w:r>
          </w:p>
        </w:tc>
        <w:tc>
          <w:tcPr>
            <w:tcW w:type="dxa" w:w="2835"/>
          </w:tcPr>
          <w:p>
            <w:pPr>
              <w:spacing w:lineRule="exact" w:line="600"/>
              <w:jc w:val="center"/>
            </w:pPr>
            <w:r/>
            <w:r>
              <w:rPr>
                <w:rFonts w:ascii="仿宋_GB2312" w:hAnsi="仿宋_GB2312" w:eastAsia="仿宋_GB2312"/>
                <w:b w:val="0"/>
                <w:color w:val="000000"/>
                <w:sz w:val="32"/>
              </w:rPr>
              <w:t>提毛利</w:t>
            </w:r>
          </w:p>
        </w:tc>
      </w:tr>
      <w:tr>
        <w:tc>
          <w:tcPr>
            <w:tcW w:type="dxa" w:w="2835"/>
          </w:tcPr>
          <w:p>
            <w:pPr>
              <w:spacing w:lineRule="exact" w:line="600"/>
              <w:jc w:val="center"/>
            </w:pPr>
            <w:r/>
            <w:r>
              <w:rPr>
                <w:rFonts w:ascii="仿宋_GB2312" w:hAnsi="仿宋_GB2312" w:eastAsia="仿宋_GB2312"/>
                <w:b w:val="0"/>
                <w:color w:val="000000"/>
                <w:sz w:val="32"/>
              </w:rPr>
              <w:t>协同</w:t>
            </w:r>
          </w:p>
        </w:tc>
        <w:tc>
          <w:tcPr>
            <w:tcW w:type="dxa" w:w="3402"/>
          </w:tcPr>
          <w:p>
            <w:pPr>
              <w:spacing w:lineRule="exact" w:line="600"/>
              <w:jc w:val="center"/>
            </w:pPr>
            <w:r/>
            <w:r>
              <w:rPr>
                <w:rFonts w:ascii="仿宋_GB2312" w:hAnsi="仿宋_GB2312" w:eastAsia="仿宋_GB2312"/>
                <w:b w:val="0"/>
                <w:color w:val="000000"/>
                <w:sz w:val="32"/>
              </w:rPr>
              <w:t>惠发等</w:t>
            </w:r>
          </w:p>
        </w:tc>
        <w:tc>
          <w:tcPr>
            <w:tcW w:type="dxa" w:w="2835"/>
          </w:tcPr>
          <w:p>
            <w:pPr>
              <w:spacing w:lineRule="exact" w:line="600"/>
              <w:jc w:val="center"/>
            </w:pPr>
            <w:r/>
            <w:r>
              <w:rPr>
                <w:rFonts w:ascii="仿宋_GB2312" w:hAnsi="仿宋_GB2312" w:eastAsia="仿宋_GB2312"/>
                <w:b w:val="0"/>
                <w:color w:val="000000"/>
                <w:sz w:val="32"/>
              </w:rPr>
              <w:t>闭环</w:t>
            </w:r>
          </w:p>
        </w:tc>
      </w:tr>
      <w:tr>
        <w:tc>
          <w:tcPr>
            <w:tcW w:type="dxa" w:w="2835"/>
          </w:tcPr>
          <w:p>
            <w:pPr>
              <w:spacing w:lineRule="exact" w:line="600"/>
              <w:jc w:val="center"/>
            </w:pPr>
            <w:r/>
            <w:r>
              <w:rPr>
                <w:rFonts w:ascii="仿宋_GB2312" w:hAnsi="仿宋_GB2312" w:eastAsia="仿宋_GB2312"/>
                <w:b w:val="0"/>
                <w:color w:val="000000"/>
                <w:sz w:val="32"/>
              </w:rPr>
              <w:t>转化</w:t>
            </w:r>
          </w:p>
        </w:tc>
        <w:tc>
          <w:tcPr>
            <w:tcW w:type="dxa" w:w="3402"/>
          </w:tcPr>
          <w:p>
            <w:pPr>
              <w:spacing w:lineRule="exact" w:line="600"/>
              <w:jc w:val="center"/>
            </w:pPr>
            <w:r/>
            <w:r>
              <w:rPr>
                <w:rFonts w:ascii="仿宋_GB2312" w:hAnsi="仿宋_GB2312" w:eastAsia="仿宋_GB2312"/>
                <w:b w:val="0"/>
                <w:color w:val="000000"/>
                <w:sz w:val="32"/>
              </w:rPr>
              <w:t>肉制品率</w:t>
            </w:r>
          </w:p>
        </w:tc>
        <w:tc>
          <w:tcPr>
            <w:tcW w:type="dxa" w:w="2835"/>
          </w:tcPr>
          <w:p>
            <w:pPr>
              <w:spacing w:lineRule="exact" w:line="600"/>
              <w:jc w:val="center"/>
            </w:pPr>
            <w:r/>
            <w:r>
              <w:rPr>
                <w:rFonts w:ascii="仿宋_GB2312" w:hAnsi="仿宋_GB2312" w:eastAsia="仿宋_GB2312"/>
                <w:b w:val="0"/>
                <w:color w:val="000000"/>
                <w:sz w:val="32"/>
              </w:rPr>
              <w:t>关键</w:t>
            </w:r>
          </w:p>
        </w:tc>
      </w:tr>
    </w:tbl>
    <w:p>
      <w:pPr>
        <w:spacing w:lineRule="exact" w:line="600" w:before="120" w:after="120"/>
        <w:ind w:firstLine="420"/>
        <w:jc w:val="left"/>
      </w:pPr>
      <w:r>
        <w:rPr>
          <w:rFonts w:ascii="楷体_GB2312" w:hAnsi="楷体_GB2312" w:eastAsia="楷体_GB2312"/>
          <w:b w:val="0"/>
          <w:color w:val="000000"/>
          <w:sz w:val="32"/>
        </w:rPr>
        <w:t>（三）绿色与安全升级</w:t>
      </w:r>
    </w:p>
    <w:p>
      <w:pPr>
        <w:spacing w:lineRule="exact" w:line="600" w:before="0" w:after="0"/>
        <w:ind w:firstLine="420"/>
        <w:jc w:val="both"/>
      </w:pPr>
      <w:r>
        <w:rPr>
          <w:rFonts w:ascii="仿宋_GB2312" w:hAnsi="仿宋_GB2312" w:eastAsia="仿宋_GB2312"/>
          <w:b w:val="0"/>
          <w:color w:val="000000"/>
          <w:sz w:val="32"/>
        </w:rPr>
        <w:t>推进屠宰副产物综合利用、污水处理与冷链节能，满足环保与食安要求；建设全程可追溯体系提升消费者信任。诸城以食品产业公共检测与冷链平台支撑中小企业绿色安全升级，契合健康食品定位。</w:t>
      </w:r>
    </w:p>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（一）产能与冷链融资</w:t>
      </w:r>
    </w:p>
    <w:p>
      <w:pPr>
        <w:spacing w:lineRule="exact" w:line="600" w:before="0" w:after="0"/>
        <w:ind w:firstLine="420"/>
        <w:jc w:val="both"/>
      </w:pPr>
      <w:r>
        <w:rPr>
          <w:rFonts w:ascii="仿宋_GB2312" w:hAnsi="仿宋_GB2312" w:eastAsia="仿宋_GB2312"/>
          <w:b w:val="0"/>
          <w:color w:val="000000"/>
          <w:sz w:val="32"/>
        </w:rPr>
        <w:t>屠宰线自动化改造、冷链仓储与分割车间扩建需大额资本开支，适合项目贷款、设备融资租赁与绿色信贷。得利斯等龙头企业可凭借经营现金流与授信获取低成本资金；中小企业借助技改再贷款与政银担风险补偿升级冷链。</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方式</w:t>
            </w:r>
          </w:p>
        </w:tc>
      </w:tr>
      <w:tr>
        <w:tc>
          <w:tcPr>
            <w:tcW w:type="dxa" w:w="2835"/>
          </w:tcPr>
          <w:p>
            <w:pPr>
              <w:spacing w:lineRule="exact" w:line="600"/>
              <w:jc w:val="center"/>
            </w:pPr>
            <w:r/>
            <w:r>
              <w:rPr>
                <w:rFonts w:ascii="仿宋_GB2312" w:hAnsi="仿宋_GB2312" w:eastAsia="仿宋_GB2312"/>
                <w:b w:val="0"/>
                <w:color w:val="000000"/>
                <w:sz w:val="32"/>
              </w:rPr>
              <w:t>自动化</w:t>
            </w:r>
          </w:p>
        </w:tc>
        <w:tc>
          <w:tcPr>
            <w:tcW w:type="dxa" w:w="3402"/>
          </w:tcPr>
          <w:p>
            <w:pPr>
              <w:spacing w:lineRule="exact" w:line="600"/>
              <w:jc w:val="center"/>
            </w:pPr>
            <w:r/>
            <w:r>
              <w:rPr>
                <w:rFonts w:ascii="仿宋_GB2312" w:hAnsi="仿宋_GB2312" w:eastAsia="仿宋_GB2312"/>
                <w:b w:val="0"/>
                <w:color w:val="000000"/>
                <w:sz w:val="32"/>
              </w:rPr>
              <w:t>屠宰线</w:t>
            </w:r>
          </w:p>
        </w:tc>
        <w:tc>
          <w:tcPr>
            <w:tcW w:type="dxa" w:w="2835"/>
          </w:tcPr>
          <w:p>
            <w:pPr>
              <w:spacing w:lineRule="exact" w:line="600"/>
              <w:jc w:val="center"/>
            </w:pPr>
            <w:r/>
            <w:r>
              <w:rPr>
                <w:rFonts w:ascii="仿宋_GB2312" w:hAnsi="仿宋_GB2312" w:eastAsia="仿宋_GB2312"/>
                <w:b w:val="0"/>
                <w:color w:val="000000"/>
                <w:sz w:val="32"/>
              </w:rPr>
              <w:t>项目贷</w:t>
            </w:r>
          </w:p>
        </w:tc>
      </w:tr>
      <w:tr>
        <w:tc>
          <w:tcPr>
            <w:tcW w:type="dxa" w:w="2835"/>
          </w:tcPr>
          <w:p>
            <w:pPr>
              <w:spacing w:lineRule="exact" w:line="600"/>
              <w:jc w:val="center"/>
            </w:pPr>
            <w:r/>
            <w:r>
              <w:rPr>
                <w:rFonts w:ascii="仿宋_GB2312" w:hAnsi="仿宋_GB2312" w:eastAsia="仿宋_GB2312"/>
                <w:b w:val="0"/>
                <w:color w:val="000000"/>
                <w:sz w:val="32"/>
              </w:rPr>
              <w:t>冷链</w:t>
            </w:r>
          </w:p>
        </w:tc>
        <w:tc>
          <w:tcPr>
            <w:tcW w:type="dxa" w:w="3402"/>
          </w:tcPr>
          <w:p>
            <w:pPr>
              <w:spacing w:lineRule="exact" w:line="600"/>
              <w:jc w:val="center"/>
            </w:pPr>
            <w:r/>
            <w:r>
              <w:rPr>
                <w:rFonts w:ascii="仿宋_GB2312" w:hAnsi="仿宋_GB2312" w:eastAsia="仿宋_GB2312"/>
                <w:b w:val="0"/>
                <w:color w:val="000000"/>
                <w:sz w:val="32"/>
              </w:rPr>
              <w:t>仓储</w:t>
            </w:r>
          </w:p>
        </w:tc>
        <w:tc>
          <w:tcPr>
            <w:tcW w:type="dxa" w:w="2835"/>
          </w:tcPr>
          <w:p>
            <w:pPr>
              <w:spacing w:lineRule="exact" w:line="600"/>
              <w:jc w:val="center"/>
            </w:pPr>
            <w:r/>
            <w:r>
              <w:rPr>
                <w:rFonts w:ascii="仿宋_GB2312" w:hAnsi="仿宋_GB2312" w:eastAsia="仿宋_GB2312"/>
                <w:b w:val="0"/>
                <w:color w:val="000000"/>
                <w:sz w:val="32"/>
              </w:rPr>
              <w:t>融资租赁</w:t>
            </w:r>
          </w:p>
        </w:tc>
      </w:tr>
      <w:tr>
        <w:tc>
          <w:tcPr>
            <w:tcW w:type="dxa" w:w="2835"/>
          </w:tcPr>
          <w:p>
            <w:pPr>
              <w:spacing w:lineRule="exact" w:line="600"/>
              <w:jc w:val="center"/>
            </w:pPr>
            <w:r/>
            <w:r>
              <w:rPr>
                <w:rFonts w:ascii="仿宋_GB2312" w:hAnsi="仿宋_GB2312" w:eastAsia="仿宋_GB2312"/>
                <w:b w:val="0"/>
                <w:color w:val="000000"/>
                <w:sz w:val="32"/>
              </w:rPr>
              <w:t>绿色</w:t>
            </w:r>
          </w:p>
        </w:tc>
        <w:tc>
          <w:tcPr>
            <w:tcW w:type="dxa" w:w="3402"/>
          </w:tcPr>
          <w:p>
            <w:pPr>
              <w:spacing w:lineRule="exact" w:line="600"/>
              <w:jc w:val="center"/>
            </w:pPr>
            <w:r/>
            <w:r>
              <w:rPr>
                <w:rFonts w:ascii="仿宋_GB2312" w:hAnsi="仿宋_GB2312" w:eastAsia="仿宋_GB2312"/>
                <w:b w:val="0"/>
                <w:color w:val="000000"/>
                <w:sz w:val="32"/>
              </w:rPr>
              <w:t>污水/节能</w:t>
            </w:r>
          </w:p>
        </w:tc>
        <w:tc>
          <w:tcPr>
            <w:tcW w:type="dxa" w:w="2835"/>
          </w:tcPr>
          <w:p>
            <w:pPr>
              <w:spacing w:lineRule="exact" w:line="600"/>
              <w:jc w:val="center"/>
            </w:pPr>
            <w:r/>
            <w:r>
              <w:rPr>
                <w:rFonts w:ascii="仿宋_GB2312" w:hAnsi="仿宋_GB2312" w:eastAsia="仿宋_GB2312"/>
                <w:b w:val="0"/>
                <w:color w:val="000000"/>
                <w:sz w:val="32"/>
              </w:rPr>
              <w:t>绿色信贷</w:t>
            </w:r>
          </w:p>
        </w:tc>
      </w:tr>
      <w:tr>
        <w:tc>
          <w:tcPr>
            <w:tcW w:type="dxa" w:w="2835"/>
          </w:tcPr>
          <w:p>
            <w:pPr>
              <w:spacing w:lineRule="exact" w:line="600"/>
              <w:jc w:val="center"/>
            </w:pPr>
            <w:r/>
            <w:r>
              <w:rPr>
                <w:rFonts w:ascii="仿宋_GB2312" w:hAnsi="仿宋_GB2312" w:eastAsia="仿宋_GB2312"/>
                <w:b w:val="0"/>
                <w:color w:val="000000"/>
                <w:sz w:val="32"/>
              </w:rPr>
              <w:t>中小</w:t>
            </w:r>
          </w:p>
        </w:tc>
        <w:tc>
          <w:tcPr>
            <w:tcW w:type="dxa" w:w="3402"/>
          </w:tcPr>
          <w:p>
            <w:pPr>
              <w:spacing w:lineRule="exact" w:line="600"/>
              <w:jc w:val="center"/>
            </w:pPr>
            <w:r/>
            <w:r>
              <w:rPr>
                <w:rFonts w:ascii="仿宋_GB2312" w:hAnsi="仿宋_GB2312" w:eastAsia="仿宋_GB2312"/>
                <w:b w:val="0"/>
                <w:color w:val="000000"/>
                <w:sz w:val="32"/>
              </w:rPr>
              <w:t>技改</w:t>
            </w:r>
          </w:p>
        </w:tc>
        <w:tc>
          <w:tcPr>
            <w:tcW w:type="dxa" w:w="2835"/>
          </w:tcPr>
          <w:p>
            <w:pPr>
              <w:spacing w:lineRule="exact" w:line="600"/>
              <w:jc w:val="center"/>
            </w:pPr>
            <w:r/>
            <w:r>
              <w:rPr>
                <w:rFonts w:ascii="仿宋_GB2312" w:hAnsi="仿宋_GB2312" w:eastAsia="仿宋_GB2312"/>
                <w:b w:val="0"/>
                <w:color w:val="000000"/>
                <w:sz w:val="32"/>
              </w:rPr>
              <w:t>再贷款</w:t>
            </w:r>
          </w:p>
        </w:tc>
      </w:tr>
    </w:tbl>
    <w:p>
      <w:pPr>
        <w:spacing w:lineRule="exact" w:line="600" w:before="120" w:after="120"/>
        <w:ind w:firstLine="420"/>
        <w:jc w:val="left"/>
      </w:pPr>
      <w:r>
        <w:rPr>
          <w:rFonts w:ascii="楷体_GB2312" w:hAnsi="楷体_GB2312" w:eastAsia="楷体_GB2312"/>
          <w:b w:val="0"/>
          <w:color w:val="000000"/>
          <w:sz w:val="32"/>
        </w:rPr>
        <w:t>（二）品牌建设与市场</w:t>
      </w:r>
    </w:p>
    <w:p>
      <w:pPr>
        <w:spacing w:lineRule="exact" w:line="600" w:before="0" w:after="0"/>
        <w:ind w:firstLine="420"/>
        <w:jc w:val="both"/>
      </w:pPr>
      <w:r>
        <w:rPr>
          <w:rFonts w:ascii="仿宋_GB2312" w:hAnsi="仿宋_GB2312" w:eastAsia="仿宋_GB2312"/>
          <w:b w:val="0"/>
          <w:color w:val="000000"/>
          <w:sz w:val="32"/>
        </w:rPr>
        <w:t>低温肉制品与品牌渠道拓展、预制菜品类培育需市场与研发资金投入，适合产业基金、供应链金融与并购贷款。龙头可通过定向增发或可转债募集资金，整合上下游、扩张品牌产能。</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融资方向</w:t>
            </w:r>
          </w:p>
        </w:tc>
        <w:tc>
          <w:tcPr>
            <w:tcW w:type="dxa" w:w="3402"/>
          </w:tcPr>
          <w:p>
            <w:pPr>
              <w:spacing w:lineRule="exact" w:line="600"/>
              <w:jc w:val="center"/>
            </w:pPr>
            <w:r/>
            <w:r>
              <w:rPr>
                <w:rFonts w:ascii="黑体" w:hAnsi="黑体" w:eastAsia="黑体"/>
                <w:b/>
                <w:color w:val="000000"/>
                <w:sz w:val="32"/>
              </w:rPr>
              <w:t>内容</w:t>
            </w:r>
          </w:p>
        </w:tc>
        <w:tc>
          <w:tcPr>
            <w:tcW w:type="dxa" w:w="2835"/>
          </w:tcPr>
          <w:p>
            <w:pPr>
              <w:spacing w:lineRule="exact" w:line="600"/>
              <w:jc w:val="center"/>
            </w:pPr>
            <w:r/>
            <w:r>
              <w:rPr>
                <w:rFonts w:ascii="黑体" w:hAnsi="黑体" w:eastAsia="黑体"/>
                <w:b/>
                <w:color w:val="000000"/>
                <w:sz w:val="32"/>
              </w:rPr>
              <w:t>工具</w:t>
            </w:r>
          </w:p>
        </w:tc>
      </w:tr>
      <w:tr>
        <w:tc>
          <w:tcPr>
            <w:tcW w:type="dxa" w:w="2835"/>
          </w:tcPr>
          <w:p>
            <w:pPr>
              <w:spacing w:lineRule="exact" w:line="600"/>
              <w:jc w:val="center"/>
            </w:pPr>
            <w:r/>
            <w:r>
              <w:rPr>
                <w:rFonts w:ascii="仿宋_GB2312" w:hAnsi="仿宋_GB2312" w:eastAsia="仿宋_GB2312"/>
                <w:b w:val="0"/>
                <w:color w:val="000000"/>
                <w:sz w:val="32"/>
              </w:rPr>
              <w:t>品牌</w:t>
            </w:r>
          </w:p>
        </w:tc>
        <w:tc>
          <w:tcPr>
            <w:tcW w:type="dxa" w:w="3402"/>
          </w:tcPr>
          <w:p>
            <w:pPr>
              <w:spacing w:lineRule="exact" w:line="600"/>
              <w:jc w:val="center"/>
            </w:pPr>
            <w:r/>
            <w:r>
              <w:rPr>
                <w:rFonts w:ascii="仿宋_GB2312" w:hAnsi="仿宋_GB2312" w:eastAsia="仿宋_GB2312"/>
                <w:b w:val="0"/>
                <w:color w:val="000000"/>
                <w:sz w:val="32"/>
              </w:rPr>
              <w:t>渠道</w:t>
            </w:r>
          </w:p>
        </w:tc>
        <w:tc>
          <w:tcPr>
            <w:tcW w:type="dxa" w:w="2835"/>
          </w:tcPr>
          <w:p>
            <w:pPr>
              <w:spacing w:lineRule="exact" w:line="600"/>
              <w:jc w:val="center"/>
            </w:pPr>
            <w:r/>
            <w:r>
              <w:rPr>
                <w:rFonts w:ascii="仿宋_GB2312" w:hAnsi="仿宋_GB2312" w:eastAsia="仿宋_GB2312"/>
                <w:b w:val="0"/>
                <w:color w:val="000000"/>
                <w:sz w:val="32"/>
              </w:rPr>
              <w:t>产业基金</w:t>
            </w:r>
          </w:p>
        </w:tc>
      </w:tr>
      <w:tr>
        <w:tc>
          <w:tcPr>
            <w:tcW w:type="dxa" w:w="2835"/>
          </w:tcPr>
          <w:p>
            <w:pPr>
              <w:spacing w:lineRule="exact" w:line="600"/>
              <w:jc w:val="center"/>
            </w:pPr>
            <w:r/>
            <w:r>
              <w:rPr>
                <w:rFonts w:ascii="仿宋_GB2312" w:hAnsi="仿宋_GB2312" w:eastAsia="仿宋_GB2312"/>
                <w:b w:val="0"/>
                <w:color w:val="000000"/>
                <w:sz w:val="32"/>
              </w:rPr>
              <w:t>研发</w:t>
            </w:r>
          </w:p>
        </w:tc>
        <w:tc>
          <w:tcPr>
            <w:tcW w:type="dxa" w:w="3402"/>
          </w:tcPr>
          <w:p>
            <w:pPr>
              <w:spacing w:lineRule="exact" w:line="600"/>
              <w:jc w:val="center"/>
            </w:pPr>
            <w:r/>
            <w:r>
              <w:rPr>
                <w:rFonts w:ascii="仿宋_GB2312" w:hAnsi="仿宋_GB2312" w:eastAsia="仿宋_GB2312"/>
                <w:b w:val="0"/>
                <w:color w:val="000000"/>
                <w:sz w:val="32"/>
              </w:rPr>
              <w:t>品类</w:t>
            </w:r>
          </w:p>
        </w:tc>
        <w:tc>
          <w:tcPr>
            <w:tcW w:type="dxa" w:w="2835"/>
          </w:tcPr>
          <w:p>
            <w:pPr>
              <w:spacing w:lineRule="exact" w:line="600"/>
              <w:jc w:val="center"/>
            </w:pPr>
            <w:r/>
            <w:r>
              <w:rPr>
                <w:rFonts w:ascii="仿宋_GB2312" w:hAnsi="仿宋_GB2312" w:eastAsia="仿宋_GB2312"/>
                <w:b w:val="0"/>
                <w:color w:val="000000"/>
                <w:sz w:val="32"/>
              </w:rPr>
              <w:t>供应链金融</w:t>
            </w:r>
          </w:p>
        </w:tc>
      </w:tr>
      <w:tr>
        <w:tc>
          <w:tcPr>
            <w:tcW w:type="dxa" w:w="2835"/>
          </w:tcPr>
          <w:p>
            <w:pPr>
              <w:spacing w:lineRule="exact" w:line="600"/>
              <w:jc w:val="center"/>
            </w:pPr>
            <w:r/>
            <w:r>
              <w:rPr>
                <w:rFonts w:ascii="仿宋_GB2312" w:hAnsi="仿宋_GB2312" w:eastAsia="仿宋_GB2312"/>
                <w:b w:val="0"/>
                <w:color w:val="000000"/>
                <w:sz w:val="32"/>
              </w:rPr>
              <w:t>并购</w:t>
            </w:r>
          </w:p>
        </w:tc>
        <w:tc>
          <w:tcPr>
            <w:tcW w:type="dxa" w:w="3402"/>
          </w:tcPr>
          <w:p>
            <w:pPr>
              <w:spacing w:lineRule="exact" w:line="600"/>
              <w:jc w:val="center"/>
            </w:pPr>
            <w:r/>
            <w:r>
              <w:rPr>
                <w:rFonts w:ascii="仿宋_GB2312" w:hAnsi="仿宋_GB2312" w:eastAsia="仿宋_GB2312"/>
                <w:b w:val="0"/>
                <w:color w:val="000000"/>
                <w:sz w:val="32"/>
              </w:rPr>
              <w:t>整合</w:t>
            </w:r>
          </w:p>
        </w:tc>
        <w:tc>
          <w:tcPr>
            <w:tcW w:type="dxa" w:w="2835"/>
          </w:tcPr>
          <w:p>
            <w:pPr>
              <w:spacing w:lineRule="exact" w:line="600"/>
              <w:jc w:val="center"/>
            </w:pPr>
            <w:r/>
            <w:r>
              <w:rPr>
                <w:rFonts w:ascii="仿宋_GB2312" w:hAnsi="仿宋_GB2312" w:eastAsia="仿宋_GB2312"/>
                <w:b w:val="0"/>
                <w:color w:val="000000"/>
                <w:sz w:val="32"/>
              </w:rPr>
              <w:t>并购贷</w:t>
            </w:r>
          </w:p>
        </w:tc>
      </w:tr>
      <w:tr>
        <w:tc>
          <w:tcPr>
            <w:tcW w:type="dxa" w:w="2835"/>
          </w:tcPr>
          <w:p>
            <w:pPr>
              <w:spacing w:lineRule="exact" w:line="600"/>
              <w:jc w:val="center"/>
            </w:pPr>
            <w:r/>
            <w:r>
              <w:rPr>
                <w:rFonts w:ascii="仿宋_GB2312" w:hAnsi="仿宋_GB2312" w:eastAsia="仿宋_GB2312"/>
                <w:b w:val="0"/>
                <w:color w:val="000000"/>
                <w:sz w:val="32"/>
              </w:rPr>
              <w:t>扩产</w:t>
            </w:r>
          </w:p>
        </w:tc>
        <w:tc>
          <w:tcPr>
            <w:tcW w:type="dxa" w:w="3402"/>
          </w:tcPr>
          <w:p>
            <w:pPr>
              <w:spacing w:lineRule="exact" w:line="600"/>
              <w:jc w:val="center"/>
            </w:pPr>
            <w:r/>
            <w:r>
              <w:rPr>
                <w:rFonts w:ascii="仿宋_GB2312" w:hAnsi="仿宋_GB2312" w:eastAsia="仿宋_GB2312"/>
                <w:b w:val="0"/>
                <w:color w:val="000000"/>
                <w:sz w:val="32"/>
              </w:rPr>
              <w:t>可转债</w:t>
            </w:r>
          </w:p>
        </w:tc>
        <w:tc>
          <w:tcPr>
            <w:tcW w:type="dxa" w:w="2835"/>
          </w:tcPr>
          <w:p>
            <w:pPr>
              <w:spacing w:lineRule="exact" w:line="600"/>
              <w:jc w:val="center"/>
            </w:pPr>
            <w:r/>
            <w:r>
              <w:rPr>
                <w:rFonts w:ascii="仿宋_GB2312" w:hAnsi="仿宋_GB2312" w:eastAsia="仿宋_GB2312"/>
                <w:b w:val="0"/>
                <w:color w:val="000000"/>
                <w:sz w:val="32"/>
              </w:rPr>
              <w:t>再融资</w:t>
            </w:r>
          </w:p>
        </w:tc>
      </w:tr>
    </w:tbl>
    <w:p>
      <w:pPr>
        <w:spacing w:lineRule="exact" w:line="600" w:before="120" w:after="120"/>
        <w:ind w:firstLine="420"/>
        <w:jc w:val="left"/>
      </w:pPr>
      <w:r>
        <w:rPr>
          <w:rFonts w:ascii="楷体_GB2312" w:hAnsi="楷体_GB2312" w:eastAsia="楷体_GB2312"/>
          <w:b w:val="0"/>
          <w:color w:val="000000"/>
          <w:sz w:val="32"/>
        </w:rPr>
        <w:t>（三）安全与数智改造</w:t>
      </w:r>
    </w:p>
    <w:p>
      <w:pPr>
        <w:spacing w:lineRule="exact" w:line="600" w:before="0" w:after="0"/>
        <w:ind w:firstLine="420"/>
        <w:jc w:val="both"/>
      </w:pPr>
      <w:r>
        <w:rPr>
          <w:rFonts w:ascii="仿宋_GB2312" w:hAnsi="仿宋_GB2312" w:eastAsia="仿宋_GB2312"/>
          <w:b w:val="0"/>
          <w:color w:val="000000"/>
          <w:sz w:val="32"/>
        </w:rPr>
        <w:t>可追溯体系、MES与冷链物联网建设符合数字农业与食安导向，适合数字化转型贷款、知识产权质押与服务型制造相关支持。中小企业以轻资产特征可借助应收账款与存货融资缓解资金压力。</w:t>
      </w:r>
    </w:p>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得利斯股份有限公司（002330）：诸城健康食品及预制菜集群链主之一，农业产业化国家重点龙头企业，国内冷却肉与低温肉制品先行者。2023年实现营业收入30.92亿元，具备生猪屠宰、分割、冷却肉及低温肉制品（圆火腿、萨拉米等）全链条能力，拥有国家级企业技术中心资质积淀；2023年归母净利润亏损3399.7万元，反映猪价低位与费用压力，正加快肉制品与预制菜转化提升盈利。来源：2023年年报、中国肉类协会。</w:t>
      </w:r>
    </w:p>
    <w:p>
      <w:pPr>
        <w:spacing w:lineRule="exact" w:line="600" w:before="0" w:after="0"/>
        <w:ind w:firstLine="420"/>
        <w:jc w:val="both"/>
      </w:pPr>
      <w:r>
        <w:rPr>
          <w:rFonts w:ascii="仿宋_GB2312" w:hAnsi="仿宋_GB2312" w:eastAsia="仿宋_GB2312"/>
          <w:b w:val="0"/>
          <w:color w:val="000000"/>
          <w:sz w:val="32"/>
        </w:rPr>
        <w:t>惠发食品股份有限公司（603536）：诸城健康食品及预制菜集群骨干，全国最大速冻肉丸基地核心企业。2023年营收19.97亿元（+26.36%）、归母净利润751.59万元，丸制品收入5.15亿元，预制菜与速冻调理食品制造能力突出，与屠宰环节形成「原料+预制」协同。来源：2023年年报、诸城市公开报道。</w:t>
      </w:r>
    </w:p>
    <w:p>
      <w:pPr>
        <w:spacing w:lineRule="exact" w:line="600" w:before="0" w:after="0"/>
        <w:ind w:firstLine="420"/>
        <w:jc w:val="both"/>
      </w:pPr>
      <w:r>
        <w:rPr>
          <w:rFonts w:ascii="仿宋_GB2312" w:hAnsi="仿宋_GB2312" w:eastAsia="仿宋_GB2312"/>
          <w:b w:val="0"/>
          <w:color w:val="000000"/>
          <w:sz w:val="32"/>
        </w:rPr>
        <w:t>诸城外贸有限责任公司：诸城大型肉鸡全产业链企业，鸡肉屠宰加工与出口积淀深厚，是集群禽肉原料与出口的核心支撑。注：公开财务与经营口径有限（简报标注「待核」），以集群共性研判其具备肉鸡自繁自养、屠宰加工与出口一体化能力，承接日韩及东南亚鸡肉出口订单。来源：诸城市企业信息（公开资料有限）。</w:t>
      </w:r>
    </w:p>
    <w:p>
      <w:pPr>
        <w:spacing w:lineRule="exact" w:line="600" w:before="0" w:after="0"/>
        <w:jc w:val="left"/>
      </w:pPr>
      <w:r>
        <w:rPr>
          <w:rFonts w:ascii="仿宋_GB2312" w:hAnsi="仿宋_GB2312" w:eastAsia="仿宋_GB2312"/>
          <w:b w:val="0"/>
          <w:color w:val="000000"/>
          <w:sz w:val="28"/>
        </w:rPr>
        <w:t>主要数据来源：得利斯股份有限公司（002330）2023年年度报告；惠发食品股份有限公司（603536）2023年年度报告；诸城市人民政府官网：健康食品及预制菜产业公开报道；山东省畜牧兽医局：生猪、家禽出栏公开数据；国家统计局：2023年猪牛羊禽肉产量数据；中国肉类协会：屠宰及肉制品加工行业公开解读；天眼查：诸城外贸有限责任公司工商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