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山东潍坊诸城市(健康食品及预制菜)特色产业集群</w:t>
      </w:r>
    </w:p>
    <w:p>
      <w:pPr>
        <w:spacing w:lineRule="exact" w:line="600" w:before="240" w:after="240"/>
        <w:ind w:firstLine="0"/>
        <w:jc w:val="center"/>
      </w:pPr>
      <w:r>
        <w:rPr>
          <w:rFonts w:ascii="方正小标宋简体" w:hAnsi="方正小标宋简体" w:eastAsia="方正小标宋简体"/>
          <w:b w:val="0"/>
          <w:color w:val="000000"/>
          <w:sz w:val="44"/>
        </w:rPr>
        <w:t>预制菜与速冻调理食品制造行业深度分析报告</w:t>
      </w:r>
    </w:p>
    <w:p>
      <w:pPr>
        <w:spacing w:lineRule="exact" w:line="600" w:before="0" w:after="0"/>
        <w:jc w:val="left"/>
      </w:pPr>
      <w:r>
        <w:rPr>
          <w:rFonts w:ascii="仿宋_GB2312" w:hAnsi="仿宋_GB2312" w:eastAsia="仿宋_GB2312"/>
          <w:b w:val="0"/>
          <w:color w:val="000000"/>
          <w:sz w:val="28"/>
        </w:rPr>
        <w:t>本报告数据来源于诸城市人民政府及工信部门公开报道、得利斯（002330）2023年年报、惠发食品（603536）2023年年报、中国烹饪协会预制菜委员会及行业研究公开数据。数据截至2023—2024年。部分集群企业细分产能公开数据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预制菜与速冻调理食品制造是诸城健康食品及预制菜特色产业集群的核心与名片。诸城拥有预制菜相关企业556家、规上52家，2023年规上预制菜产值达165亿元（同比+16%），是全国最大速冻肉丸基地，并拥有得利斯（002330）、惠发食品（603536）两家A股上市公司。得利斯2023年预制菜业务收入6.53亿元但整体亏损3399.7万元；惠发食品2023年营收19.97亿元（+26.36%）、归母净利润751.59万元、丸制品收入5.15亿元。全国预制菜市场规模已超5000亿元且高速增长，山东产业规模全国领先。机遇在B端餐饮供应链与C端便捷消费双轮驱动，挑战在标准缺失、同质化竞争、冷链成本与盈利波动。</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诸城预制菜企业总数</w:t>
            </w:r>
          </w:p>
        </w:tc>
        <w:tc>
          <w:tcPr>
            <w:tcW w:type="dxa" w:w="2835"/>
          </w:tcPr>
          <w:p>
            <w:pPr>
              <w:spacing w:lineRule="exact" w:line="600"/>
              <w:jc w:val="center"/>
            </w:pPr>
            <w:r/>
            <w:r>
              <w:rPr>
                <w:rFonts w:ascii="仿宋_GB2312" w:hAnsi="仿宋_GB2312" w:eastAsia="仿宋_GB2312"/>
                <w:b w:val="0"/>
                <w:color w:val="000000"/>
                <w:sz w:val="32"/>
              </w:rPr>
              <w:t>556家</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诸城规上预制菜企业</w:t>
            </w:r>
          </w:p>
        </w:tc>
        <w:tc>
          <w:tcPr>
            <w:tcW w:type="dxa" w:w="2835"/>
          </w:tcPr>
          <w:p>
            <w:pPr>
              <w:spacing w:lineRule="exact" w:line="600"/>
              <w:jc w:val="center"/>
            </w:pPr>
            <w:r/>
            <w:r>
              <w:rPr>
                <w:rFonts w:ascii="仿宋_GB2312" w:hAnsi="仿宋_GB2312" w:eastAsia="仿宋_GB2312"/>
                <w:b w:val="0"/>
                <w:color w:val="000000"/>
                <w:sz w:val="32"/>
              </w:rPr>
              <w:t>52家</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诸城规上预制菜产值2023</w:t>
            </w:r>
          </w:p>
        </w:tc>
        <w:tc>
          <w:tcPr>
            <w:tcW w:type="dxa" w:w="2835"/>
          </w:tcPr>
          <w:p>
            <w:pPr>
              <w:spacing w:lineRule="exact" w:line="600"/>
              <w:jc w:val="center"/>
            </w:pPr>
            <w:r/>
            <w:r>
              <w:rPr>
                <w:rFonts w:ascii="仿宋_GB2312" w:hAnsi="仿宋_GB2312" w:eastAsia="仿宋_GB2312"/>
                <w:b w:val="0"/>
                <w:color w:val="000000"/>
                <w:sz w:val="32"/>
              </w:rPr>
              <w:t>165亿元（+16%）</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全国预制菜市场规模</w:t>
            </w:r>
          </w:p>
        </w:tc>
        <w:tc>
          <w:tcPr>
            <w:tcW w:type="dxa" w:w="2835"/>
          </w:tcPr>
          <w:p>
            <w:pPr>
              <w:spacing w:lineRule="exact" w:line="600"/>
              <w:jc w:val="center"/>
            </w:pPr>
            <w:r/>
            <w:r>
              <w:rPr>
                <w:rFonts w:ascii="仿宋_GB2312" w:hAnsi="仿宋_GB2312" w:eastAsia="仿宋_GB2312"/>
                <w:b w:val="0"/>
                <w:color w:val="000000"/>
                <w:sz w:val="32"/>
              </w:rPr>
              <w:t>超5000亿元</w:t>
            </w:r>
          </w:p>
        </w:tc>
        <w:tc>
          <w:tcPr>
            <w:tcW w:type="dxa" w:w="3118"/>
          </w:tcPr>
          <w:p>
            <w:pPr>
              <w:spacing w:lineRule="exact" w:line="600"/>
              <w:jc w:val="center"/>
            </w:pPr>
            <w:r/>
            <w:r>
              <w:rPr>
                <w:rFonts w:ascii="仿宋_GB2312" w:hAnsi="仿宋_GB2312" w:eastAsia="仿宋_GB2312"/>
                <w:b w:val="0"/>
                <w:color w:val="000000"/>
                <w:sz w:val="32"/>
              </w:rPr>
              <w:t>行业研究</w:t>
            </w:r>
          </w:p>
        </w:tc>
      </w:tr>
      <w:tr>
        <w:tc>
          <w:tcPr>
            <w:tcW w:type="dxa" w:w="2835"/>
          </w:tcPr>
          <w:p>
            <w:pPr>
              <w:spacing w:lineRule="exact" w:line="600"/>
              <w:jc w:val="center"/>
            </w:pPr>
            <w:r/>
            <w:r>
              <w:rPr>
                <w:rFonts w:ascii="仿宋_GB2312" w:hAnsi="仿宋_GB2312" w:eastAsia="仿宋_GB2312"/>
                <w:b w:val="0"/>
                <w:color w:val="000000"/>
                <w:sz w:val="32"/>
              </w:rPr>
              <w:t>得利斯预制菜收入</w:t>
            </w:r>
          </w:p>
        </w:tc>
        <w:tc>
          <w:tcPr>
            <w:tcW w:type="dxa" w:w="2835"/>
          </w:tcPr>
          <w:p>
            <w:pPr>
              <w:spacing w:lineRule="exact" w:line="600"/>
              <w:jc w:val="center"/>
            </w:pPr>
            <w:r/>
            <w:r>
              <w:rPr>
                <w:rFonts w:ascii="仿宋_GB2312" w:hAnsi="仿宋_GB2312" w:eastAsia="仿宋_GB2312"/>
                <w:b w:val="0"/>
                <w:color w:val="000000"/>
                <w:sz w:val="32"/>
              </w:rPr>
              <w:t>6.53亿元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惠发食品营收</w:t>
            </w:r>
          </w:p>
        </w:tc>
        <w:tc>
          <w:tcPr>
            <w:tcW w:type="dxa" w:w="2835"/>
          </w:tcPr>
          <w:p>
            <w:pPr>
              <w:spacing w:lineRule="exact" w:line="600"/>
              <w:jc w:val="center"/>
            </w:pPr>
            <w:r/>
            <w:r>
              <w:rPr>
                <w:rFonts w:ascii="仿宋_GB2312" w:hAnsi="仿宋_GB2312" w:eastAsia="仿宋_GB2312"/>
                <w:b w:val="0"/>
                <w:color w:val="000000"/>
                <w:sz w:val="32"/>
              </w:rPr>
              <w:t>19.97亿元（+26.36%）</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惠发丸制品收入</w:t>
            </w:r>
          </w:p>
        </w:tc>
        <w:tc>
          <w:tcPr>
            <w:tcW w:type="dxa" w:w="2835"/>
          </w:tcPr>
          <w:p>
            <w:pPr>
              <w:spacing w:lineRule="exact" w:line="600"/>
              <w:jc w:val="center"/>
            </w:pPr>
            <w:r/>
            <w:r>
              <w:rPr>
                <w:rFonts w:ascii="仿宋_GB2312" w:hAnsi="仿宋_GB2312" w:eastAsia="仿宋_GB2312"/>
                <w:b w:val="0"/>
                <w:color w:val="000000"/>
                <w:sz w:val="32"/>
              </w:rPr>
              <w:t>5.15亿元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惠发归母净利润</w:t>
            </w:r>
          </w:p>
        </w:tc>
        <w:tc>
          <w:tcPr>
            <w:tcW w:type="dxa" w:w="2835"/>
          </w:tcPr>
          <w:p>
            <w:pPr>
              <w:spacing w:lineRule="exact" w:line="600"/>
              <w:jc w:val="center"/>
            </w:pPr>
            <w:r/>
            <w:r>
              <w:rPr>
                <w:rFonts w:ascii="仿宋_GB2312" w:hAnsi="仿宋_GB2312" w:eastAsia="仿宋_GB2312"/>
                <w:b w:val="0"/>
                <w:color w:val="000000"/>
                <w:sz w:val="32"/>
              </w:rPr>
              <w:t>751.59万元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得利斯归母净利润</w:t>
            </w:r>
          </w:p>
        </w:tc>
        <w:tc>
          <w:tcPr>
            <w:tcW w:type="dxa" w:w="2835"/>
          </w:tcPr>
          <w:p>
            <w:pPr>
              <w:spacing w:lineRule="exact" w:line="600"/>
              <w:jc w:val="center"/>
            </w:pPr>
            <w:r/>
            <w:r>
              <w:rPr>
                <w:rFonts w:ascii="仿宋_GB2312" w:hAnsi="仿宋_GB2312" w:eastAsia="仿宋_GB2312"/>
                <w:b w:val="0"/>
                <w:color w:val="000000"/>
                <w:sz w:val="32"/>
              </w:rPr>
              <w:t>亏损3399.7万元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诸城定位</w:t>
            </w:r>
          </w:p>
        </w:tc>
        <w:tc>
          <w:tcPr>
            <w:tcW w:type="dxa" w:w="2835"/>
          </w:tcPr>
          <w:p>
            <w:pPr>
              <w:spacing w:lineRule="exact" w:line="600"/>
              <w:jc w:val="center"/>
            </w:pPr>
            <w:r/>
            <w:r>
              <w:rPr>
                <w:rFonts w:ascii="仿宋_GB2312" w:hAnsi="仿宋_GB2312" w:eastAsia="仿宋_GB2312"/>
                <w:b w:val="0"/>
                <w:color w:val="000000"/>
                <w:sz w:val="32"/>
              </w:rPr>
              <w:t>全国最大速冻肉丸基地</w:t>
            </w:r>
          </w:p>
        </w:tc>
        <w:tc>
          <w:tcPr>
            <w:tcW w:type="dxa" w:w="3118"/>
          </w:tcPr>
          <w:p>
            <w:pPr>
              <w:spacing w:lineRule="exact" w:line="600"/>
              <w:jc w:val="center"/>
            </w:pPr>
            <w:r/>
            <w:r>
              <w:rPr>
                <w:rFonts w:ascii="仿宋_GB2312" w:hAnsi="仿宋_GB2312" w:eastAsia="仿宋_GB2312"/>
                <w:b w:val="0"/>
                <w:color w:val="000000"/>
                <w:sz w:val="32"/>
              </w:rPr>
              <w:t>诸城公开</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（一）国家政策导向</w:t>
      </w:r>
    </w:p>
    <w:p>
      <w:pPr>
        <w:spacing w:lineRule="exact" w:line="600" w:before="0" w:after="0"/>
        <w:ind w:firstLine="420"/>
        <w:jc w:val="both"/>
      </w:pPr>
      <w:r>
        <w:rPr>
          <w:rFonts w:ascii="仿宋_GB2312" w:hAnsi="仿宋_GB2312" w:eastAsia="仿宋_GB2312"/>
          <w:b w:val="0"/>
          <w:color w:val="000000"/>
          <w:sz w:val="32"/>
        </w:rPr>
        <w:t>预制菜纳入国家扩大内需与农产品加工业升级范畴，2024年市场监管总局等六部门出台«预制菜食品安全监管通知»，明确预制菜定义、禁止添加防腐剂、强化冷链与标签管理，行业迈入规范发展期。农业农村部推动农产品就地加工转化，鼓励「粮头食尾」「农头工尾」，预制菜作为农产品增值关键路径获政策护航。</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政策</w:t>
            </w:r>
          </w:p>
        </w:tc>
        <w:tc>
          <w:tcPr>
            <w:tcW w:type="dxa" w:w="283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3118"/>
          </w:tcPr>
          <w:p>
            <w:pPr>
              <w:spacing w:lineRule="exact" w:line="600"/>
              <w:jc w:val="center"/>
            </w:pPr>
            <w:r/>
            <w:r>
              <w:rPr>
                <w:rFonts w:ascii="仿宋_GB2312" w:hAnsi="仿宋_GB2312" w:eastAsia="仿宋_GB2312"/>
                <w:b w:val="0"/>
                <w:color w:val="000000"/>
                <w:sz w:val="32"/>
              </w:rPr>
              <w:t>六部门监管通知</w:t>
            </w:r>
          </w:p>
        </w:tc>
        <w:tc>
          <w:tcPr>
            <w:tcW w:type="dxa" w:w="2835"/>
          </w:tcPr>
          <w:p>
            <w:pPr>
              <w:spacing w:lineRule="exact" w:line="600"/>
              <w:jc w:val="center"/>
            </w:pPr>
            <w:r/>
            <w:r>
              <w:rPr>
                <w:rFonts w:ascii="仿宋_GB2312" w:hAnsi="仿宋_GB2312" w:eastAsia="仿宋_GB2312"/>
                <w:b w:val="0"/>
                <w:color w:val="000000"/>
                <w:sz w:val="32"/>
              </w:rPr>
              <w:t>2024</w:t>
            </w:r>
          </w:p>
        </w:tc>
        <w:tc>
          <w:tcPr>
            <w:tcW w:type="dxa" w:w="3118"/>
          </w:tcPr>
          <w:p>
            <w:pPr>
              <w:spacing w:lineRule="exact" w:line="600"/>
              <w:jc w:val="center"/>
            </w:pPr>
            <w:r/>
            <w:r>
              <w:rPr>
                <w:rFonts w:ascii="仿宋_GB2312" w:hAnsi="仿宋_GB2312" w:eastAsia="仿宋_GB2312"/>
                <w:b w:val="0"/>
                <w:color w:val="000000"/>
                <w:sz w:val="32"/>
              </w:rPr>
              <w:t>规范</w:t>
            </w:r>
          </w:p>
        </w:tc>
      </w:tr>
      <w:tr>
        <w:tc>
          <w:tcPr>
            <w:tcW w:type="dxa" w:w="3118"/>
          </w:tcPr>
          <w:p>
            <w:pPr>
              <w:spacing w:lineRule="exact" w:line="600"/>
              <w:jc w:val="center"/>
            </w:pPr>
            <w:r/>
            <w:r>
              <w:rPr>
                <w:rFonts w:ascii="仿宋_GB2312" w:hAnsi="仿宋_GB2312" w:eastAsia="仿宋_GB2312"/>
                <w:b w:val="0"/>
                <w:color w:val="000000"/>
                <w:sz w:val="32"/>
              </w:rPr>
              <w:t>禁防腐剂</w:t>
            </w:r>
          </w:p>
        </w:tc>
        <w:tc>
          <w:tcPr>
            <w:tcW w:type="dxa" w:w="2835"/>
          </w:tcPr>
          <w:p>
            <w:pPr>
              <w:spacing w:lineRule="exact" w:line="600"/>
              <w:jc w:val="center"/>
            </w:pPr>
            <w:r/>
            <w:r>
              <w:rPr>
                <w:rFonts w:ascii="仿宋_GB2312" w:hAnsi="仿宋_GB2312" w:eastAsia="仿宋_GB2312"/>
                <w:b w:val="0"/>
                <w:color w:val="000000"/>
                <w:sz w:val="32"/>
              </w:rPr>
              <w:t>强制</w:t>
            </w:r>
          </w:p>
        </w:tc>
        <w:tc>
          <w:tcPr>
            <w:tcW w:type="dxa" w:w="3118"/>
          </w:tcPr>
          <w:p>
            <w:pPr>
              <w:spacing w:lineRule="exact" w:line="600"/>
              <w:jc w:val="center"/>
            </w:pPr>
            <w:r/>
            <w:r>
              <w:rPr>
                <w:rFonts w:ascii="仿宋_GB2312" w:hAnsi="仿宋_GB2312" w:eastAsia="仿宋_GB2312"/>
                <w:b w:val="0"/>
                <w:color w:val="000000"/>
                <w:sz w:val="32"/>
              </w:rPr>
              <w:t>安全</w:t>
            </w:r>
          </w:p>
        </w:tc>
      </w:tr>
      <w:tr>
        <w:tc>
          <w:tcPr>
            <w:tcW w:type="dxa" w:w="3118"/>
          </w:tcPr>
          <w:p>
            <w:pPr>
              <w:spacing w:lineRule="exact" w:line="600"/>
              <w:jc w:val="center"/>
            </w:pPr>
            <w:r/>
            <w:r>
              <w:rPr>
                <w:rFonts w:ascii="仿宋_GB2312" w:hAnsi="仿宋_GB2312" w:eastAsia="仿宋_GB2312"/>
                <w:b w:val="0"/>
                <w:color w:val="000000"/>
                <w:sz w:val="32"/>
              </w:rPr>
              <w:t>冷链标签</w:t>
            </w:r>
          </w:p>
        </w:tc>
        <w:tc>
          <w:tcPr>
            <w:tcW w:type="dxa" w:w="2835"/>
          </w:tcPr>
          <w:p>
            <w:pPr>
              <w:spacing w:lineRule="exact" w:line="600"/>
              <w:jc w:val="center"/>
            </w:pPr>
            <w:r/>
            <w:r>
              <w:rPr>
                <w:rFonts w:ascii="仿宋_GB2312" w:hAnsi="仿宋_GB2312" w:eastAsia="仿宋_GB2312"/>
                <w:b w:val="0"/>
                <w:color w:val="000000"/>
                <w:sz w:val="32"/>
              </w:rPr>
              <w:t>强化</w:t>
            </w:r>
          </w:p>
        </w:tc>
        <w:tc>
          <w:tcPr>
            <w:tcW w:type="dxa" w:w="3118"/>
          </w:tcPr>
          <w:p>
            <w:pPr>
              <w:spacing w:lineRule="exact" w:line="600"/>
              <w:jc w:val="center"/>
            </w:pPr>
            <w:r/>
            <w:r>
              <w:rPr>
                <w:rFonts w:ascii="仿宋_GB2312" w:hAnsi="仿宋_GB2312" w:eastAsia="仿宋_GB2312"/>
                <w:b w:val="0"/>
                <w:color w:val="000000"/>
                <w:sz w:val="32"/>
              </w:rPr>
              <w:t>门槛</w:t>
            </w:r>
          </w:p>
        </w:tc>
      </w:tr>
      <w:tr>
        <w:tc>
          <w:tcPr>
            <w:tcW w:type="dxa" w:w="3118"/>
          </w:tcPr>
          <w:p>
            <w:pPr>
              <w:spacing w:lineRule="exact" w:line="600"/>
              <w:jc w:val="center"/>
            </w:pPr>
            <w:r/>
            <w:r>
              <w:rPr>
                <w:rFonts w:ascii="仿宋_GB2312" w:hAnsi="仿宋_GB2312" w:eastAsia="仿宋_GB2312"/>
                <w:b w:val="0"/>
                <w:color w:val="000000"/>
                <w:sz w:val="32"/>
              </w:rPr>
              <w:t>农头工尾</w:t>
            </w:r>
          </w:p>
        </w:tc>
        <w:tc>
          <w:tcPr>
            <w:tcW w:type="dxa" w:w="2835"/>
          </w:tcPr>
          <w:p>
            <w:pPr>
              <w:spacing w:lineRule="exact" w:line="600"/>
              <w:jc w:val="center"/>
            </w:pPr>
            <w:r/>
            <w:r>
              <w:rPr>
                <w:rFonts w:ascii="仿宋_GB2312" w:hAnsi="仿宋_GB2312" w:eastAsia="仿宋_GB2312"/>
                <w:b w:val="0"/>
                <w:color w:val="000000"/>
                <w:sz w:val="32"/>
              </w:rPr>
              <w:t>鼓励</w:t>
            </w:r>
          </w:p>
        </w:tc>
        <w:tc>
          <w:tcPr>
            <w:tcW w:type="dxa" w:w="3118"/>
          </w:tcPr>
          <w:p>
            <w:pPr>
              <w:spacing w:lineRule="exact" w:line="600"/>
              <w:jc w:val="center"/>
            </w:pPr>
            <w:r/>
            <w:r>
              <w:rPr>
                <w:rFonts w:ascii="仿宋_GB2312" w:hAnsi="仿宋_GB2312" w:eastAsia="仿宋_GB2312"/>
                <w:b w:val="0"/>
                <w:color w:val="000000"/>
                <w:sz w:val="32"/>
              </w:rPr>
              <w:t>增值</w:t>
            </w:r>
          </w:p>
        </w:tc>
      </w:tr>
    </w:tbl>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诸城将预制菜作为主导产业，依托屠宰及肉制品加工优势，打造「中国预制菜之都」名片。全市预制菜企业556家、规上52家，形成从原料到终端的完整产业生态，得利斯、惠发双上市公司引领，是全国重要的速冻调理与肉丸生产基地，区域品牌与集群效应突出。</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区域要素</w:t>
            </w:r>
          </w:p>
        </w:tc>
        <w:tc>
          <w:tcPr>
            <w:tcW w:type="dxa" w:w="3118"/>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企业</w:t>
            </w:r>
          </w:p>
        </w:tc>
        <w:tc>
          <w:tcPr>
            <w:tcW w:type="dxa" w:w="3118"/>
          </w:tcPr>
          <w:p>
            <w:pPr>
              <w:spacing w:lineRule="exact" w:line="600"/>
              <w:jc w:val="center"/>
            </w:pPr>
            <w:r/>
            <w:r>
              <w:rPr>
                <w:rFonts w:ascii="仿宋_GB2312" w:hAnsi="仿宋_GB2312" w:eastAsia="仿宋_GB2312"/>
                <w:b w:val="0"/>
                <w:color w:val="000000"/>
                <w:sz w:val="32"/>
              </w:rPr>
              <w:t>556家</w:t>
            </w:r>
          </w:p>
        </w:tc>
        <w:tc>
          <w:tcPr>
            <w:tcW w:type="dxa" w:w="3118"/>
          </w:tcPr>
          <w:p>
            <w:pPr>
              <w:spacing w:lineRule="exact" w:line="600"/>
              <w:jc w:val="center"/>
            </w:pPr>
            <w:r/>
            <w:r>
              <w:rPr>
                <w:rFonts w:ascii="仿宋_GB2312" w:hAnsi="仿宋_GB2312" w:eastAsia="仿宋_GB2312"/>
                <w:b w:val="0"/>
                <w:color w:val="000000"/>
                <w:sz w:val="32"/>
              </w:rPr>
              <w:t>规上52</w:t>
            </w:r>
          </w:p>
        </w:tc>
      </w:tr>
      <w:tr>
        <w:tc>
          <w:tcPr>
            <w:tcW w:type="dxa" w:w="2835"/>
          </w:tcPr>
          <w:p>
            <w:pPr>
              <w:spacing w:lineRule="exact" w:line="600"/>
              <w:jc w:val="center"/>
            </w:pPr>
            <w:r/>
            <w:r>
              <w:rPr>
                <w:rFonts w:ascii="仿宋_GB2312" w:hAnsi="仿宋_GB2312" w:eastAsia="仿宋_GB2312"/>
                <w:b w:val="0"/>
                <w:color w:val="000000"/>
                <w:sz w:val="32"/>
              </w:rPr>
              <w:t>定位</w:t>
            </w:r>
          </w:p>
        </w:tc>
        <w:tc>
          <w:tcPr>
            <w:tcW w:type="dxa" w:w="3118"/>
          </w:tcPr>
          <w:p>
            <w:pPr>
              <w:spacing w:lineRule="exact" w:line="600"/>
              <w:jc w:val="center"/>
            </w:pPr>
            <w:r/>
            <w:r>
              <w:rPr>
                <w:rFonts w:ascii="仿宋_GB2312" w:hAnsi="仿宋_GB2312" w:eastAsia="仿宋_GB2312"/>
                <w:b w:val="0"/>
                <w:color w:val="000000"/>
                <w:sz w:val="32"/>
              </w:rPr>
              <w:t>预制菜之都</w:t>
            </w:r>
          </w:p>
        </w:tc>
        <w:tc>
          <w:tcPr>
            <w:tcW w:type="dxa" w:w="3118"/>
          </w:tcPr>
          <w:p>
            <w:pPr>
              <w:spacing w:lineRule="exact" w:line="600"/>
              <w:jc w:val="center"/>
            </w:pPr>
            <w:r/>
            <w:r>
              <w:rPr>
                <w:rFonts w:ascii="仿宋_GB2312" w:hAnsi="仿宋_GB2312" w:eastAsia="仿宋_GB2312"/>
                <w:b w:val="0"/>
                <w:color w:val="000000"/>
                <w:sz w:val="32"/>
              </w:rPr>
              <w:t>名片</w:t>
            </w:r>
          </w:p>
        </w:tc>
      </w:tr>
      <w:tr>
        <w:tc>
          <w:tcPr>
            <w:tcW w:type="dxa" w:w="2835"/>
          </w:tcPr>
          <w:p>
            <w:pPr>
              <w:spacing w:lineRule="exact" w:line="600"/>
              <w:jc w:val="center"/>
            </w:pPr>
            <w:r/>
            <w:r>
              <w:rPr>
                <w:rFonts w:ascii="仿宋_GB2312" w:hAnsi="仿宋_GB2312" w:eastAsia="仿宋_GB2312"/>
                <w:b w:val="0"/>
                <w:color w:val="000000"/>
                <w:sz w:val="32"/>
              </w:rPr>
              <w:t>双上市</w:t>
            </w:r>
          </w:p>
        </w:tc>
        <w:tc>
          <w:tcPr>
            <w:tcW w:type="dxa" w:w="3118"/>
          </w:tcPr>
          <w:p>
            <w:pPr>
              <w:spacing w:lineRule="exact" w:line="600"/>
              <w:jc w:val="center"/>
            </w:pPr>
            <w:r/>
            <w:r>
              <w:rPr>
                <w:rFonts w:ascii="仿宋_GB2312" w:hAnsi="仿宋_GB2312" w:eastAsia="仿宋_GB2312"/>
                <w:b w:val="0"/>
                <w:color w:val="000000"/>
                <w:sz w:val="32"/>
              </w:rPr>
              <w:t>得利斯/惠发</w:t>
            </w:r>
          </w:p>
        </w:tc>
        <w:tc>
          <w:tcPr>
            <w:tcW w:type="dxa" w:w="3118"/>
          </w:tcPr>
          <w:p>
            <w:pPr>
              <w:spacing w:lineRule="exact" w:line="600"/>
              <w:jc w:val="center"/>
            </w:pPr>
            <w:r/>
            <w:r>
              <w:rPr>
                <w:rFonts w:ascii="仿宋_GB2312" w:hAnsi="仿宋_GB2312" w:eastAsia="仿宋_GB2312"/>
                <w:b w:val="0"/>
                <w:color w:val="000000"/>
                <w:sz w:val="32"/>
              </w:rPr>
              <w:t>引领</w:t>
            </w:r>
          </w:p>
        </w:tc>
      </w:tr>
      <w:tr>
        <w:tc>
          <w:tcPr>
            <w:tcW w:type="dxa" w:w="2835"/>
          </w:tcPr>
          <w:p>
            <w:pPr>
              <w:spacing w:lineRule="exact" w:line="600"/>
              <w:jc w:val="center"/>
            </w:pPr>
            <w:r/>
            <w:r>
              <w:rPr>
                <w:rFonts w:ascii="仿宋_GB2312" w:hAnsi="仿宋_GB2312" w:eastAsia="仿宋_GB2312"/>
                <w:b w:val="0"/>
                <w:color w:val="000000"/>
                <w:sz w:val="32"/>
              </w:rPr>
              <w:t>基地</w:t>
            </w:r>
          </w:p>
        </w:tc>
        <w:tc>
          <w:tcPr>
            <w:tcW w:type="dxa" w:w="3118"/>
          </w:tcPr>
          <w:p>
            <w:pPr>
              <w:spacing w:lineRule="exact" w:line="600"/>
              <w:jc w:val="center"/>
            </w:pPr>
            <w:r/>
            <w:r>
              <w:rPr>
                <w:rFonts w:ascii="仿宋_GB2312" w:hAnsi="仿宋_GB2312" w:eastAsia="仿宋_GB2312"/>
                <w:b w:val="0"/>
                <w:color w:val="000000"/>
                <w:sz w:val="32"/>
              </w:rPr>
              <w:t>速冻肉丸</w:t>
            </w:r>
          </w:p>
        </w:tc>
        <w:tc>
          <w:tcPr>
            <w:tcW w:type="dxa" w:w="3118"/>
          </w:tcPr>
          <w:p>
            <w:pPr>
              <w:spacing w:lineRule="exact" w:line="600"/>
              <w:jc w:val="center"/>
            </w:pPr>
            <w:r/>
            <w:r>
              <w:rPr>
                <w:rFonts w:ascii="仿宋_GB2312" w:hAnsi="仿宋_GB2312" w:eastAsia="仿宋_GB2312"/>
                <w:b w:val="0"/>
                <w:color w:val="000000"/>
                <w:sz w:val="32"/>
              </w:rPr>
              <w:t>最大</w:t>
            </w:r>
          </w:p>
        </w:tc>
      </w:tr>
    </w:tbl>
    <w:p>
      <w:pPr>
        <w:spacing w:lineRule="exact" w:line="600" w:before="120" w:after="120"/>
        <w:ind w:firstLine="420"/>
        <w:jc w:val="left"/>
      </w:pPr>
      <w:r>
        <w:rPr>
          <w:rFonts w:ascii="楷体_GB2312" w:hAnsi="楷体_GB2312" w:eastAsia="楷体_GB2312"/>
          <w:b w:val="0"/>
          <w:color w:val="000000"/>
          <w:sz w:val="32"/>
        </w:rPr>
        <w:t>（三）行业宏观背景</w:t>
      </w:r>
    </w:p>
    <w:p>
      <w:pPr>
        <w:spacing w:lineRule="exact" w:line="600" w:before="0" w:after="0"/>
        <w:ind w:firstLine="420"/>
        <w:jc w:val="both"/>
      </w:pPr>
      <w:r>
        <w:rPr>
          <w:rFonts w:ascii="仿宋_GB2312" w:hAnsi="仿宋_GB2312" w:eastAsia="仿宋_GB2312"/>
          <w:b w:val="0"/>
          <w:color w:val="000000"/>
          <w:sz w:val="32"/>
        </w:rPr>
        <w:t>我国预制菜市场规模近年高速增长，2023年约超5000亿元，B端（餐饮降本提效）与C端（便捷烹饪）双驱动，渗透率仍低于美日，空间广阔。山东省预制菜产业规模居全国前列，潍坊、诸城为重要承载地。行业处「高速扩容、规范重塑」阶段，龙头与区域集群受益集中度提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宏观指标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全国预制菜</w:t>
            </w:r>
          </w:p>
        </w:tc>
        <w:tc>
          <w:tcPr>
            <w:tcW w:type="dxa" w:w="3118"/>
          </w:tcPr>
          <w:p>
            <w:pPr>
              <w:spacing w:lineRule="exact" w:line="600"/>
              <w:jc w:val="center"/>
            </w:pPr>
            <w:r/>
            <w:r>
              <w:rPr>
                <w:rFonts w:ascii="仿宋_GB2312" w:hAnsi="仿宋_GB2312" w:eastAsia="仿宋_GB2312"/>
                <w:b w:val="0"/>
                <w:color w:val="000000"/>
                <w:sz w:val="32"/>
              </w:rPr>
              <w:t>超5000亿元</w:t>
            </w:r>
          </w:p>
        </w:tc>
        <w:tc>
          <w:tcPr>
            <w:tcW w:type="dxa" w:w="3118"/>
          </w:tcPr>
          <w:p>
            <w:pPr>
              <w:spacing w:lineRule="exact" w:line="600"/>
              <w:jc w:val="center"/>
            </w:pPr>
            <w:r/>
            <w:r>
              <w:rPr>
                <w:rFonts w:ascii="仿宋_GB2312" w:hAnsi="仿宋_GB2312" w:eastAsia="仿宋_GB2312"/>
                <w:b w:val="0"/>
                <w:color w:val="000000"/>
                <w:sz w:val="32"/>
              </w:rPr>
              <w:t>高增</w:t>
            </w:r>
          </w:p>
        </w:tc>
      </w:tr>
      <w:tr>
        <w:tc>
          <w:tcPr>
            <w:tcW w:type="dxa" w:w="2835"/>
          </w:tcPr>
          <w:p>
            <w:pPr>
              <w:spacing w:lineRule="exact" w:line="600"/>
              <w:jc w:val="center"/>
            </w:pPr>
            <w:r/>
            <w:r>
              <w:rPr>
                <w:rFonts w:ascii="仿宋_GB2312" w:hAnsi="仿宋_GB2312" w:eastAsia="仿宋_GB2312"/>
                <w:b w:val="0"/>
                <w:color w:val="000000"/>
                <w:sz w:val="32"/>
              </w:rPr>
              <w:t>渗透率</w:t>
            </w:r>
          </w:p>
        </w:tc>
        <w:tc>
          <w:tcPr>
            <w:tcW w:type="dxa" w:w="3118"/>
          </w:tcPr>
          <w:p>
            <w:pPr>
              <w:spacing w:lineRule="exact" w:line="600"/>
              <w:jc w:val="center"/>
            </w:pPr>
            <w:r/>
            <w:r>
              <w:rPr>
                <w:rFonts w:ascii="仿宋_GB2312" w:hAnsi="仿宋_GB2312" w:eastAsia="仿宋_GB2312"/>
                <w:b w:val="0"/>
                <w:color w:val="000000"/>
                <w:sz w:val="32"/>
              </w:rPr>
              <w:t>低于美日</w:t>
            </w:r>
          </w:p>
        </w:tc>
        <w:tc>
          <w:tcPr>
            <w:tcW w:type="dxa" w:w="3118"/>
          </w:tcPr>
          <w:p>
            <w:pPr>
              <w:spacing w:lineRule="exact" w:line="600"/>
              <w:jc w:val="center"/>
            </w:pPr>
            <w:r/>
            <w:r>
              <w:rPr>
                <w:rFonts w:ascii="仿宋_GB2312" w:hAnsi="仿宋_GB2312" w:eastAsia="仿宋_GB2312"/>
                <w:b w:val="0"/>
                <w:color w:val="000000"/>
                <w:sz w:val="32"/>
              </w:rPr>
              <w:t>空间</w:t>
            </w:r>
          </w:p>
        </w:tc>
      </w:tr>
      <w:tr>
        <w:tc>
          <w:tcPr>
            <w:tcW w:type="dxa" w:w="2835"/>
          </w:tcPr>
          <w:p>
            <w:pPr>
              <w:spacing w:lineRule="exact" w:line="600"/>
              <w:jc w:val="center"/>
            </w:pPr>
            <w:r/>
            <w:r>
              <w:rPr>
                <w:rFonts w:ascii="仿宋_GB2312" w:hAnsi="仿宋_GB2312" w:eastAsia="仿宋_GB2312"/>
                <w:b w:val="0"/>
                <w:color w:val="000000"/>
                <w:sz w:val="32"/>
              </w:rPr>
              <w:t>山东</w:t>
            </w:r>
          </w:p>
        </w:tc>
        <w:tc>
          <w:tcPr>
            <w:tcW w:type="dxa" w:w="3118"/>
          </w:tcPr>
          <w:p>
            <w:pPr>
              <w:spacing w:lineRule="exact" w:line="600"/>
              <w:jc w:val="center"/>
            </w:pPr>
            <w:r/>
            <w:r>
              <w:rPr>
                <w:rFonts w:ascii="仿宋_GB2312" w:hAnsi="仿宋_GB2312" w:eastAsia="仿宋_GB2312"/>
                <w:b w:val="0"/>
                <w:color w:val="000000"/>
                <w:sz w:val="32"/>
              </w:rPr>
              <w:t>规模前列</w:t>
            </w:r>
          </w:p>
        </w:tc>
        <w:tc>
          <w:tcPr>
            <w:tcW w:type="dxa" w:w="3118"/>
          </w:tcPr>
          <w:p>
            <w:pPr>
              <w:spacing w:lineRule="exact" w:line="600"/>
              <w:jc w:val="center"/>
            </w:pPr>
            <w:r/>
            <w:r>
              <w:rPr>
                <w:rFonts w:ascii="仿宋_GB2312" w:hAnsi="仿宋_GB2312" w:eastAsia="仿宋_GB2312"/>
                <w:b w:val="0"/>
                <w:color w:val="000000"/>
                <w:sz w:val="32"/>
              </w:rPr>
              <w:t>承载地</w:t>
            </w:r>
          </w:p>
        </w:tc>
      </w:tr>
      <w:tr>
        <w:tc>
          <w:tcPr>
            <w:tcW w:type="dxa" w:w="2835"/>
          </w:tcPr>
          <w:p>
            <w:pPr>
              <w:spacing w:lineRule="exact" w:line="600"/>
              <w:jc w:val="center"/>
            </w:pPr>
            <w:r/>
            <w:r>
              <w:rPr>
                <w:rFonts w:ascii="仿宋_GB2312" w:hAnsi="仿宋_GB2312" w:eastAsia="仿宋_GB2312"/>
                <w:b w:val="0"/>
                <w:color w:val="000000"/>
                <w:sz w:val="32"/>
              </w:rPr>
              <w:t>阶段</w:t>
            </w:r>
          </w:p>
        </w:tc>
        <w:tc>
          <w:tcPr>
            <w:tcW w:type="dxa" w:w="3118"/>
          </w:tcPr>
          <w:p>
            <w:pPr>
              <w:spacing w:lineRule="exact" w:line="600"/>
              <w:jc w:val="center"/>
            </w:pPr>
            <w:r/>
            <w:r>
              <w:rPr>
                <w:rFonts w:ascii="仿宋_GB2312" w:hAnsi="仿宋_GB2312" w:eastAsia="仿宋_GB2312"/>
                <w:b w:val="0"/>
                <w:color w:val="000000"/>
                <w:sz w:val="32"/>
              </w:rPr>
              <w:t>扩容+规范</w:t>
            </w:r>
          </w:p>
        </w:tc>
        <w:tc>
          <w:tcPr>
            <w:tcW w:type="dxa" w:w="3118"/>
          </w:tcPr>
          <w:p>
            <w:pPr>
              <w:spacing w:lineRule="exact" w:line="600"/>
              <w:jc w:val="center"/>
            </w:pPr>
            <w:r/>
            <w:r>
              <w:rPr>
                <w:rFonts w:ascii="仿宋_GB2312" w:hAnsi="仿宋_GB2312" w:eastAsia="仿宋_GB2312"/>
                <w:b w:val="0"/>
                <w:color w:val="000000"/>
                <w:sz w:val="32"/>
              </w:rPr>
              <w:t>重塑</w:t>
            </w:r>
          </w:p>
        </w:tc>
      </w:tr>
    </w:tbl>
    <w:p>
      <w:pPr>
        <w:spacing w:lineRule="exact" w:line="600" w:before="120" w:after="120"/>
        <w:ind w:firstLine="420"/>
        <w:jc w:val="left"/>
      </w:pPr>
      <w:r>
        <w:rPr>
          <w:rFonts w:ascii="楷体_GB2312" w:hAnsi="楷体_GB2312" w:eastAsia="楷体_GB2312"/>
          <w:b w:val="0"/>
          <w:color w:val="000000"/>
          <w:sz w:val="32"/>
        </w:rPr>
        <w:t>（四）消费与渠道变迁</w:t>
      </w:r>
    </w:p>
    <w:p>
      <w:pPr>
        <w:spacing w:lineRule="exact" w:line="600" w:before="0" w:after="0"/>
        <w:ind w:firstLine="420"/>
        <w:jc w:val="both"/>
      </w:pPr>
      <w:r>
        <w:rPr>
          <w:rFonts w:ascii="仿宋_GB2312" w:hAnsi="仿宋_GB2312" w:eastAsia="仿宋_GB2312"/>
          <w:b w:val="0"/>
          <w:color w:val="000000"/>
          <w:sz w:val="32"/>
        </w:rPr>
        <w:t>疫情后居民烹饪便捷化与「宅经济」习惯固化，预制菜从B端为主逐步向C端渗透；青年家庭、单身群体与下沉市场成为新增量。餐饮连锁化率提升使中央厨房与预制供应链成为刚需，团餐、乡厨与外卖亦拉动调理食品需求。渠道上，内容电商与社区团购成为爆品孵化新阵地，对诸城企业的新品迭代与品牌运营提出更高要求。</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（一）上游：原料与配料</w:t>
      </w:r>
    </w:p>
    <w:p>
      <w:pPr>
        <w:spacing w:lineRule="exact" w:line="600" w:before="0" w:after="0"/>
        <w:ind w:firstLine="420"/>
        <w:jc w:val="both"/>
      </w:pPr>
      <w:r>
        <w:rPr>
          <w:rFonts w:ascii="仿宋_GB2312" w:hAnsi="仿宋_GB2312" w:eastAsia="仿宋_GB2312"/>
          <w:b w:val="0"/>
          <w:color w:val="000000"/>
          <w:sz w:val="32"/>
        </w:rPr>
        <w:t>上游为畜禽肉、水产、蔬菜、淀粉与调味料。诸城本地屠宰及肉制品加工（得利斯、诸城外贸）提供稳定优质肉类原料，是速冻肉丸与调理肉的核心供给；淀粉、香辛料等配套完备。上游原料价格波动直接影响预制菜成本，龙头企业一体化保障成本与品质稳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上游环节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现状</w:t>
            </w:r>
          </w:p>
        </w:tc>
      </w:tr>
      <w:tr>
        <w:tc>
          <w:tcPr>
            <w:tcW w:type="dxa" w:w="2835"/>
          </w:tcPr>
          <w:p>
            <w:pPr>
              <w:spacing w:lineRule="exact" w:line="600"/>
              <w:jc w:val="center"/>
            </w:pPr>
            <w:r/>
            <w:r>
              <w:rPr>
                <w:rFonts w:ascii="仿宋_GB2312" w:hAnsi="仿宋_GB2312" w:eastAsia="仿宋_GB2312"/>
                <w:b w:val="0"/>
                <w:color w:val="000000"/>
                <w:sz w:val="32"/>
              </w:rPr>
              <w:t>肉类</w:t>
            </w:r>
          </w:p>
        </w:tc>
        <w:tc>
          <w:tcPr>
            <w:tcW w:type="dxa" w:w="3402"/>
          </w:tcPr>
          <w:p>
            <w:pPr>
              <w:spacing w:lineRule="exact" w:line="600"/>
              <w:jc w:val="center"/>
            </w:pPr>
            <w:r/>
            <w:r>
              <w:rPr>
                <w:rFonts w:ascii="仿宋_GB2312" w:hAnsi="仿宋_GB2312" w:eastAsia="仿宋_GB2312"/>
                <w:b w:val="0"/>
                <w:color w:val="000000"/>
                <w:sz w:val="32"/>
              </w:rPr>
              <w:t>猪/鸡</w:t>
            </w:r>
          </w:p>
        </w:tc>
        <w:tc>
          <w:tcPr>
            <w:tcW w:type="dxa" w:w="2835"/>
          </w:tcPr>
          <w:p>
            <w:pPr>
              <w:spacing w:lineRule="exact" w:line="600"/>
              <w:jc w:val="center"/>
            </w:pPr>
            <w:r/>
            <w:r>
              <w:rPr>
                <w:rFonts w:ascii="仿宋_GB2312" w:hAnsi="仿宋_GB2312" w:eastAsia="仿宋_GB2312"/>
                <w:b w:val="0"/>
                <w:color w:val="000000"/>
                <w:sz w:val="32"/>
              </w:rPr>
              <w:t>本地供</w:t>
            </w:r>
          </w:p>
        </w:tc>
      </w:tr>
      <w:tr>
        <w:tc>
          <w:tcPr>
            <w:tcW w:type="dxa" w:w="2835"/>
          </w:tcPr>
          <w:p>
            <w:pPr>
              <w:spacing w:lineRule="exact" w:line="600"/>
              <w:jc w:val="center"/>
            </w:pPr>
            <w:r/>
            <w:r>
              <w:rPr>
                <w:rFonts w:ascii="仿宋_GB2312" w:hAnsi="仿宋_GB2312" w:eastAsia="仿宋_GB2312"/>
                <w:b w:val="0"/>
                <w:color w:val="000000"/>
                <w:sz w:val="32"/>
              </w:rPr>
              <w:t>水产蔬菜</w:t>
            </w:r>
          </w:p>
        </w:tc>
        <w:tc>
          <w:tcPr>
            <w:tcW w:type="dxa" w:w="3402"/>
          </w:tcPr>
          <w:p>
            <w:pPr>
              <w:spacing w:lineRule="exact" w:line="600"/>
              <w:jc w:val="center"/>
            </w:pPr>
            <w:r/>
            <w:r>
              <w:rPr>
                <w:rFonts w:ascii="仿宋_GB2312" w:hAnsi="仿宋_GB2312" w:eastAsia="仿宋_GB2312"/>
                <w:b w:val="0"/>
                <w:color w:val="000000"/>
                <w:sz w:val="32"/>
              </w:rPr>
              <w:t>外购</w:t>
            </w:r>
          </w:p>
        </w:tc>
        <w:tc>
          <w:tcPr>
            <w:tcW w:type="dxa" w:w="2835"/>
          </w:tcPr>
          <w:p>
            <w:pPr>
              <w:spacing w:lineRule="exact" w:line="600"/>
              <w:jc w:val="center"/>
            </w:pPr>
            <w:r/>
            <w:r>
              <w:rPr>
                <w:rFonts w:ascii="仿宋_GB2312" w:hAnsi="仿宋_GB2312" w:eastAsia="仿宋_GB2312"/>
                <w:b w:val="0"/>
                <w:color w:val="000000"/>
                <w:sz w:val="32"/>
              </w:rPr>
              <w:t>配套</w:t>
            </w:r>
          </w:p>
        </w:tc>
      </w:tr>
      <w:tr>
        <w:tc>
          <w:tcPr>
            <w:tcW w:type="dxa" w:w="2835"/>
          </w:tcPr>
          <w:p>
            <w:pPr>
              <w:spacing w:lineRule="exact" w:line="600"/>
              <w:jc w:val="center"/>
            </w:pPr>
            <w:r/>
            <w:r>
              <w:rPr>
                <w:rFonts w:ascii="仿宋_GB2312" w:hAnsi="仿宋_GB2312" w:eastAsia="仿宋_GB2312"/>
                <w:b w:val="0"/>
                <w:color w:val="000000"/>
                <w:sz w:val="32"/>
              </w:rPr>
              <w:t>淀粉调料</w:t>
            </w:r>
          </w:p>
        </w:tc>
        <w:tc>
          <w:tcPr>
            <w:tcW w:type="dxa" w:w="3402"/>
          </w:tcPr>
          <w:p>
            <w:pPr>
              <w:spacing w:lineRule="exact" w:line="600"/>
              <w:jc w:val="center"/>
            </w:pPr>
            <w:r/>
            <w:r>
              <w:rPr>
                <w:rFonts w:ascii="仿宋_GB2312" w:hAnsi="仿宋_GB2312" w:eastAsia="仿宋_GB2312"/>
                <w:b w:val="0"/>
                <w:color w:val="000000"/>
                <w:sz w:val="32"/>
              </w:rPr>
              <w:t>完备</w:t>
            </w:r>
          </w:p>
        </w:tc>
        <w:tc>
          <w:tcPr>
            <w:tcW w:type="dxa" w:w="2835"/>
          </w:tcPr>
          <w:p>
            <w:pPr>
              <w:spacing w:lineRule="exact" w:line="600"/>
              <w:jc w:val="center"/>
            </w:pPr>
            <w:r/>
            <w:r>
              <w:rPr>
                <w:rFonts w:ascii="仿宋_GB2312" w:hAnsi="仿宋_GB2312" w:eastAsia="仿宋_GB2312"/>
                <w:b w:val="0"/>
                <w:color w:val="000000"/>
                <w:sz w:val="32"/>
              </w:rPr>
              <w:t>配套</w:t>
            </w:r>
          </w:p>
        </w:tc>
      </w:tr>
      <w:tr>
        <w:tc>
          <w:tcPr>
            <w:tcW w:type="dxa" w:w="2835"/>
          </w:tcPr>
          <w:p>
            <w:pPr>
              <w:spacing w:lineRule="exact" w:line="600"/>
              <w:jc w:val="center"/>
            </w:pPr>
            <w:r/>
            <w:r>
              <w:rPr>
                <w:rFonts w:ascii="仿宋_GB2312" w:hAnsi="仿宋_GB2312" w:eastAsia="仿宋_GB2312"/>
                <w:b w:val="0"/>
                <w:color w:val="000000"/>
                <w:sz w:val="32"/>
              </w:rPr>
              <w:t>一体化</w:t>
            </w:r>
          </w:p>
        </w:tc>
        <w:tc>
          <w:tcPr>
            <w:tcW w:type="dxa" w:w="3402"/>
          </w:tcPr>
          <w:p>
            <w:pPr>
              <w:spacing w:lineRule="exact" w:line="600"/>
              <w:jc w:val="center"/>
            </w:pPr>
            <w:r/>
            <w:r>
              <w:rPr>
                <w:rFonts w:ascii="仿宋_GB2312" w:hAnsi="仿宋_GB2312" w:eastAsia="仿宋_GB2312"/>
                <w:b w:val="0"/>
                <w:color w:val="000000"/>
                <w:sz w:val="32"/>
              </w:rPr>
              <w:t>降本</w:t>
            </w:r>
          </w:p>
        </w:tc>
        <w:tc>
          <w:tcPr>
            <w:tcW w:type="dxa" w:w="2835"/>
          </w:tcPr>
          <w:p>
            <w:pPr>
              <w:spacing w:lineRule="exact" w:line="600"/>
              <w:jc w:val="center"/>
            </w:pPr>
            <w:r/>
            <w:r>
              <w:rPr>
                <w:rFonts w:ascii="仿宋_GB2312" w:hAnsi="仿宋_GB2312" w:eastAsia="仿宋_GB2312"/>
                <w:b w:val="0"/>
                <w:color w:val="000000"/>
                <w:sz w:val="32"/>
              </w:rPr>
              <w:t>品质</w:t>
            </w:r>
          </w:p>
        </w:tc>
      </w:tr>
    </w:tbl>
    <w:p>
      <w:pPr>
        <w:spacing w:lineRule="exact" w:line="600" w:before="120" w:after="120"/>
        <w:ind w:firstLine="420"/>
        <w:jc w:val="left"/>
      </w:pPr>
      <w:r>
        <w:rPr>
          <w:rFonts w:ascii="楷体_GB2312" w:hAnsi="楷体_GB2312" w:eastAsia="楷体_GB2312"/>
          <w:b w:val="0"/>
          <w:color w:val="000000"/>
          <w:sz w:val="32"/>
        </w:rPr>
        <w:t>（二）中游：制造与速冻</w:t>
      </w:r>
    </w:p>
    <w:p>
      <w:pPr>
        <w:spacing w:lineRule="exact" w:line="600" w:before="0" w:after="0"/>
        <w:ind w:firstLine="420"/>
        <w:jc w:val="both"/>
      </w:pPr>
      <w:r>
        <w:rPr>
          <w:rFonts w:ascii="仿宋_GB2312" w:hAnsi="仿宋_GB2312" w:eastAsia="仿宋_GB2312"/>
          <w:b w:val="0"/>
          <w:color w:val="000000"/>
          <w:sz w:val="32"/>
        </w:rPr>
        <w:t>中游为预制菜与速冻调理食品加工，涵盖肉丸、香肠、菜肴包、调理肉等。惠发食品丸制品2023年收入5.15亿元，是全国速冻肉丸龙头；得利斯预制菜收入6.53亿元。核心工艺为斩拌、成型、速冻（-35℃以下IQF）与锁鲜包装，自动化与冷链是制造关键。</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中游主体</w:t>
            </w:r>
          </w:p>
        </w:tc>
        <w:tc>
          <w:tcPr>
            <w:tcW w:type="dxa" w:w="3118"/>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能力</w:t>
            </w:r>
          </w:p>
        </w:tc>
      </w:tr>
      <w:tr>
        <w:tc>
          <w:tcPr>
            <w:tcW w:type="dxa" w:w="2835"/>
          </w:tcPr>
          <w:p>
            <w:pPr>
              <w:spacing w:lineRule="exact" w:line="600"/>
              <w:jc w:val="center"/>
            </w:pPr>
            <w:r/>
            <w:r>
              <w:rPr>
                <w:rFonts w:ascii="仿宋_GB2312" w:hAnsi="仿宋_GB2312" w:eastAsia="仿宋_GB2312"/>
                <w:b w:val="0"/>
                <w:color w:val="000000"/>
                <w:sz w:val="32"/>
              </w:rPr>
              <w:t>惠发</w:t>
            </w:r>
          </w:p>
        </w:tc>
        <w:tc>
          <w:tcPr>
            <w:tcW w:type="dxa" w:w="3118"/>
          </w:tcPr>
          <w:p>
            <w:pPr>
              <w:spacing w:lineRule="exact" w:line="600"/>
              <w:jc w:val="center"/>
            </w:pPr>
            <w:r/>
            <w:r>
              <w:rPr>
                <w:rFonts w:ascii="仿宋_GB2312" w:hAnsi="仿宋_GB2312" w:eastAsia="仿宋_GB2312"/>
                <w:b w:val="0"/>
                <w:color w:val="000000"/>
                <w:sz w:val="32"/>
              </w:rPr>
              <w:t>肉丸5.15亿</w:t>
            </w:r>
          </w:p>
        </w:tc>
        <w:tc>
          <w:tcPr>
            <w:tcW w:type="dxa" w:w="3118"/>
          </w:tcPr>
          <w:p>
            <w:pPr>
              <w:spacing w:lineRule="exact" w:line="600"/>
              <w:jc w:val="center"/>
            </w:pPr>
            <w:r/>
            <w:r>
              <w:rPr>
                <w:rFonts w:ascii="仿宋_GB2312" w:hAnsi="仿宋_GB2312" w:eastAsia="仿宋_GB2312"/>
                <w:b w:val="0"/>
                <w:color w:val="000000"/>
                <w:sz w:val="32"/>
              </w:rPr>
              <w:t>速冻龙头</w:t>
            </w:r>
          </w:p>
        </w:tc>
      </w:tr>
      <w:tr>
        <w:tc>
          <w:tcPr>
            <w:tcW w:type="dxa" w:w="2835"/>
          </w:tcPr>
          <w:p>
            <w:pPr>
              <w:spacing w:lineRule="exact" w:line="600"/>
              <w:jc w:val="center"/>
            </w:pPr>
            <w:r/>
            <w:r>
              <w:rPr>
                <w:rFonts w:ascii="仿宋_GB2312" w:hAnsi="仿宋_GB2312" w:eastAsia="仿宋_GB2312"/>
                <w:b w:val="0"/>
                <w:color w:val="000000"/>
                <w:sz w:val="32"/>
              </w:rPr>
              <w:t>得利斯</w:t>
            </w:r>
          </w:p>
        </w:tc>
        <w:tc>
          <w:tcPr>
            <w:tcW w:type="dxa" w:w="3118"/>
          </w:tcPr>
          <w:p>
            <w:pPr>
              <w:spacing w:lineRule="exact" w:line="600"/>
              <w:jc w:val="center"/>
            </w:pPr>
            <w:r/>
            <w:r>
              <w:rPr>
                <w:rFonts w:ascii="仿宋_GB2312" w:hAnsi="仿宋_GB2312" w:eastAsia="仿宋_GB2312"/>
                <w:b w:val="0"/>
                <w:color w:val="000000"/>
                <w:sz w:val="32"/>
              </w:rPr>
              <w:t>预制6.53亿</w:t>
            </w:r>
          </w:p>
        </w:tc>
        <w:tc>
          <w:tcPr>
            <w:tcW w:type="dxa" w:w="3118"/>
          </w:tcPr>
          <w:p>
            <w:pPr>
              <w:spacing w:lineRule="exact" w:line="600"/>
              <w:jc w:val="center"/>
            </w:pPr>
            <w:r/>
            <w:r>
              <w:rPr>
                <w:rFonts w:ascii="仿宋_GB2312" w:hAnsi="仿宋_GB2312" w:eastAsia="仿宋_GB2312"/>
                <w:b w:val="0"/>
                <w:color w:val="000000"/>
                <w:sz w:val="32"/>
              </w:rPr>
              <w:t>肉制品</w:t>
            </w:r>
          </w:p>
        </w:tc>
      </w:tr>
      <w:tr>
        <w:tc>
          <w:tcPr>
            <w:tcW w:type="dxa" w:w="2835"/>
          </w:tcPr>
          <w:p>
            <w:pPr>
              <w:spacing w:lineRule="exact" w:line="600"/>
              <w:jc w:val="center"/>
            </w:pPr>
            <w:r/>
            <w:r>
              <w:rPr>
                <w:rFonts w:ascii="仿宋_GB2312" w:hAnsi="仿宋_GB2312" w:eastAsia="仿宋_GB2312"/>
                <w:b w:val="0"/>
                <w:color w:val="000000"/>
                <w:sz w:val="32"/>
              </w:rPr>
              <w:t>工艺</w:t>
            </w:r>
          </w:p>
        </w:tc>
        <w:tc>
          <w:tcPr>
            <w:tcW w:type="dxa" w:w="3118"/>
          </w:tcPr>
          <w:p>
            <w:pPr>
              <w:spacing w:lineRule="exact" w:line="600"/>
              <w:jc w:val="center"/>
            </w:pPr>
            <w:r/>
            <w:r>
              <w:rPr>
                <w:rFonts w:ascii="仿宋_GB2312" w:hAnsi="仿宋_GB2312" w:eastAsia="仿宋_GB2312"/>
                <w:b w:val="0"/>
                <w:color w:val="000000"/>
                <w:sz w:val="32"/>
              </w:rPr>
              <w:t>斩拌/速冻</w:t>
            </w:r>
          </w:p>
        </w:tc>
        <w:tc>
          <w:tcPr>
            <w:tcW w:type="dxa" w:w="3118"/>
          </w:tcPr>
          <w:p>
            <w:pPr>
              <w:spacing w:lineRule="exact" w:line="600"/>
              <w:jc w:val="center"/>
            </w:pPr>
            <w:r/>
            <w:r>
              <w:rPr>
                <w:rFonts w:ascii="仿宋_GB2312" w:hAnsi="仿宋_GB2312" w:eastAsia="仿宋_GB2312"/>
                <w:b w:val="0"/>
                <w:color w:val="000000"/>
                <w:sz w:val="32"/>
              </w:rPr>
              <w:t>IQF</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118"/>
          </w:tcPr>
          <w:p>
            <w:pPr>
              <w:spacing w:lineRule="exact" w:line="600"/>
              <w:jc w:val="center"/>
            </w:pPr>
            <w:r/>
            <w:r>
              <w:rPr>
                <w:rFonts w:ascii="仿宋_GB2312" w:hAnsi="仿宋_GB2312" w:eastAsia="仿宋_GB2312"/>
                <w:b w:val="0"/>
                <w:color w:val="000000"/>
                <w:sz w:val="32"/>
              </w:rPr>
              <w:t>锁鲜</w:t>
            </w:r>
          </w:p>
        </w:tc>
        <w:tc>
          <w:tcPr>
            <w:tcW w:type="dxa" w:w="3118"/>
          </w:tcPr>
          <w:p>
            <w:pPr>
              <w:spacing w:lineRule="exact" w:line="600"/>
              <w:jc w:val="center"/>
            </w:pPr>
            <w:r/>
            <w:r>
              <w:rPr>
                <w:rFonts w:ascii="仿宋_GB2312" w:hAnsi="仿宋_GB2312" w:eastAsia="仿宋_GB2312"/>
                <w:b w:val="0"/>
                <w:color w:val="000000"/>
                <w:sz w:val="32"/>
              </w:rPr>
              <w:t>关键</w:t>
            </w:r>
          </w:p>
        </w:tc>
      </w:tr>
    </w:tbl>
    <w:p>
      <w:pPr>
        <w:spacing w:lineRule="exact" w:line="600" w:before="120" w:after="120"/>
        <w:ind w:firstLine="420"/>
        <w:jc w:val="left"/>
      </w:pPr>
      <w:r>
        <w:rPr>
          <w:rFonts w:ascii="楷体_GB2312" w:hAnsi="楷体_GB2312" w:eastAsia="楷体_GB2312"/>
          <w:b w:val="0"/>
          <w:color w:val="000000"/>
          <w:sz w:val="32"/>
        </w:rPr>
        <w:t>（三）下游：渠道与消费</w:t>
      </w:r>
    </w:p>
    <w:p>
      <w:pPr>
        <w:spacing w:lineRule="exact" w:line="600" w:before="0" w:after="0"/>
        <w:ind w:firstLine="420"/>
        <w:jc w:val="both"/>
      </w:pPr>
      <w:r>
        <w:rPr>
          <w:rFonts w:ascii="仿宋_GB2312" w:hAnsi="仿宋_GB2312" w:eastAsia="仿宋_GB2312"/>
          <w:b w:val="0"/>
          <w:color w:val="000000"/>
          <w:sz w:val="32"/>
        </w:rPr>
        <w:t>下游为B端餐饮供应链、团餐、（C端）商超电商与家庭消费。预制菜降低餐饮后厨人工与损耗，B端需求刚性；C端受便捷与健康趋势拉动。渠道结构上，惠发、得利斯均布局经销+直销+电商，餐饮供应链是大客户主战场，C端品牌化仍在培育。</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2023年诸城规上预制菜产值165亿元（+16%），全国预制菜市场超5000亿元且高增。需求端：餐饮连锁化、团餐与家庭便捷化驱动；供给端：企业众多但集中度低，山东、福建、广东为产业聚集地。诸城在速冻肉丸与调理肉细分具全国竞争力，供需两旺但高端与差异化供给不足。</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供需指标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状态</w:t>
            </w:r>
          </w:p>
        </w:tc>
      </w:tr>
      <w:tr>
        <w:tc>
          <w:tcPr>
            <w:tcW w:type="dxa" w:w="2835"/>
          </w:tcPr>
          <w:p>
            <w:pPr>
              <w:spacing w:lineRule="exact" w:line="600"/>
              <w:jc w:val="center"/>
            </w:pPr>
            <w:r/>
            <w:r>
              <w:rPr>
                <w:rFonts w:ascii="仿宋_GB2312" w:hAnsi="仿宋_GB2312" w:eastAsia="仿宋_GB2312"/>
                <w:b w:val="0"/>
                <w:color w:val="000000"/>
                <w:sz w:val="32"/>
              </w:rPr>
              <w:t>诸城规上预制菜</w:t>
            </w:r>
          </w:p>
        </w:tc>
        <w:tc>
          <w:tcPr>
            <w:tcW w:type="dxa" w:w="3118"/>
          </w:tcPr>
          <w:p>
            <w:pPr>
              <w:spacing w:lineRule="exact" w:line="600"/>
              <w:jc w:val="center"/>
            </w:pPr>
            <w:r/>
            <w:r>
              <w:rPr>
                <w:rFonts w:ascii="仿宋_GB2312" w:hAnsi="仿宋_GB2312" w:eastAsia="仿宋_GB2312"/>
                <w:b w:val="0"/>
                <w:color w:val="000000"/>
                <w:sz w:val="32"/>
              </w:rPr>
              <w:t>165亿</w:t>
            </w:r>
          </w:p>
        </w:tc>
        <w:tc>
          <w:tcPr>
            <w:tcW w:type="dxa" w:w="3118"/>
          </w:tcPr>
          <w:p>
            <w:pPr>
              <w:spacing w:lineRule="exact" w:line="600"/>
              <w:jc w:val="center"/>
            </w:pPr>
            <w:r/>
            <w:r>
              <w:rPr>
                <w:rFonts w:ascii="仿宋_GB2312" w:hAnsi="仿宋_GB2312" w:eastAsia="仿宋_GB2312"/>
                <w:b w:val="0"/>
                <w:color w:val="000000"/>
                <w:sz w:val="32"/>
              </w:rPr>
              <w:t>+16%</w:t>
            </w:r>
          </w:p>
        </w:tc>
      </w:tr>
      <w:tr>
        <w:tc>
          <w:tcPr>
            <w:tcW w:type="dxa" w:w="2835"/>
          </w:tcPr>
          <w:p>
            <w:pPr>
              <w:spacing w:lineRule="exact" w:line="600"/>
              <w:jc w:val="center"/>
            </w:pPr>
            <w:r/>
            <w:r>
              <w:rPr>
                <w:rFonts w:ascii="仿宋_GB2312" w:hAnsi="仿宋_GB2312" w:eastAsia="仿宋_GB2312"/>
                <w:b w:val="0"/>
                <w:color w:val="000000"/>
                <w:sz w:val="32"/>
              </w:rPr>
              <w:t>全国市场</w:t>
            </w:r>
          </w:p>
        </w:tc>
        <w:tc>
          <w:tcPr>
            <w:tcW w:type="dxa" w:w="3118"/>
          </w:tcPr>
          <w:p>
            <w:pPr>
              <w:spacing w:lineRule="exact" w:line="600"/>
              <w:jc w:val="center"/>
            </w:pPr>
            <w:r/>
            <w:r>
              <w:rPr>
                <w:rFonts w:ascii="仿宋_GB2312" w:hAnsi="仿宋_GB2312" w:eastAsia="仿宋_GB2312"/>
                <w:b w:val="0"/>
                <w:color w:val="000000"/>
                <w:sz w:val="32"/>
              </w:rPr>
              <w:t>超5000亿</w:t>
            </w:r>
          </w:p>
        </w:tc>
        <w:tc>
          <w:tcPr>
            <w:tcW w:type="dxa" w:w="3118"/>
          </w:tcPr>
          <w:p>
            <w:pPr>
              <w:spacing w:lineRule="exact" w:line="600"/>
              <w:jc w:val="center"/>
            </w:pPr>
            <w:r/>
            <w:r>
              <w:rPr>
                <w:rFonts w:ascii="仿宋_GB2312" w:hAnsi="仿宋_GB2312" w:eastAsia="仿宋_GB2312"/>
                <w:b w:val="0"/>
                <w:color w:val="000000"/>
                <w:sz w:val="32"/>
              </w:rPr>
              <w:t>高增</w:t>
            </w:r>
          </w:p>
        </w:tc>
      </w:tr>
      <w:tr>
        <w:tc>
          <w:tcPr>
            <w:tcW w:type="dxa" w:w="2835"/>
          </w:tcPr>
          <w:p>
            <w:pPr>
              <w:spacing w:lineRule="exact" w:line="600"/>
              <w:jc w:val="center"/>
            </w:pPr>
            <w:r/>
            <w:r>
              <w:rPr>
                <w:rFonts w:ascii="仿宋_GB2312" w:hAnsi="仿宋_GB2312" w:eastAsia="仿宋_GB2312"/>
                <w:b w:val="0"/>
                <w:color w:val="000000"/>
                <w:sz w:val="32"/>
              </w:rPr>
              <w:t>集中度</w:t>
            </w:r>
          </w:p>
        </w:tc>
        <w:tc>
          <w:tcPr>
            <w:tcW w:type="dxa" w:w="3118"/>
          </w:tcPr>
          <w:p>
            <w:pPr>
              <w:spacing w:lineRule="exact" w:line="600"/>
              <w:jc w:val="center"/>
            </w:pPr>
            <w:r/>
            <w:r>
              <w:rPr>
                <w:rFonts w:ascii="仿宋_GB2312" w:hAnsi="仿宋_GB2312" w:eastAsia="仿宋_GB2312"/>
                <w:b w:val="0"/>
                <w:color w:val="000000"/>
                <w:sz w:val="32"/>
              </w:rPr>
              <w:t>低</w:t>
            </w:r>
          </w:p>
        </w:tc>
        <w:tc>
          <w:tcPr>
            <w:tcW w:type="dxa" w:w="3118"/>
          </w:tcPr>
          <w:p>
            <w:pPr>
              <w:spacing w:lineRule="exact" w:line="600"/>
              <w:jc w:val="center"/>
            </w:pPr>
            <w:r/>
            <w:r>
              <w:rPr>
                <w:rFonts w:ascii="仿宋_GB2312" w:hAnsi="仿宋_GB2312" w:eastAsia="仿宋_GB2312"/>
                <w:b w:val="0"/>
                <w:color w:val="000000"/>
                <w:sz w:val="32"/>
              </w:rPr>
              <w:t>分散</w:t>
            </w:r>
          </w:p>
        </w:tc>
      </w:tr>
      <w:tr>
        <w:tc>
          <w:tcPr>
            <w:tcW w:type="dxa" w:w="2835"/>
          </w:tcPr>
          <w:p>
            <w:pPr>
              <w:spacing w:lineRule="exact" w:line="600"/>
              <w:jc w:val="center"/>
            </w:pPr>
            <w:r/>
            <w:r>
              <w:rPr>
                <w:rFonts w:ascii="仿宋_GB2312" w:hAnsi="仿宋_GB2312" w:eastAsia="仿宋_GB2312"/>
                <w:b w:val="0"/>
                <w:color w:val="000000"/>
                <w:sz w:val="32"/>
              </w:rPr>
              <w:t>细分</w:t>
            </w:r>
          </w:p>
        </w:tc>
        <w:tc>
          <w:tcPr>
            <w:tcW w:type="dxa" w:w="3118"/>
          </w:tcPr>
          <w:p>
            <w:pPr>
              <w:spacing w:lineRule="exact" w:line="600"/>
              <w:jc w:val="center"/>
            </w:pPr>
            <w:r/>
            <w:r>
              <w:rPr>
                <w:rFonts w:ascii="仿宋_GB2312" w:hAnsi="仿宋_GB2312" w:eastAsia="仿宋_GB2312"/>
                <w:b w:val="0"/>
                <w:color w:val="000000"/>
                <w:sz w:val="32"/>
              </w:rPr>
              <w:t>肉丸强</w:t>
            </w:r>
          </w:p>
        </w:tc>
        <w:tc>
          <w:tcPr>
            <w:tcW w:type="dxa" w:w="3118"/>
          </w:tcPr>
          <w:p>
            <w:pPr>
              <w:spacing w:lineRule="exact" w:line="600"/>
              <w:jc w:val="center"/>
            </w:pPr>
            <w:r/>
            <w:r>
              <w:rPr>
                <w:rFonts w:ascii="仿宋_GB2312" w:hAnsi="仿宋_GB2312" w:eastAsia="仿宋_GB2312"/>
                <w:b w:val="0"/>
                <w:color w:val="000000"/>
                <w:sz w:val="32"/>
              </w:rPr>
              <w:t>诸城</w:t>
            </w:r>
          </w:p>
        </w:tc>
      </w:tr>
    </w:tbl>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预制菜竞争分层：全国性平台（味知香、安井等）与区域龙头并存。诸城以得利斯、惠发双上市引领，在速冻肉丸、调理肉细分具先发优势；但行业同质化、价格战明显，且新进入者众。竞争壁垒来自供应链成本、冷链、渠道与爆品研发，而非简单产能。</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竞争维度</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依据</w:t>
            </w:r>
          </w:p>
        </w:tc>
      </w:tr>
      <w:tr>
        <w:tc>
          <w:tcPr>
            <w:tcW w:type="dxa" w:w="2835"/>
          </w:tcPr>
          <w:p>
            <w:pPr>
              <w:spacing w:lineRule="exact" w:line="600"/>
              <w:jc w:val="center"/>
            </w:pPr>
            <w:r/>
            <w:r>
              <w:rPr>
                <w:rFonts w:ascii="仿宋_GB2312" w:hAnsi="仿宋_GB2312" w:eastAsia="仿宋_GB2312"/>
                <w:b w:val="0"/>
                <w:color w:val="000000"/>
                <w:sz w:val="32"/>
              </w:rPr>
              <w:t>全国龙头</w:t>
            </w:r>
          </w:p>
        </w:tc>
        <w:tc>
          <w:tcPr>
            <w:tcW w:type="dxa" w:w="3402"/>
          </w:tcPr>
          <w:p>
            <w:pPr>
              <w:spacing w:lineRule="exact" w:line="600"/>
              <w:jc w:val="center"/>
            </w:pPr>
            <w:r/>
            <w:r>
              <w:rPr>
                <w:rFonts w:ascii="仿宋_GB2312" w:hAnsi="仿宋_GB2312" w:eastAsia="仿宋_GB2312"/>
                <w:b w:val="0"/>
                <w:color w:val="000000"/>
                <w:sz w:val="32"/>
              </w:rPr>
              <w:t>味知香/安井</w:t>
            </w:r>
          </w:p>
        </w:tc>
        <w:tc>
          <w:tcPr>
            <w:tcW w:type="dxa" w:w="2835"/>
          </w:tcPr>
          <w:p>
            <w:pPr>
              <w:spacing w:lineRule="exact" w:line="600"/>
              <w:jc w:val="center"/>
            </w:pPr>
            <w:r/>
            <w:r>
              <w:rPr>
                <w:rFonts w:ascii="仿宋_GB2312" w:hAnsi="仿宋_GB2312" w:eastAsia="仿宋_GB2312"/>
                <w:b w:val="0"/>
                <w:color w:val="000000"/>
                <w:sz w:val="32"/>
              </w:rPr>
              <w:t>并存</w:t>
            </w:r>
          </w:p>
        </w:tc>
      </w:tr>
      <w:tr>
        <w:tc>
          <w:tcPr>
            <w:tcW w:type="dxa" w:w="2835"/>
          </w:tcPr>
          <w:p>
            <w:pPr>
              <w:spacing w:lineRule="exact" w:line="600"/>
              <w:jc w:val="center"/>
            </w:pPr>
            <w:r/>
            <w:r>
              <w:rPr>
                <w:rFonts w:ascii="仿宋_GB2312" w:hAnsi="仿宋_GB2312" w:eastAsia="仿宋_GB2312"/>
                <w:b w:val="0"/>
                <w:color w:val="000000"/>
                <w:sz w:val="32"/>
              </w:rPr>
              <w:t>诸城</w:t>
            </w:r>
          </w:p>
        </w:tc>
        <w:tc>
          <w:tcPr>
            <w:tcW w:type="dxa" w:w="3402"/>
          </w:tcPr>
          <w:p>
            <w:pPr>
              <w:spacing w:lineRule="exact" w:line="600"/>
              <w:jc w:val="center"/>
            </w:pPr>
            <w:r/>
            <w:r>
              <w:rPr>
                <w:rFonts w:ascii="仿宋_GB2312" w:hAnsi="仿宋_GB2312" w:eastAsia="仿宋_GB2312"/>
                <w:b w:val="0"/>
                <w:color w:val="000000"/>
                <w:sz w:val="32"/>
              </w:rPr>
              <w:t>得利斯/惠发</w:t>
            </w:r>
          </w:p>
        </w:tc>
        <w:tc>
          <w:tcPr>
            <w:tcW w:type="dxa" w:w="2835"/>
          </w:tcPr>
          <w:p>
            <w:pPr>
              <w:spacing w:lineRule="exact" w:line="600"/>
              <w:jc w:val="center"/>
            </w:pPr>
            <w:r/>
            <w:r>
              <w:rPr>
                <w:rFonts w:ascii="仿宋_GB2312" w:hAnsi="仿宋_GB2312" w:eastAsia="仿宋_GB2312"/>
                <w:b w:val="0"/>
                <w:color w:val="000000"/>
                <w:sz w:val="32"/>
              </w:rPr>
              <w:t>双上市</w:t>
            </w:r>
          </w:p>
        </w:tc>
      </w:tr>
      <w:tr>
        <w:tc>
          <w:tcPr>
            <w:tcW w:type="dxa" w:w="2835"/>
          </w:tcPr>
          <w:p>
            <w:pPr>
              <w:spacing w:lineRule="exact" w:line="600"/>
              <w:jc w:val="center"/>
            </w:pPr>
            <w:r/>
            <w:r>
              <w:rPr>
                <w:rFonts w:ascii="仿宋_GB2312" w:hAnsi="仿宋_GB2312" w:eastAsia="仿宋_GB2312"/>
                <w:b w:val="0"/>
                <w:color w:val="000000"/>
                <w:sz w:val="32"/>
              </w:rPr>
              <w:t>细分</w:t>
            </w:r>
          </w:p>
        </w:tc>
        <w:tc>
          <w:tcPr>
            <w:tcW w:type="dxa" w:w="3402"/>
          </w:tcPr>
          <w:p>
            <w:pPr>
              <w:spacing w:lineRule="exact" w:line="600"/>
              <w:jc w:val="center"/>
            </w:pPr>
            <w:r/>
            <w:r>
              <w:rPr>
                <w:rFonts w:ascii="仿宋_GB2312" w:hAnsi="仿宋_GB2312" w:eastAsia="仿宋_GB2312"/>
                <w:b w:val="0"/>
                <w:color w:val="000000"/>
                <w:sz w:val="32"/>
              </w:rPr>
              <w:t>肉丸/调理</w:t>
            </w:r>
          </w:p>
        </w:tc>
        <w:tc>
          <w:tcPr>
            <w:tcW w:type="dxa" w:w="2835"/>
          </w:tcPr>
          <w:p>
            <w:pPr>
              <w:spacing w:lineRule="exact" w:line="600"/>
              <w:jc w:val="center"/>
            </w:pPr>
            <w:r/>
            <w:r>
              <w:rPr>
                <w:rFonts w:ascii="仿宋_GB2312" w:hAnsi="仿宋_GB2312" w:eastAsia="仿宋_GB2312"/>
                <w:b w:val="0"/>
                <w:color w:val="000000"/>
                <w:sz w:val="32"/>
              </w:rPr>
              <w:t>先发</w:t>
            </w:r>
          </w:p>
        </w:tc>
      </w:tr>
      <w:tr>
        <w:tc>
          <w:tcPr>
            <w:tcW w:type="dxa" w:w="2835"/>
          </w:tcPr>
          <w:p>
            <w:pPr>
              <w:spacing w:lineRule="exact" w:line="600"/>
              <w:jc w:val="center"/>
            </w:pPr>
            <w:r/>
            <w:r>
              <w:rPr>
                <w:rFonts w:ascii="仿宋_GB2312" w:hAnsi="仿宋_GB2312" w:eastAsia="仿宋_GB2312"/>
                <w:b w:val="0"/>
                <w:color w:val="000000"/>
                <w:sz w:val="32"/>
              </w:rPr>
              <w:t>壁垒</w:t>
            </w:r>
          </w:p>
        </w:tc>
        <w:tc>
          <w:tcPr>
            <w:tcW w:type="dxa" w:w="3402"/>
          </w:tcPr>
          <w:p>
            <w:pPr>
              <w:spacing w:lineRule="exact" w:line="600"/>
              <w:jc w:val="center"/>
            </w:pPr>
            <w:r/>
            <w:r>
              <w:rPr>
                <w:rFonts w:ascii="仿宋_GB2312" w:hAnsi="仿宋_GB2312" w:eastAsia="仿宋_GB2312"/>
                <w:b w:val="0"/>
                <w:color w:val="000000"/>
                <w:sz w:val="32"/>
              </w:rPr>
              <w:t>供应链</w:t>
            </w:r>
          </w:p>
        </w:tc>
        <w:tc>
          <w:tcPr>
            <w:tcW w:type="dxa" w:w="2835"/>
          </w:tcPr>
          <w:p>
            <w:pPr>
              <w:spacing w:lineRule="exact" w:line="600"/>
              <w:jc w:val="center"/>
            </w:pPr>
            <w:r/>
            <w:r>
              <w:rPr>
                <w:rFonts w:ascii="仿宋_GB2312" w:hAnsi="仿宋_GB2312" w:eastAsia="仿宋_GB2312"/>
                <w:b w:val="0"/>
                <w:color w:val="000000"/>
                <w:sz w:val="32"/>
              </w:rPr>
              <w:t>非产能</w:t>
            </w:r>
          </w:p>
        </w:tc>
      </w:tr>
    </w:tbl>
    <w:p>
      <w:pPr>
        <w:spacing w:lineRule="exact" w:line="600" w:before="120" w:after="120"/>
        <w:ind w:firstLine="420"/>
        <w:jc w:val="left"/>
      </w:pPr>
      <w:r>
        <w:rPr>
          <w:rFonts w:ascii="楷体_GB2312" w:hAnsi="楷体_GB2312" w:eastAsia="楷体_GB2312"/>
          <w:b w:val="0"/>
          <w:color w:val="000000"/>
          <w:sz w:val="32"/>
        </w:rPr>
        <w:t>（三）进出口与出口</w:t>
      </w:r>
    </w:p>
    <w:p>
      <w:pPr>
        <w:spacing w:lineRule="exact" w:line="600" w:before="0" w:after="0"/>
        <w:ind w:firstLine="420"/>
        <w:jc w:val="both"/>
      </w:pPr>
      <w:r>
        <w:rPr>
          <w:rFonts w:ascii="仿宋_GB2312" w:hAnsi="仿宋_GB2312" w:eastAsia="仿宋_GB2312"/>
          <w:b w:val="0"/>
          <w:color w:val="000000"/>
          <w:sz w:val="32"/>
        </w:rPr>
        <w:t>山东农产品出口全国第一，诸城预制菜及速冻食品出口日韩、东南亚具潜力，但受海外法规、标签与冷链跨境限制。行业共性研判：RCEP与跨境冷链完善将打开出口增量，目前以国内大循环为主，出口为补充。相较于沿海出口强市，诸城出口以鸡肉与调理食品为核心，依托诸城外贸等企业的日韩渠道积淀；未来可借跨境电商与海外仓降低中小食品企业出口门槛，将「诸城味道」由B端原料输出升级为品牌化终端输出。</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w:t>
      </w:r>
    </w:p>
    <w:p>
      <w:pPr>
        <w:spacing w:lineRule="exact" w:line="600" w:before="0" w:after="0"/>
        <w:ind w:firstLine="420"/>
        <w:jc w:val="both"/>
      </w:pPr>
      <w:r>
        <w:rPr>
          <w:rFonts w:ascii="仿宋_GB2312" w:hAnsi="仿宋_GB2312" w:eastAsia="仿宋_GB2312"/>
          <w:b w:val="0"/>
          <w:color w:val="000000"/>
          <w:sz w:val="32"/>
        </w:rPr>
        <w:t>诸城健康食品及预制菜集群汇聚企业556家、规上52家，2023年规上预制菜产值165亿元（+16%），是全国最大速冻肉丸基地。集群覆盖原料、制造、包装、冷链、设备全链条，形成「龙头+配套+平台」生态，获批省级特色产业集群，集聚与协同效应显著。</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集聚指标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企业</w:t>
            </w:r>
          </w:p>
        </w:tc>
        <w:tc>
          <w:tcPr>
            <w:tcW w:type="dxa" w:w="3402"/>
          </w:tcPr>
          <w:p>
            <w:pPr>
              <w:spacing w:lineRule="exact" w:line="600"/>
              <w:jc w:val="center"/>
            </w:pPr>
            <w:r/>
            <w:r>
              <w:rPr>
                <w:rFonts w:ascii="仿宋_GB2312" w:hAnsi="仿宋_GB2312" w:eastAsia="仿宋_GB2312"/>
                <w:b w:val="0"/>
                <w:color w:val="000000"/>
                <w:sz w:val="32"/>
              </w:rPr>
              <w:t>556家</w:t>
            </w:r>
          </w:p>
        </w:tc>
        <w:tc>
          <w:tcPr>
            <w:tcW w:type="dxa" w:w="2835"/>
          </w:tcPr>
          <w:p>
            <w:pPr>
              <w:spacing w:lineRule="exact" w:line="600"/>
              <w:jc w:val="center"/>
            </w:pPr>
            <w:r/>
            <w:r>
              <w:rPr>
                <w:rFonts w:ascii="仿宋_GB2312" w:hAnsi="仿宋_GB2312" w:eastAsia="仿宋_GB2312"/>
                <w:b w:val="0"/>
                <w:color w:val="000000"/>
                <w:sz w:val="32"/>
              </w:rPr>
              <w:t>诸城</w:t>
            </w:r>
          </w:p>
        </w:tc>
      </w:tr>
      <w:tr>
        <w:tc>
          <w:tcPr>
            <w:tcW w:type="dxa" w:w="2835"/>
          </w:tcPr>
          <w:p>
            <w:pPr>
              <w:spacing w:lineRule="exact" w:line="600"/>
              <w:jc w:val="center"/>
            </w:pPr>
            <w:r/>
            <w:r>
              <w:rPr>
                <w:rFonts w:ascii="仿宋_GB2312" w:hAnsi="仿宋_GB2312" w:eastAsia="仿宋_GB2312"/>
                <w:b w:val="0"/>
                <w:color w:val="000000"/>
                <w:sz w:val="32"/>
              </w:rPr>
              <w:t>规上</w:t>
            </w:r>
          </w:p>
        </w:tc>
        <w:tc>
          <w:tcPr>
            <w:tcW w:type="dxa" w:w="3402"/>
          </w:tcPr>
          <w:p>
            <w:pPr>
              <w:spacing w:lineRule="exact" w:line="600"/>
              <w:jc w:val="center"/>
            </w:pPr>
            <w:r/>
            <w:r>
              <w:rPr>
                <w:rFonts w:ascii="仿宋_GB2312" w:hAnsi="仿宋_GB2312" w:eastAsia="仿宋_GB2312"/>
                <w:b w:val="0"/>
                <w:color w:val="000000"/>
                <w:sz w:val="32"/>
              </w:rPr>
              <w:t>52家</w:t>
            </w:r>
          </w:p>
        </w:tc>
        <w:tc>
          <w:tcPr>
            <w:tcW w:type="dxa" w:w="2835"/>
          </w:tcPr>
          <w:p>
            <w:pPr>
              <w:spacing w:lineRule="exact" w:line="600"/>
              <w:jc w:val="center"/>
            </w:pPr>
            <w:r/>
            <w:r>
              <w:rPr>
                <w:rFonts w:ascii="仿宋_GB2312" w:hAnsi="仿宋_GB2312" w:eastAsia="仿宋_GB2312"/>
                <w:b w:val="0"/>
                <w:color w:val="000000"/>
                <w:sz w:val="32"/>
              </w:rPr>
              <w:t>诸城</w:t>
            </w:r>
          </w:p>
        </w:tc>
      </w:tr>
      <w:tr>
        <w:tc>
          <w:tcPr>
            <w:tcW w:type="dxa" w:w="2835"/>
          </w:tcPr>
          <w:p>
            <w:pPr>
              <w:spacing w:lineRule="exact" w:line="600"/>
              <w:jc w:val="center"/>
            </w:pPr>
            <w:r/>
            <w:r>
              <w:rPr>
                <w:rFonts w:ascii="仿宋_GB2312" w:hAnsi="仿宋_GB2312" w:eastAsia="仿宋_GB2312"/>
                <w:b w:val="0"/>
                <w:color w:val="000000"/>
                <w:sz w:val="32"/>
              </w:rPr>
              <w:t>产值</w:t>
            </w:r>
          </w:p>
        </w:tc>
        <w:tc>
          <w:tcPr>
            <w:tcW w:type="dxa" w:w="3402"/>
          </w:tcPr>
          <w:p>
            <w:pPr>
              <w:spacing w:lineRule="exact" w:line="600"/>
              <w:jc w:val="center"/>
            </w:pPr>
            <w:r/>
            <w:r>
              <w:rPr>
                <w:rFonts w:ascii="仿宋_GB2312" w:hAnsi="仿宋_GB2312" w:eastAsia="仿宋_GB2312"/>
                <w:b w:val="0"/>
                <w:color w:val="000000"/>
                <w:sz w:val="32"/>
              </w:rPr>
              <w:t>165亿</w:t>
            </w:r>
          </w:p>
        </w:tc>
        <w:tc>
          <w:tcPr>
            <w:tcW w:type="dxa" w:w="2835"/>
          </w:tcPr>
          <w:p>
            <w:pPr>
              <w:spacing w:lineRule="exact" w:line="600"/>
              <w:jc w:val="center"/>
            </w:pPr>
            <w:r/>
            <w:r>
              <w:rPr>
                <w:rFonts w:ascii="仿宋_GB2312" w:hAnsi="仿宋_GB2312" w:eastAsia="仿宋_GB2312"/>
                <w:b w:val="0"/>
                <w:color w:val="000000"/>
                <w:sz w:val="32"/>
              </w:rPr>
              <w:t>+16%</w:t>
            </w:r>
          </w:p>
        </w:tc>
      </w:tr>
      <w:tr>
        <w:tc>
          <w:tcPr>
            <w:tcW w:type="dxa" w:w="2835"/>
          </w:tcPr>
          <w:p>
            <w:pPr>
              <w:spacing w:lineRule="exact" w:line="600"/>
              <w:jc w:val="center"/>
            </w:pPr>
            <w:r/>
            <w:r>
              <w:rPr>
                <w:rFonts w:ascii="仿宋_GB2312" w:hAnsi="仿宋_GB2312" w:eastAsia="仿宋_GB2312"/>
                <w:b w:val="0"/>
                <w:color w:val="000000"/>
                <w:sz w:val="32"/>
              </w:rPr>
              <w:t>基地</w:t>
            </w:r>
          </w:p>
        </w:tc>
        <w:tc>
          <w:tcPr>
            <w:tcW w:type="dxa" w:w="3402"/>
          </w:tcPr>
          <w:p>
            <w:pPr>
              <w:spacing w:lineRule="exact" w:line="600"/>
              <w:jc w:val="center"/>
            </w:pPr>
            <w:r/>
            <w:r>
              <w:rPr>
                <w:rFonts w:ascii="仿宋_GB2312" w:hAnsi="仿宋_GB2312" w:eastAsia="仿宋_GB2312"/>
                <w:b w:val="0"/>
                <w:color w:val="000000"/>
                <w:sz w:val="32"/>
              </w:rPr>
              <w:t>速冻肉丸</w:t>
            </w:r>
          </w:p>
        </w:tc>
        <w:tc>
          <w:tcPr>
            <w:tcW w:type="dxa" w:w="2835"/>
          </w:tcPr>
          <w:p>
            <w:pPr>
              <w:spacing w:lineRule="exact" w:line="600"/>
              <w:jc w:val="center"/>
            </w:pPr>
            <w:r/>
            <w:r>
              <w:rPr>
                <w:rFonts w:ascii="仿宋_GB2312" w:hAnsi="仿宋_GB2312" w:eastAsia="仿宋_GB2312"/>
                <w:b w:val="0"/>
                <w:color w:val="000000"/>
                <w:sz w:val="32"/>
              </w:rPr>
              <w:t>最大</w:t>
            </w:r>
          </w:p>
        </w:tc>
      </w:tr>
    </w:tbl>
    <w:p>
      <w:pPr>
        <w:spacing w:lineRule="exact" w:line="600" w:before="120" w:after="120"/>
        <w:ind w:firstLine="420"/>
        <w:jc w:val="left"/>
      </w:pPr>
      <w:r>
        <w:rPr>
          <w:rFonts w:ascii="楷体_GB2312" w:hAnsi="楷体_GB2312" w:eastAsia="楷体_GB2312"/>
          <w:b w:val="0"/>
          <w:color w:val="000000"/>
          <w:sz w:val="32"/>
        </w:rPr>
        <w:t>（二）链主企业能力</w:t>
      </w:r>
    </w:p>
    <w:p>
      <w:pPr>
        <w:spacing w:lineRule="exact" w:line="600" w:before="0" w:after="0"/>
        <w:ind w:firstLine="420"/>
        <w:jc w:val="both"/>
      </w:pPr>
      <w:r>
        <w:rPr>
          <w:rFonts w:ascii="仿宋_GB2312" w:hAnsi="仿宋_GB2312" w:eastAsia="仿宋_GB2312"/>
          <w:b w:val="0"/>
          <w:color w:val="000000"/>
          <w:sz w:val="32"/>
        </w:rPr>
        <w:t>得利斯2023年预制菜收入6.53亿元、惠发食品营收19.97亿元（+26.36%）、丸制品5.15亿元，两家A股公司构成集群双核。得利斯品牌与低温肉制品积淀赋能预制菜；惠发速冻调理规模与渠道优势突出。双龙头带动上下游配套与区域品牌建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链主指标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得利斯预制菜</w:t>
            </w:r>
          </w:p>
        </w:tc>
        <w:tc>
          <w:tcPr>
            <w:tcW w:type="dxa" w:w="3118"/>
          </w:tcPr>
          <w:p>
            <w:pPr>
              <w:spacing w:lineRule="exact" w:line="600"/>
              <w:jc w:val="center"/>
            </w:pPr>
            <w:r/>
            <w:r>
              <w:rPr>
                <w:rFonts w:ascii="仿宋_GB2312" w:hAnsi="仿宋_GB2312" w:eastAsia="仿宋_GB2312"/>
                <w:b w:val="0"/>
                <w:color w:val="000000"/>
                <w:sz w:val="32"/>
              </w:rPr>
              <w:t>6.53亿元</w:t>
            </w:r>
          </w:p>
        </w:tc>
        <w:tc>
          <w:tcPr>
            <w:tcW w:type="dxa" w:w="3118"/>
          </w:tcPr>
          <w:p>
            <w:pPr>
              <w:spacing w:lineRule="exact" w:line="600"/>
              <w:jc w:val="center"/>
            </w:pPr>
            <w:r/>
            <w:r>
              <w:rPr>
                <w:rFonts w:ascii="仿宋_GB2312" w:hAnsi="仿宋_GB2312" w:eastAsia="仿宋_GB2312"/>
                <w:b w:val="0"/>
                <w:color w:val="000000"/>
                <w:sz w:val="32"/>
              </w:rPr>
              <w:t>收入</w:t>
            </w:r>
          </w:p>
        </w:tc>
      </w:tr>
      <w:tr>
        <w:tc>
          <w:tcPr>
            <w:tcW w:type="dxa" w:w="2835"/>
          </w:tcPr>
          <w:p>
            <w:pPr>
              <w:spacing w:lineRule="exact" w:line="600"/>
              <w:jc w:val="center"/>
            </w:pPr>
            <w:r/>
            <w:r>
              <w:rPr>
                <w:rFonts w:ascii="仿宋_GB2312" w:hAnsi="仿宋_GB2312" w:eastAsia="仿宋_GB2312"/>
                <w:b w:val="0"/>
                <w:color w:val="000000"/>
                <w:sz w:val="32"/>
              </w:rPr>
              <w:t>惠发营收</w:t>
            </w:r>
          </w:p>
        </w:tc>
        <w:tc>
          <w:tcPr>
            <w:tcW w:type="dxa" w:w="3118"/>
          </w:tcPr>
          <w:p>
            <w:pPr>
              <w:spacing w:lineRule="exact" w:line="600"/>
              <w:jc w:val="center"/>
            </w:pPr>
            <w:r/>
            <w:r>
              <w:rPr>
                <w:rFonts w:ascii="仿宋_GB2312" w:hAnsi="仿宋_GB2312" w:eastAsia="仿宋_GB2312"/>
                <w:b w:val="0"/>
                <w:color w:val="000000"/>
                <w:sz w:val="32"/>
              </w:rPr>
              <w:t>19.97亿元</w:t>
            </w:r>
          </w:p>
        </w:tc>
        <w:tc>
          <w:tcPr>
            <w:tcW w:type="dxa" w:w="3118"/>
          </w:tcPr>
          <w:p>
            <w:pPr>
              <w:spacing w:lineRule="exact" w:line="600"/>
              <w:jc w:val="center"/>
            </w:pPr>
            <w:r/>
            <w:r>
              <w:rPr>
                <w:rFonts w:ascii="仿宋_GB2312" w:hAnsi="仿宋_GB2312" w:eastAsia="仿宋_GB2312"/>
                <w:b w:val="0"/>
                <w:color w:val="000000"/>
                <w:sz w:val="32"/>
              </w:rPr>
              <w:t>+26.36%</w:t>
            </w:r>
          </w:p>
        </w:tc>
      </w:tr>
      <w:tr>
        <w:tc>
          <w:tcPr>
            <w:tcW w:type="dxa" w:w="2835"/>
          </w:tcPr>
          <w:p>
            <w:pPr>
              <w:spacing w:lineRule="exact" w:line="600"/>
              <w:jc w:val="center"/>
            </w:pPr>
            <w:r/>
            <w:r>
              <w:rPr>
                <w:rFonts w:ascii="仿宋_GB2312" w:hAnsi="仿宋_GB2312" w:eastAsia="仿宋_GB2312"/>
                <w:b w:val="0"/>
                <w:color w:val="000000"/>
                <w:sz w:val="32"/>
              </w:rPr>
              <w:t>惠发丸制品</w:t>
            </w:r>
          </w:p>
        </w:tc>
        <w:tc>
          <w:tcPr>
            <w:tcW w:type="dxa" w:w="3118"/>
          </w:tcPr>
          <w:p>
            <w:pPr>
              <w:spacing w:lineRule="exact" w:line="600"/>
              <w:jc w:val="center"/>
            </w:pPr>
            <w:r/>
            <w:r>
              <w:rPr>
                <w:rFonts w:ascii="仿宋_GB2312" w:hAnsi="仿宋_GB2312" w:eastAsia="仿宋_GB2312"/>
                <w:b w:val="0"/>
                <w:color w:val="000000"/>
                <w:sz w:val="32"/>
              </w:rPr>
              <w:t>5.15亿元</w:t>
            </w:r>
          </w:p>
        </w:tc>
        <w:tc>
          <w:tcPr>
            <w:tcW w:type="dxa" w:w="3118"/>
          </w:tcPr>
          <w:p>
            <w:pPr>
              <w:spacing w:lineRule="exact" w:line="600"/>
              <w:jc w:val="center"/>
            </w:pPr>
            <w:r/>
            <w:r>
              <w:rPr>
                <w:rFonts w:ascii="仿宋_GB2312" w:hAnsi="仿宋_GB2312" w:eastAsia="仿宋_GB2312"/>
                <w:b w:val="0"/>
                <w:color w:val="000000"/>
                <w:sz w:val="32"/>
              </w:rPr>
              <w:t>速冻</w:t>
            </w:r>
          </w:p>
        </w:tc>
      </w:tr>
      <w:tr>
        <w:tc>
          <w:tcPr>
            <w:tcW w:type="dxa" w:w="2835"/>
          </w:tcPr>
          <w:p>
            <w:pPr>
              <w:spacing w:lineRule="exact" w:line="600"/>
              <w:jc w:val="center"/>
            </w:pPr>
            <w:r/>
            <w:r>
              <w:rPr>
                <w:rFonts w:ascii="仿宋_GB2312" w:hAnsi="仿宋_GB2312" w:eastAsia="仿宋_GB2312"/>
                <w:b w:val="0"/>
                <w:color w:val="000000"/>
                <w:sz w:val="32"/>
              </w:rPr>
              <w:t>惠发归母</w:t>
            </w:r>
          </w:p>
        </w:tc>
        <w:tc>
          <w:tcPr>
            <w:tcW w:type="dxa" w:w="3118"/>
          </w:tcPr>
          <w:p>
            <w:pPr>
              <w:spacing w:lineRule="exact" w:line="600"/>
              <w:jc w:val="center"/>
            </w:pPr>
            <w:r/>
            <w:r>
              <w:rPr>
                <w:rFonts w:ascii="仿宋_GB2312" w:hAnsi="仿宋_GB2312" w:eastAsia="仿宋_GB2312"/>
                <w:b w:val="0"/>
                <w:color w:val="000000"/>
                <w:sz w:val="32"/>
              </w:rPr>
              <w:t>751.59万元</w:t>
            </w:r>
          </w:p>
        </w:tc>
        <w:tc>
          <w:tcPr>
            <w:tcW w:type="dxa" w:w="3118"/>
          </w:tcPr>
          <w:p>
            <w:pPr>
              <w:spacing w:lineRule="exact" w:line="600"/>
              <w:jc w:val="center"/>
            </w:pPr>
            <w:r/>
            <w:r>
              <w:rPr>
                <w:rFonts w:ascii="仿宋_GB2312" w:hAnsi="仿宋_GB2312" w:eastAsia="仿宋_GB2312"/>
                <w:b w:val="0"/>
                <w:color w:val="000000"/>
                <w:sz w:val="32"/>
              </w:rPr>
              <w:t>盈利</w:t>
            </w:r>
          </w:p>
        </w:tc>
      </w:tr>
    </w:tbl>
    <w:p>
      <w:pPr>
        <w:spacing w:lineRule="exact" w:line="600" w:before="120" w:after="120"/>
        <w:ind w:firstLine="420"/>
        <w:jc w:val="left"/>
      </w:pPr>
      <w:r>
        <w:rPr>
          <w:rFonts w:ascii="楷体_GB2312" w:hAnsi="楷体_GB2312" w:eastAsia="楷体_GB2312"/>
          <w:b w:val="0"/>
          <w:color w:val="000000"/>
          <w:sz w:val="32"/>
        </w:rPr>
        <w:t>（三）配套与专精特新</w:t>
      </w:r>
    </w:p>
    <w:p>
      <w:pPr>
        <w:spacing w:lineRule="exact" w:line="600" w:before="0" w:after="0"/>
        <w:ind w:firstLine="420"/>
        <w:jc w:val="both"/>
      </w:pPr>
      <w:r>
        <w:rPr>
          <w:rFonts w:ascii="仿宋_GB2312" w:hAnsi="仿宋_GB2312" w:eastAsia="仿宋_GB2312"/>
          <w:b w:val="0"/>
          <w:color w:val="000000"/>
          <w:sz w:val="32"/>
        </w:rPr>
        <w:t>围绕预制菜，诸城集聚调味料、包装、速冻设备、冷链物流等配套企业，并与屠宰、餐饮供应链协同。中小企业通过技改与爆品切入细分；集群以双龙头引领、专精特新补链，形成大中小企业融通格局（部分配套企业公开数据有限，以共性研判）。诸城建有预制菜产业园与公共检验检测、研发服务平台，降低中小企业合规与创新门槛，支撑「龙头+配套」融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配套环节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作用</w:t>
            </w:r>
          </w:p>
        </w:tc>
      </w:tr>
      <w:tr>
        <w:tc>
          <w:tcPr>
            <w:tcW w:type="dxa" w:w="2835"/>
          </w:tcPr>
          <w:p>
            <w:pPr>
              <w:spacing w:lineRule="exact" w:line="600"/>
              <w:jc w:val="center"/>
            </w:pPr>
            <w:r/>
            <w:r>
              <w:rPr>
                <w:rFonts w:ascii="仿宋_GB2312" w:hAnsi="仿宋_GB2312" w:eastAsia="仿宋_GB2312"/>
                <w:b w:val="0"/>
                <w:color w:val="000000"/>
                <w:sz w:val="32"/>
              </w:rPr>
              <w:t>调味料/包材</w:t>
            </w:r>
          </w:p>
        </w:tc>
        <w:tc>
          <w:tcPr>
            <w:tcW w:type="dxa" w:w="3402"/>
          </w:tcPr>
          <w:p>
            <w:pPr>
              <w:spacing w:lineRule="exact" w:line="600"/>
              <w:jc w:val="center"/>
            </w:pPr>
            <w:r/>
            <w:r>
              <w:rPr>
                <w:rFonts w:ascii="仿宋_GB2312" w:hAnsi="仿宋_GB2312" w:eastAsia="仿宋_GB2312"/>
                <w:b w:val="0"/>
                <w:color w:val="000000"/>
                <w:sz w:val="32"/>
              </w:rPr>
              <w:t>本地</w:t>
            </w:r>
          </w:p>
        </w:tc>
        <w:tc>
          <w:tcPr>
            <w:tcW w:type="dxa" w:w="2835"/>
          </w:tcPr>
          <w:p>
            <w:pPr>
              <w:spacing w:lineRule="exact" w:line="600"/>
              <w:jc w:val="center"/>
            </w:pPr>
            <w:r/>
            <w:r>
              <w:rPr>
                <w:rFonts w:ascii="仿宋_GB2312" w:hAnsi="仿宋_GB2312" w:eastAsia="仿宋_GB2312"/>
                <w:b w:val="0"/>
                <w:color w:val="000000"/>
                <w:sz w:val="32"/>
              </w:rPr>
              <w:t>配套</w:t>
            </w:r>
          </w:p>
        </w:tc>
      </w:tr>
      <w:tr>
        <w:tc>
          <w:tcPr>
            <w:tcW w:type="dxa" w:w="2835"/>
          </w:tcPr>
          <w:p>
            <w:pPr>
              <w:spacing w:lineRule="exact" w:line="600"/>
              <w:jc w:val="center"/>
            </w:pPr>
            <w:r/>
            <w:r>
              <w:rPr>
                <w:rFonts w:ascii="仿宋_GB2312" w:hAnsi="仿宋_GB2312" w:eastAsia="仿宋_GB2312"/>
                <w:b w:val="0"/>
                <w:color w:val="000000"/>
                <w:sz w:val="32"/>
              </w:rPr>
              <w:t>速冻设备</w:t>
            </w:r>
          </w:p>
        </w:tc>
        <w:tc>
          <w:tcPr>
            <w:tcW w:type="dxa" w:w="3402"/>
          </w:tcPr>
          <w:p>
            <w:pPr>
              <w:spacing w:lineRule="exact" w:line="600"/>
              <w:jc w:val="center"/>
            </w:pPr>
            <w:r/>
            <w:r>
              <w:rPr>
                <w:rFonts w:ascii="仿宋_GB2312" w:hAnsi="仿宋_GB2312" w:eastAsia="仿宋_GB2312"/>
                <w:b w:val="0"/>
                <w:color w:val="000000"/>
                <w:sz w:val="32"/>
              </w:rPr>
              <w:t>本地</w:t>
            </w:r>
          </w:p>
        </w:tc>
        <w:tc>
          <w:tcPr>
            <w:tcW w:type="dxa" w:w="2835"/>
          </w:tcPr>
          <w:p>
            <w:pPr>
              <w:spacing w:lineRule="exact" w:line="600"/>
              <w:jc w:val="center"/>
            </w:pPr>
            <w:r/>
            <w:r>
              <w:rPr>
                <w:rFonts w:ascii="仿宋_GB2312" w:hAnsi="仿宋_GB2312" w:eastAsia="仿宋_GB2312"/>
                <w:b w:val="0"/>
                <w:color w:val="000000"/>
                <w:sz w:val="32"/>
              </w:rPr>
              <w:t>制造</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协同</w:t>
            </w:r>
          </w:p>
        </w:tc>
        <w:tc>
          <w:tcPr>
            <w:tcW w:type="dxa" w:w="2835"/>
          </w:tcPr>
          <w:p>
            <w:pPr>
              <w:spacing w:lineRule="exact" w:line="600"/>
              <w:jc w:val="center"/>
            </w:pPr>
            <w:r/>
            <w:r>
              <w:rPr>
                <w:rFonts w:ascii="仿宋_GB2312" w:hAnsi="仿宋_GB2312" w:eastAsia="仿宋_GB2312"/>
                <w:b w:val="0"/>
                <w:color w:val="000000"/>
                <w:sz w:val="32"/>
              </w:rPr>
              <w:t>流通</w:t>
            </w:r>
          </w:p>
        </w:tc>
      </w:tr>
      <w:tr>
        <w:tc>
          <w:tcPr>
            <w:tcW w:type="dxa" w:w="2835"/>
          </w:tcPr>
          <w:p>
            <w:pPr>
              <w:spacing w:lineRule="exact" w:line="600"/>
              <w:jc w:val="center"/>
            </w:pPr>
            <w:r/>
            <w:r>
              <w:rPr>
                <w:rFonts w:ascii="仿宋_GB2312" w:hAnsi="仿宋_GB2312" w:eastAsia="仿宋_GB2312"/>
                <w:b w:val="0"/>
                <w:color w:val="000000"/>
                <w:sz w:val="32"/>
              </w:rPr>
              <w:t>公共平台</w:t>
            </w:r>
          </w:p>
        </w:tc>
        <w:tc>
          <w:tcPr>
            <w:tcW w:type="dxa" w:w="3402"/>
          </w:tcPr>
          <w:p>
            <w:pPr>
              <w:spacing w:lineRule="exact" w:line="600"/>
              <w:jc w:val="center"/>
            </w:pPr>
            <w:r/>
            <w:r>
              <w:rPr>
                <w:rFonts w:ascii="仿宋_GB2312" w:hAnsi="仿宋_GB2312" w:eastAsia="仿宋_GB2312"/>
                <w:b w:val="0"/>
                <w:color w:val="000000"/>
                <w:sz w:val="32"/>
              </w:rPr>
              <w:t>检测/研发</w:t>
            </w:r>
          </w:p>
        </w:tc>
        <w:tc>
          <w:tcPr>
            <w:tcW w:type="dxa" w:w="2835"/>
          </w:tcPr>
          <w:p>
            <w:pPr>
              <w:spacing w:lineRule="exact" w:line="600"/>
              <w:jc w:val="center"/>
            </w:pPr>
            <w:r/>
            <w:r>
              <w:rPr>
                <w:rFonts w:ascii="仿宋_GB2312" w:hAnsi="仿宋_GB2312" w:eastAsia="仿宋_GB2312"/>
                <w:b w:val="0"/>
                <w:color w:val="000000"/>
                <w:sz w:val="32"/>
              </w:rPr>
              <w:t>降门槛</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（一）核心工艺</w:t>
      </w:r>
    </w:p>
    <w:p>
      <w:pPr>
        <w:spacing w:lineRule="exact" w:line="600" w:before="0" w:after="0"/>
        <w:ind w:firstLine="420"/>
        <w:jc w:val="both"/>
      </w:pPr>
      <w:r>
        <w:rPr>
          <w:rFonts w:ascii="仿宋_GB2312" w:hAnsi="仿宋_GB2312" w:eastAsia="仿宋_GB2312"/>
          <w:b w:val="0"/>
          <w:color w:val="000000"/>
          <w:sz w:val="32"/>
        </w:rPr>
        <w:t>预制菜与速冻调理核心工艺为斩拌乳化、成型、速冻锁鲜（IQF -35℃以下）、气调/真空包装与杀菌。惠发肉丸的弹性与保水性依赖斩拌与配料工艺；得利斯依托低温肉制品技术延展预制菜肴。锁鲜与还原度是工艺竞争焦点。</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工艺环节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斩拌乳化</w:t>
            </w:r>
          </w:p>
        </w:tc>
        <w:tc>
          <w:tcPr>
            <w:tcW w:type="dxa" w:w="3402"/>
          </w:tcPr>
          <w:p>
            <w:pPr>
              <w:spacing w:lineRule="exact" w:line="600"/>
              <w:jc w:val="center"/>
            </w:pPr>
            <w:r/>
            <w:r>
              <w:rPr>
                <w:rFonts w:ascii="仿宋_GB2312" w:hAnsi="仿宋_GB2312" w:eastAsia="仿宋_GB2312"/>
                <w:b w:val="0"/>
                <w:color w:val="000000"/>
                <w:sz w:val="32"/>
              </w:rPr>
              <w:t>肉丸弹性</w:t>
            </w:r>
          </w:p>
        </w:tc>
        <w:tc>
          <w:tcPr>
            <w:tcW w:type="dxa" w:w="2835"/>
          </w:tcPr>
          <w:p>
            <w:pPr>
              <w:spacing w:lineRule="exact" w:line="600"/>
              <w:jc w:val="center"/>
            </w:pPr>
            <w:r/>
            <w:r>
              <w:rPr>
                <w:rFonts w:ascii="仿宋_GB2312" w:hAnsi="仿宋_GB2312" w:eastAsia="仿宋_GB2312"/>
                <w:b w:val="0"/>
                <w:color w:val="000000"/>
                <w:sz w:val="32"/>
              </w:rPr>
              <w:t>工艺</w:t>
            </w:r>
          </w:p>
        </w:tc>
      </w:tr>
      <w:tr>
        <w:tc>
          <w:tcPr>
            <w:tcW w:type="dxa" w:w="2835"/>
          </w:tcPr>
          <w:p>
            <w:pPr>
              <w:spacing w:lineRule="exact" w:line="600"/>
              <w:jc w:val="center"/>
            </w:pPr>
            <w:r/>
            <w:r>
              <w:rPr>
                <w:rFonts w:ascii="仿宋_GB2312" w:hAnsi="仿宋_GB2312" w:eastAsia="仿宋_GB2312"/>
                <w:b w:val="0"/>
                <w:color w:val="000000"/>
                <w:sz w:val="32"/>
              </w:rPr>
              <w:t>速冻IQF</w:t>
            </w:r>
          </w:p>
        </w:tc>
        <w:tc>
          <w:tcPr>
            <w:tcW w:type="dxa" w:w="3402"/>
          </w:tcPr>
          <w:p>
            <w:pPr>
              <w:spacing w:lineRule="exact" w:line="600"/>
              <w:jc w:val="center"/>
            </w:pPr>
            <w:r/>
            <w:r>
              <w:rPr>
                <w:rFonts w:ascii="仿宋_GB2312" w:hAnsi="仿宋_GB2312" w:eastAsia="仿宋_GB2312"/>
                <w:b w:val="0"/>
                <w:color w:val="000000"/>
                <w:sz w:val="32"/>
              </w:rPr>
              <w:t>锁鲜</w:t>
            </w:r>
          </w:p>
        </w:tc>
        <w:tc>
          <w:tcPr>
            <w:tcW w:type="dxa" w:w="2835"/>
          </w:tcPr>
          <w:p>
            <w:pPr>
              <w:spacing w:lineRule="exact" w:line="600"/>
              <w:jc w:val="center"/>
            </w:pPr>
            <w:r/>
            <w:r>
              <w:rPr>
                <w:rFonts w:ascii="仿宋_GB2312" w:hAnsi="仿宋_GB2312" w:eastAsia="仿宋_GB2312"/>
                <w:b w:val="0"/>
                <w:color w:val="000000"/>
                <w:sz w:val="32"/>
              </w:rPr>
              <w:t>-35℃</w:t>
            </w:r>
          </w:p>
        </w:tc>
      </w:tr>
      <w:tr>
        <w:tc>
          <w:tcPr>
            <w:tcW w:type="dxa" w:w="2835"/>
          </w:tcPr>
          <w:p>
            <w:pPr>
              <w:spacing w:lineRule="exact" w:line="600"/>
              <w:jc w:val="center"/>
            </w:pPr>
            <w:r/>
            <w:r>
              <w:rPr>
                <w:rFonts w:ascii="仿宋_GB2312" w:hAnsi="仿宋_GB2312" w:eastAsia="仿宋_GB2312"/>
                <w:b w:val="0"/>
                <w:color w:val="000000"/>
                <w:sz w:val="32"/>
              </w:rPr>
              <w:t>包装</w:t>
            </w:r>
          </w:p>
        </w:tc>
        <w:tc>
          <w:tcPr>
            <w:tcW w:type="dxa" w:w="3402"/>
          </w:tcPr>
          <w:p>
            <w:pPr>
              <w:spacing w:lineRule="exact" w:line="600"/>
              <w:jc w:val="center"/>
            </w:pPr>
            <w:r/>
            <w:r>
              <w:rPr>
                <w:rFonts w:ascii="仿宋_GB2312" w:hAnsi="仿宋_GB2312" w:eastAsia="仿宋_GB2312"/>
                <w:b w:val="0"/>
                <w:color w:val="000000"/>
                <w:sz w:val="32"/>
              </w:rPr>
              <w:t>气调/真空</w:t>
            </w:r>
          </w:p>
        </w:tc>
        <w:tc>
          <w:tcPr>
            <w:tcW w:type="dxa" w:w="2835"/>
          </w:tcPr>
          <w:p>
            <w:pPr>
              <w:spacing w:lineRule="exact" w:line="600"/>
              <w:jc w:val="center"/>
            </w:pPr>
            <w:r/>
            <w:r>
              <w:rPr>
                <w:rFonts w:ascii="仿宋_GB2312" w:hAnsi="仿宋_GB2312" w:eastAsia="仿宋_GB2312"/>
                <w:b w:val="0"/>
                <w:color w:val="000000"/>
                <w:sz w:val="32"/>
              </w:rPr>
              <w:t>保鲜</w:t>
            </w:r>
          </w:p>
        </w:tc>
      </w:tr>
      <w:tr>
        <w:tc>
          <w:tcPr>
            <w:tcW w:type="dxa" w:w="2835"/>
          </w:tcPr>
          <w:p>
            <w:pPr>
              <w:spacing w:lineRule="exact" w:line="600"/>
              <w:jc w:val="center"/>
            </w:pPr>
            <w:r/>
            <w:r>
              <w:rPr>
                <w:rFonts w:ascii="仿宋_GB2312" w:hAnsi="仿宋_GB2312" w:eastAsia="仿宋_GB2312"/>
                <w:b w:val="0"/>
                <w:color w:val="000000"/>
                <w:sz w:val="32"/>
              </w:rPr>
              <w:t>杀菌</w:t>
            </w:r>
          </w:p>
        </w:tc>
        <w:tc>
          <w:tcPr>
            <w:tcW w:type="dxa" w:w="3402"/>
          </w:tcPr>
          <w:p>
            <w:pPr>
              <w:spacing w:lineRule="exact" w:line="600"/>
              <w:jc w:val="center"/>
            </w:pPr>
            <w:r/>
            <w:r>
              <w:rPr>
                <w:rFonts w:ascii="仿宋_GB2312" w:hAnsi="仿宋_GB2312" w:eastAsia="仿宋_GB2312"/>
                <w:b w:val="0"/>
                <w:color w:val="000000"/>
                <w:sz w:val="32"/>
              </w:rPr>
              <w:t>安全</w:t>
            </w:r>
          </w:p>
        </w:tc>
        <w:tc>
          <w:tcPr>
            <w:tcW w:type="dxa" w:w="2835"/>
          </w:tcPr>
          <w:p>
            <w:pPr>
              <w:spacing w:lineRule="exact" w:line="600"/>
              <w:jc w:val="center"/>
            </w:pPr>
            <w:r/>
            <w:r>
              <w:rPr>
                <w:rFonts w:ascii="仿宋_GB2312" w:hAnsi="仿宋_GB2312" w:eastAsia="仿宋_GB2312"/>
                <w:b w:val="0"/>
                <w:color w:val="000000"/>
                <w:sz w:val="32"/>
              </w:rPr>
              <w:t>还原</w:t>
            </w:r>
          </w:p>
        </w:tc>
      </w:tr>
    </w:tbl>
    <w:p>
      <w:pPr>
        <w:spacing w:lineRule="exact" w:line="600" w:before="120" w:after="120"/>
        <w:ind w:firstLine="420"/>
        <w:jc w:val="left"/>
      </w:pPr>
      <w:r>
        <w:rPr>
          <w:rFonts w:ascii="楷体_GB2312" w:hAnsi="楷体_GB2312" w:eastAsia="楷体_GB2312"/>
          <w:b w:val="0"/>
          <w:color w:val="000000"/>
          <w:sz w:val="32"/>
        </w:rPr>
        <w:t>（二）创新与研发</w:t>
      </w:r>
    </w:p>
    <w:p>
      <w:pPr>
        <w:spacing w:lineRule="exact" w:line="600" w:before="0" w:after="0"/>
        <w:ind w:firstLine="420"/>
        <w:jc w:val="both"/>
      </w:pPr>
      <w:r>
        <w:rPr>
          <w:rFonts w:ascii="仿宋_GB2312" w:hAnsi="仿宋_GB2312" w:eastAsia="仿宋_GB2312"/>
          <w:b w:val="0"/>
          <w:color w:val="000000"/>
          <w:sz w:val="32"/>
        </w:rPr>
        <w:t>企业围绕健康化（低盐低脂）、风味标准化、菜肴还原与清洁标签开展研发。惠发、得利斯建有研发中心与产学研合作，推出预制菜肴与调理新品；但行业整体研发投入偏低，创新集中于品类与配方，基础工艺突破有限。</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创新资源</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研发中心</w:t>
            </w:r>
          </w:p>
        </w:tc>
        <w:tc>
          <w:tcPr>
            <w:tcW w:type="dxa" w:w="3402"/>
          </w:tcPr>
          <w:p>
            <w:pPr>
              <w:spacing w:lineRule="exact" w:line="600"/>
              <w:jc w:val="center"/>
            </w:pPr>
            <w:r/>
            <w:r>
              <w:rPr>
                <w:rFonts w:ascii="仿宋_GB2312" w:hAnsi="仿宋_GB2312" w:eastAsia="仿宋_GB2312"/>
                <w:b w:val="0"/>
                <w:color w:val="000000"/>
                <w:sz w:val="32"/>
              </w:rPr>
              <w:t>产学研</w:t>
            </w:r>
          </w:p>
        </w:tc>
        <w:tc>
          <w:tcPr>
            <w:tcW w:type="dxa" w:w="2835"/>
          </w:tcPr>
          <w:p>
            <w:pPr>
              <w:spacing w:lineRule="exact" w:line="600"/>
              <w:jc w:val="center"/>
            </w:pPr>
            <w:r/>
            <w:r>
              <w:rPr>
                <w:rFonts w:ascii="仿宋_GB2312" w:hAnsi="仿宋_GB2312" w:eastAsia="仿宋_GB2312"/>
                <w:b w:val="0"/>
                <w:color w:val="000000"/>
                <w:sz w:val="32"/>
              </w:rPr>
              <w:t>惠发/得利斯</w:t>
            </w:r>
          </w:p>
        </w:tc>
      </w:tr>
      <w:tr>
        <w:tc>
          <w:tcPr>
            <w:tcW w:type="dxa" w:w="2835"/>
          </w:tcPr>
          <w:p>
            <w:pPr>
              <w:spacing w:lineRule="exact" w:line="600"/>
              <w:jc w:val="center"/>
            </w:pPr>
            <w:r/>
            <w:r>
              <w:rPr>
                <w:rFonts w:ascii="仿宋_GB2312" w:hAnsi="仿宋_GB2312" w:eastAsia="仿宋_GB2312"/>
                <w:b w:val="0"/>
                <w:color w:val="000000"/>
                <w:sz w:val="32"/>
              </w:rPr>
              <w:t>健康化</w:t>
            </w:r>
          </w:p>
        </w:tc>
        <w:tc>
          <w:tcPr>
            <w:tcW w:type="dxa" w:w="3402"/>
          </w:tcPr>
          <w:p>
            <w:pPr>
              <w:spacing w:lineRule="exact" w:line="600"/>
              <w:jc w:val="center"/>
            </w:pPr>
            <w:r/>
            <w:r>
              <w:rPr>
                <w:rFonts w:ascii="仿宋_GB2312" w:hAnsi="仿宋_GB2312" w:eastAsia="仿宋_GB2312"/>
                <w:b w:val="0"/>
                <w:color w:val="000000"/>
                <w:sz w:val="32"/>
              </w:rPr>
              <w:t>低盐低脂</w:t>
            </w:r>
          </w:p>
        </w:tc>
        <w:tc>
          <w:tcPr>
            <w:tcW w:type="dxa" w:w="2835"/>
          </w:tcPr>
          <w:p>
            <w:pPr>
              <w:spacing w:lineRule="exact" w:line="600"/>
              <w:jc w:val="center"/>
            </w:pPr>
            <w:r/>
            <w:r>
              <w:rPr>
                <w:rFonts w:ascii="仿宋_GB2312" w:hAnsi="仿宋_GB2312" w:eastAsia="仿宋_GB2312"/>
                <w:b w:val="0"/>
                <w:color w:val="000000"/>
                <w:sz w:val="32"/>
              </w:rPr>
              <w:t>配方</w:t>
            </w:r>
          </w:p>
        </w:tc>
      </w:tr>
      <w:tr>
        <w:tc>
          <w:tcPr>
            <w:tcW w:type="dxa" w:w="2835"/>
          </w:tcPr>
          <w:p>
            <w:pPr>
              <w:spacing w:lineRule="exact" w:line="600"/>
              <w:jc w:val="center"/>
            </w:pPr>
            <w:r/>
            <w:r>
              <w:rPr>
                <w:rFonts w:ascii="仿宋_GB2312" w:hAnsi="仿宋_GB2312" w:eastAsia="仿宋_GB2312"/>
                <w:b w:val="0"/>
                <w:color w:val="000000"/>
                <w:sz w:val="32"/>
              </w:rPr>
              <w:t>风味</w:t>
            </w:r>
          </w:p>
        </w:tc>
        <w:tc>
          <w:tcPr>
            <w:tcW w:type="dxa" w:w="3402"/>
          </w:tcPr>
          <w:p>
            <w:pPr>
              <w:spacing w:lineRule="exact" w:line="600"/>
              <w:jc w:val="center"/>
            </w:pPr>
            <w:r/>
            <w:r>
              <w:rPr>
                <w:rFonts w:ascii="仿宋_GB2312" w:hAnsi="仿宋_GB2312" w:eastAsia="仿宋_GB2312"/>
                <w:b w:val="0"/>
                <w:color w:val="000000"/>
                <w:sz w:val="32"/>
              </w:rPr>
              <w:t>标准化</w:t>
            </w:r>
          </w:p>
        </w:tc>
        <w:tc>
          <w:tcPr>
            <w:tcW w:type="dxa" w:w="2835"/>
          </w:tcPr>
          <w:p>
            <w:pPr>
              <w:spacing w:lineRule="exact" w:line="600"/>
              <w:jc w:val="center"/>
            </w:pPr>
            <w:r/>
            <w:r>
              <w:rPr>
                <w:rFonts w:ascii="仿宋_GB2312" w:hAnsi="仿宋_GB2312" w:eastAsia="仿宋_GB2312"/>
                <w:b w:val="0"/>
                <w:color w:val="000000"/>
                <w:sz w:val="32"/>
              </w:rPr>
              <w:t>还原</w:t>
            </w:r>
          </w:p>
        </w:tc>
      </w:tr>
      <w:tr>
        <w:tc>
          <w:tcPr>
            <w:tcW w:type="dxa" w:w="2835"/>
          </w:tcPr>
          <w:p>
            <w:pPr>
              <w:spacing w:lineRule="exact" w:line="600"/>
              <w:jc w:val="center"/>
            </w:pPr>
            <w:r/>
            <w:r>
              <w:rPr>
                <w:rFonts w:ascii="仿宋_GB2312" w:hAnsi="仿宋_GB2312" w:eastAsia="仿宋_GB2312"/>
                <w:b w:val="0"/>
                <w:color w:val="000000"/>
                <w:sz w:val="32"/>
              </w:rPr>
              <w:t>投入</w:t>
            </w:r>
          </w:p>
        </w:tc>
        <w:tc>
          <w:tcPr>
            <w:tcW w:type="dxa" w:w="3402"/>
          </w:tcPr>
          <w:p>
            <w:pPr>
              <w:spacing w:lineRule="exact" w:line="600"/>
              <w:jc w:val="center"/>
            </w:pPr>
            <w:r/>
            <w:r>
              <w:rPr>
                <w:rFonts w:ascii="仿宋_GB2312" w:hAnsi="仿宋_GB2312" w:eastAsia="仿宋_GB2312"/>
                <w:b w:val="0"/>
                <w:color w:val="000000"/>
                <w:sz w:val="32"/>
              </w:rPr>
              <w:t>偏低</w:t>
            </w:r>
          </w:p>
        </w:tc>
        <w:tc>
          <w:tcPr>
            <w:tcW w:type="dxa" w:w="2835"/>
          </w:tcPr>
          <w:p>
            <w:pPr>
              <w:spacing w:lineRule="exact" w:line="600"/>
              <w:jc w:val="center"/>
            </w:pPr>
            <w:r/>
            <w:r>
              <w:rPr>
                <w:rFonts w:ascii="仿宋_GB2312" w:hAnsi="仿宋_GB2312" w:eastAsia="仿宋_GB2312"/>
                <w:b w:val="0"/>
                <w:color w:val="000000"/>
                <w:sz w:val="32"/>
              </w:rPr>
              <w:t>行业</w:t>
            </w:r>
          </w:p>
        </w:tc>
      </w:tr>
    </w:tbl>
    <w:p>
      <w:pPr>
        <w:spacing w:lineRule="exact" w:line="600" w:before="120" w:after="120"/>
        <w:ind w:firstLine="420"/>
        <w:jc w:val="left"/>
      </w:pPr>
      <w:r>
        <w:rPr>
          <w:rFonts w:ascii="楷体_GB2312" w:hAnsi="楷体_GB2312" w:eastAsia="楷体_GB2312"/>
          <w:b w:val="0"/>
          <w:color w:val="000000"/>
          <w:sz w:val="32"/>
        </w:rPr>
        <w:t>（三）数智化与追溯</w:t>
      </w:r>
    </w:p>
    <w:p>
      <w:pPr>
        <w:spacing w:lineRule="exact" w:line="600" w:before="0" w:after="0"/>
        <w:ind w:firstLine="420"/>
        <w:jc w:val="both"/>
      </w:pPr>
      <w:r>
        <w:rPr>
          <w:rFonts w:ascii="仿宋_GB2312" w:hAnsi="仿宋_GB2312" w:eastAsia="仿宋_GB2312"/>
          <w:b w:val="0"/>
          <w:color w:val="000000"/>
          <w:sz w:val="32"/>
        </w:rPr>
        <w:t>预制菜企业推进自动化产线、MES与全程冷链温控溯源。诸城食品产业数字化基础支撑企业上云用数赋智；区块链与二维码溯源提升消费者信任。数智化是应对食安监管与提效降本的关键。龙头通过打通「订单—排产—冷链—渠道」数据闭环，可压缩交付周期、降低库存与损耗，并以消费者扫码评价反哺新品研发，形成「数据驱动」的柔性供应能力，增强应对舆情与需求波动的韧性。</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预制菜成本以原料肉（占比高）、包材、能源与冷链物流为主。原料价格随猪周期波动是最大变量；速冻与冷链仓储能耗、配送成本推高费用。龙头企业凭借一体化原料与规模采购平抑成本，中小企业成本敏感度更高。</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成本项</w:t>
            </w:r>
          </w:p>
        </w:tc>
        <w:tc>
          <w:tcPr>
            <w:tcW w:type="dxa" w:w="3402"/>
          </w:tcPr>
          <w:p>
            <w:pPr>
              <w:spacing w:lineRule="exact" w:line="600"/>
              <w:jc w:val="center"/>
            </w:pPr>
            <w:r/>
            <w:r>
              <w:rPr>
                <w:rFonts w:ascii="黑体" w:hAnsi="黑体" w:eastAsia="黑体"/>
                <w:b/>
                <w:color w:val="000000"/>
                <w:sz w:val="32"/>
              </w:rPr>
              <w:t>特征</w:t>
            </w:r>
          </w:p>
        </w:tc>
        <w:tc>
          <w:tcPr>
            <w:tcW w:type="dxa" w:w="2835"/>
          </w:tcPr>
          <w:p>
            <w:pPr>
              <w:spacing w:lineRule="exact" w:line="600"/>
              <w:jc w:val="center"/>
            </w:pPr>
            <w:r/>
            <w:r>
              <w:rPr>
                <w:rFonts w:ascii="黑体" w:hAnsi="黑体" w:eastAsia="黑体"/>
                <w:b/>
                <w:color w:val="000000"/>
                <w:sz w:val="32"/>
              </w:rPr>
              <w:t>影响</w:t>
            </w:r>
          </w:p>
        </w:tc>
      </w:tr>
      <w:tr>
        <w:tc>
          <w:tcPr>
            <w:tcW w:type="dxa" w:w="2835"/>
          </w:tcPr>
          <w:p>
            <w:pPr>
              <w:spacing w:lineRule="exact" w:line="600"/>
              <w:jc w:val="center"/>
            </w:pPr>
            <w:r/>
            <w:r>
              <w:rPr>
                <w:rFonts w:ascii="仿宋_GB2312" w:hAnsi="仿宋_GB2312" w:eastAsia="仿宋_GB2312"/>
                <w:b w:val="0"/>
                <w:color w:val="000000"/>
                <w:sz w:val="32"/>
              </w:rPr>
              <w:t>原料肉</w:t>
            </w:r>
          </w:p>
        </w:tc>
        <w:tc>
          <w:tcPr>
            <w:tcW w:type="dxa" w:w="3402"/>
          </w:tcPr>
          <w:p>
            <w:pPr>
              <w:spacing w:lineRule="exact" w:line="600"/>
              <w:jc w:val="center"/>
            </w:pPr>
            <w:r/>
            <w:r>
              <w:rPr>
                <w:rFonts w:ascii="仿宋_GB2312" w:hAnsi="仿宋_GB2312" w:eastAsia="仿宋_GB2312"/>
                <w:b w:val="0"/>
                <w:color w:val="000000"/>
                <w:sz w:val="32"/>
              </w:rPr>
              <w:t>占比高</w:t>
            </w:r>
          </w:p>
        </w:tc>
        <w:tc>
          <w:tcPr>
            <w:tcW w:type="dxa" w:w="2835"/>
          </w:tcPr>
          <w:p>
            <w:pPr>
              <w:spacing w:lineRule="exact" w:line="600"/>
              <w:jc w:val="center"/>
            </w:pPr>
            <w:r/>
            <w:r>
              <w:rPr>
                <w:rFonts w:ascii="仿宋_GB2312" w:hAnsi="仿宋_GB2312" w:eastAsia="仿宋_GB2312"/>
                <w:b w:val="0"/>
                <w:color w:val="000000"/>
                <w:sz w:val="32"/>
              </w:rPr>
              <w:t>猪周期</w:t>
            </w:r>
          </w:p>
        </w:tc>
      </w:tr>
      <w:tr>
        <w:tc>
          <w:tcPr>
            <w:tcW w:type="dxa" w:w="2835"/>
          </w:tcPr>
          <w:p>
            <w:pPr>
              <w:spacing w:lineRule="exact" w:line="600"/>
              <w:jc w:val="center"/>
            </w:pPr>
            <w:r/>
            <w:r>
              <w:rPr>
                <w:rFonts w:ascii="仿宋_GB2312" w:hAnsi="仿宋_GB2312" w:eastAsia="仿宋_GB2312"/>
                <w:b w:val="0"/>
                <w:color w:val="000000"/>
                <w:sz w:val="32"/>
              </w:rPr>
              <w:t>包材</w:t>
            </w:r>
          </w:p>
        </w:tc>
        <w:tc>
          <w:tcPr>
            <w:tcW w:type="dxa" w:w="3402"/>
          </w:tcPr>
          <w:p>
            <w:pPr>
              <w:spacing w:lineRule="exact" w:line="600"/>
              <w:jc w:val="center"/>
            </w:pPr>
            <w:r/>
            <w:r>
              <w:rPr>
                <w:rFonts w:ascii="仿宋_GB2312" w:hAnsi="仿宋_GB2312" w:eastAsia="仿宋_GB2312"/>
                <w:b w:val="0"/>
                <w:color w:val="000000"/>
                <w:sz w:val="32"/>
              </w:rPr>
              <w:t>稳定</w:t>
            </w:r>
          </w:p>
        </w:tc>
        <w:tc>
          <w:tcPr>
            <w:tcW w:type="dxa" w:w="2835"/>
          </w:tcPr>
          <w:p>
            <w:pPr>
              <w:spacing w:lineRule="exact" w:line="600"/>
              <w:jc w:val="center"/>
            </w:pPr>
            <w:r/>
            <w:r>
              <w:rPr>
                <w:rFonts w:ascii="仿宋_GB2312" w:hAnsi="仿宋_GB2312" w:eastAsia="仿宋_GB2312"/>
                <w:b w:val="0"/>
                <w:color w:val="000000"/>
                <w:sz w:val="32"/>
              </w:rPr>
              <w:t>次要</w:t>
            </w:r>
          </w:p>
        </w:tc>
      </w:tr>
      <w:tr>
        <w:tc>
          <w:tcPr>
            <w:tcW w:type="dxa" w:w="2835"/>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速冻</w:t>
            </w:r>
          </w:p>
        </w:tc>
        <w:tc>
          <w:tcPr>
            <w:tcW w:type="dxa" w:w="2835"/>
          </w:tcPr>
          <w:p>
            <w:pPr>
              <w:spacing w:lineRule="exact" w:line="600"/>
              <w:jc w:val="center"/>
            </w:pPr>
            <w:r/>
            <w:r>
              <w:rPr>
                <w:rFonts w:ascii="仿宋_GB2312" w:hAnsi="仿宋_GB2312" w:eastAsia="仿宋_GB2312"/>
                <w:b w:val="0"/>
                <w:color w:val="000000"/>
                <w:sz w:val="32"/>
              </w:rPr>
              <w:t>能耗</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配送</w:t>
            </w:r>
          </w:p>
        </w:tc>
        <w:tc>
          <w:tcPr>
            <w:tcW w:type="dxa" w:w="2835"/>
          </w:tcPr>
          <w:p>
            <w:pPr>
              <w:spacing w:lineRule="exact" w:line="600"/>
              <w:jc w:val="center"/>
            </w:pPr>
            <w:r/>
            <w:r>
              <w:rPr>
                <w:rFonts w:ascii="仿宋_GB2312" w:hAnsi="仿宋_GB2312" w:eastAsia="仿宋_GB2312"/>
                <w:b w:val="0"/>
                <w:color w:val="000000"/>
                <w:sz w:val="32"/>
              </w:rPr>
              <w:t>费用</w:t>
            </w:r>
          </w:p>
        </w:tc>
      </w:tr>
    </w:tbl>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预制菜盈利分化：惠发2023年营收19.97亿元、归母净利润751.59万元，丸制品规模支撑微利；得利斯2023年预制菜收入6.53亿元但整体归母亏损3399.7万元，反映费用与猪价压力。行业价格战使常规品毛利承压，差异化爆品与B端规模客户是盈利关键。从行业可比口径看，预制菜上市公司毛利率多处于20%—30%区间，常规料理包与低壁垒单品因同质化竞争毛利率更低，具备供应链成本与冷链优势者方能维持盈利；B端餐饮供应链客户量大、账期较长，对现金流管理提出更高要求。</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惠发营收</w:t>
            </w:r>
          </w:p>
        </w:tc>
        <w:tc>
          <w:tcPr>
            <w:tcW w:type="dxa" w:w="3118"/>
          </w:tcPr>
          <w:p>
            <w:pPr>
              <w:spacing w:lineRule="exact" w:line="600"/>
              <w:jc w:val="center"/>
            </w:pPr>
            <w:r/>
            <w:r>
              <w:rPr>
                <w:rFonts w:ascii="仿宋_GB2312" w:hAnsi="仿宋_GB2312" w:eastAsia="仿宋_GB2312"/>
                <w:b w:val="0"/>
                <w:color w:val="000000"/>
                <w:sz w:val="32"/>
              </w:rPr>
              <w:t>19.97亿元</w:t>
            </w:r>
          </w:p>
        </w:tc>
        <w:tc>
          <w:tcPr>
            <w:tcW w:type="dxa" w:w="3118"/>
          </w:tcPr>
          <w:p>
            <w:pPr>
              <w:spacing w:lineRule="exact" w:line="600"/>
              <w:jc w:val="center"/>
            </w:pPr>
            <w:r/>
            <w:r>
              <w:rPr>
                <w:rFonts w:ascii="仿宋_GB2312" w:hAnsi="仿宋_GB2312" w:eastAsia="仿宋_GB2312"/>
                <w:b w:val="0"/>
                <w:color w:val="000000"/>
                <w:sz w:val="32"/>
              </w:rPr>
              <w:t>+26.36%</w:t>
            </w:r>
          </w:p>
        </w:tc>
      </w:tr>
      <w:tr>
        <w:tc>
          <w:tcPr>
            <w:tcW w:type="dxa" w:w="2835"/>
          </w:tcPr>
          <w:p>
            <w:pPr>
              <w:spacing w:lineRule="exact" w:line="600"/>
              <w:jc w:val="center"/>
            </w:pPr>
            <w:r/>
            <w:r>
              <w:rPr>
                <w:rFonts w:ascii="仿宋_GB2312" w:hAnsi="仿宋_GB2312" w:eastAsia="仿宋_GB2312"/>
                <w:b w:val="0"/>
                <w:color w:val="000000"/>
                <w:sz w:val="32"/>
              </w:rPr>
              <w:t>惠发归母</w:t>
            </w:r>
          </w:p>
        </w:tc>
        <w:tc>
          <w:tcPr>
            <w:tcW w:type="dxa" w:w="3118"/>
          </w:tcPr>
          <w:p>
            <w:pPr>
              <w:spacing w:lineRule="exact" w:line="600"/>
              <w:jc w:val="center"/>
            </w:pPr>
            <w:r/>
            <w:r>
              <w:rPr>
                <w:rFonts w:ascii="仿宋_GB2312" w:hAnsi="仿宋_GB2312" w:eastAsia="仿宋_GB2312"/>
                <w:b w:val="0"/>
                <w:color w:val="000000"/>
                <w:sz w:val="32"/>
              </w:rPr>
              <w:t>751.59万元</w:t>
            </w:r>
          </w:p>
        </w:tc>
        <w:tc>
          <w:tcPr>
            <w:tcW w:type="dxa" w:w="3118"/>
          </w:tcPr>
          <w:p>
            <w:pPr>
              <w:spacing w:lineRule="exact" w:line="600"/>
              <w:jc w:val="center"/>
            </w:pPr>
            <w:r/>
            <w:r>
              <w:rPr>
                <w:rFonts w:ascii="仿宋_GB2312" w:hAnsi="仿宋_GB2312" w:eastAsia="仿宋_GB2312"/>
                <w:b w:val="0"/>
                <w:color w:val="000000"/>
                <w:sz w:val="32"/>
              </w:rPr>
              <w:t>微利</w:t>
            </w:r>
          </w:p>
        </w:tc>
      </w:tr>
      <w:tr>
        <w:tc>
          <w:tcPr>
            <w:tcW w:type="dxa" w:w="2835"/>
          </w:tcPr>
          <w:p>
            <w:pPr>
              <w:spacing w:lineRule="exact" w:line="600"/>
              <w:jc w:val="center"/>
            </w:pPr>
            <w:r/>
            <w:r>
              <w:rPr>
                <w:rFonts w:ascii="仿宋_GB2312" w:hAnsi="仿宋_GB2312" w:eastAsia="仿宋_GB2312"/>
                <w:b w:val="0"/>
                <w:color w:val="000000"/>
                <w:sz w:val="32"/>
              </w:rPr>
              <w:t>得利斯预制菜</w:t>
            </w:r>
          </w:p>
        </w:tc>
        <w:tc>
          <w:tcPr>
            <w:tcW w:type="dxa" w:w="3118"/>
          </w:tcPr>
          <w:p>
            <w:pPr>
              <w:spacing w:lineRule="exact" w:line="600"/>
              <w:jc w:val="center"/>
            </w:pPr>
            <w:r/>
            <w:r>
              <w:rPr>
                <w:rFonts w:ascii="仿宋_GB2312" w:hAnsi="仿宋_GB2312" w:eastAsia="仿宋_GB2312"/>
                <w:b w:val="0"/>
                <w:color w:val="000000"/>
                <w:sz w:val="32"/>
              </w:rPr>
              <w:t>6.53亿元</w:t>
            </w:r>
          </w:p>
        </w:tc>
        <w:tc>
          <w:tcPr>
            <w:tcW w:type="dxa" w:w="3118"/>
          </w:tcPr>
          <w:p>
            <w:pPr>
              <w:spacing w:lineRule="exact" w:line="600"/>
              <w:jc w:val="center"/>
            </w:pPr>
            <w:r/>
            <w:r>
              <w:rPr>
                <w:rFonts w:ascii="仿宋_GB2312" w:hAnsi="仿宋_GB2312" w:eastAsia="仿宋_GB2312"/>
                <w:b w:val="0"/>
                <w:color w:val="000000"/>
                <w:sz w:val="32"/>
              </w:rPr>
              <w:t>收入</w:t>
            </w:r>
          </w:p>
        </w:tc>
      </w:tr>
      <w:tr>
        <w:tc>
          <w:tcPr>
            <w:tcW w:type="dxa" w:w="2835"/>
          </w:tcPr>
          <w:p>
            <w:pPr>
              <w:spacing w:lineRule="exact" w:line="600"/>
              <w:jc w:val="center"/>
            </w:pPr>
            <w:r/>
            <w:r>
              <w:rPr>
                <w:rFonts w:ascii="仿宋_GB2312" w:hAnsi="仿宋_GB2312" w:eastAsia="仿宋_GB2312"/>
                <w:b w:val="0"/>
                <w:color w:val="000000"/>
                <w:sz w:val="32"/>
              </w:rPr>
              <w:t>得利斯归母</w:t>
            </w:r>
          </w:p>
        </w:tc>
        <w:tc>
          <w:tcPr>
            <w:tcW w:type="dxa" w:w="3118"/>
          </w:tcPr>
          <w:p>
            <w:pPr>
              <w:spacing w:lineRule="exact" w:line="600"/>
              <w:jc w:val="center"/>
            </w:pPr>
            <w:r/>
            <w:r>
              <w:rPr>
                <w:rFonts w:ascii="仿宋_GB2312" w:hAnsi="仿宋_GB2312" w:eastAsia="仿宋_GB2312"/>
                <w:b w:val="0"/>
                <w:color w:val="000000"/>
                <w:sz w:val="32"/>
              </w:rPr>
              <w:t>亏3399.7万</w:t>
            </w:r>
          </w:p>
        </w:tc>
        <w:tc>
          <w:tcPr>
            <w:tcW w:type="dxa" w:w="3118"/>
          </w:tcPr>
          <w:p>
            <w:pPr>
              <w:spacing w:lineRule="exact" w:line="600"/>
              <w:jc w:val="center"/>
            </w:pPr>
            <w:r/>
            <w:r>
              <w:rPr>
                <w:rFonts w:ascii="仿宋_GB2312" w:hAnsi="仿宋_GB2312" w:eastAsia="仿宋_GB2312"/>
                <w:b w:val="0"/>
                <w:color w:val="000000"/>
                <w:sz w:val="32"/>
              </w:rPr>
              <w:t>压力</w:t>
            </w:r>
          </w:p>
        </w:tc>
      </w:tr>
    </w:tbl>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诸城具备畜牧原料、冷链基础设施、食品产业工人与检测平台等优势；政策上将预制菜列为主导产业，在用地、技改、冷链与品牌方面给予支持。山东农产品的原料保障与出口通道为要素供给背书。</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餐饮连锁化与团餐降本驱动B端刚需；C端便捷健康消费扩容；政策规范出清小散、利好龙头；山东产业基础与诸城集群品牌赋能。预制菜渗透率低于发达国家，长期空间广阔，诸城「双上市+最大肉丸基地」卡位有利。</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w:t>
            </w:r>
          </w:p>
        </w:tc>
        <w:tc>
          <w:tcPr>
            <w:tcW w:type="dxa" w:w="3402"/>
          </w:tcPr>
          <w:p>
            <w:pPr>
              <w:spacing w:lineRule="exact" w:line="600"/>
              <w:jc w:val="center"/>
            </w:pPr>
            <w:r/>
            <w:r>
              <w:rPr>
                <w:rFonts w:ascii="黑体" w:hAnsi="黑体" w:eastAsia="黑体"/>
                <w:b/>
                <w:color w:val="000000"/>
                <w:sz w:val="32"/>
              </w:rPr>
              <w:t>驱动</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B端</w:t>
            </w:r>
          </w:p>
        </w:tc>
        <w:tc>
          <w:tcPr>
            <w:tcW w:type="dxa" w:w="3402"/>
          </w:tcPr>
          <w:p>
            <w:pPr>
              <w:spacing w:lineRule="exact" w:line="600"/>
              <w:jc w:val="center"/>
            </w:pPr>
            <w:r/>
            <w:r>
              <w:rPr>
                <w:rFonts w:ascii="仿宋_GB2312" w:hAnsi="仿宋_GB2312" w:eastAsia="仿宋_GB2312"/>
                <w:b w:val="0"/>
                <w:color w:val="000000"/>
                <w:sz w:val="32"/>
              </w:rPr>
              <w:t>连锁/团餐</w:t>
            </w:r>
          </w:p>
        </w:tc>
        <w:tc>
          <w:tcPr>
            <w:tcW w:type="dxa" w:w="3118"/>
          </w:tcPr>
          <w:p>
            <w:pPr>
              <w:spacing w:lineRule="exact" w:line="600"/>
              <w:jc w:val="center"/>
            </w:pPr>
            <w:r/>
            <w:r>
              <w:rPr>
                <w:rFonts w:ascii="仿宋_GB2312" w:hAnsi="仿宋_GB2312" w:eastAsia="仿宋_GB2312"/>
                <w:b w:val="0"/>
                <w:color w:val="000000"/>
                <w:sz w:val="32"/>
              </w:rPr>
              <w:t>刚需</w:t>
            </w:r>
          </w:p>
        </w:tc>
      </w:tr>
      <w:tr>
        <w:tc>
          <w:tcPr>
            <w:tcW w:type="dxa" w:w="2551"/>
          </w:tcPr>
          <w:p>
            <w:pPr>
              <w:spacing w:lineRule="exact" w:line="600"/>
              <w:jc w:val="center"/>
            </w:pPr>
            <w:r/>
            <w:r>
              <w:rPr>
                <w:rFonts w:ascii="仿宋_GB2312" w:hAnsi="仿宋_GB2312" w:eastAsia="仿宋_GB2312"/>
                <w:b w:val="0"/>
                <w:color w:val="000000"/>
                <w:sz w:val="32"/>
              </w:rPr>
              <w:t>C端</w:t>
            </w:r>
          </w:p>
        </w:tc>
        <w:tc>
          <w:tcPr>
            <w:tcW w:type="dxa" w:w="3402"/>
          </w:tcPr>
          <w:p>
            <w:pPr>
              <w:spacing w:lineRule="exact" w:line="600"/>
              <w:jc w:val="center"/>
            </w:pPr>
            <w:r/>
            <w:r>
              <w:rPr>
                <w:rFonts w:ascii="仿宋_GB2312" w:hAnsi="仿宋_GB2312" w:eastAsia="仿宋_GB2312"/>
                <w:b w:val="0"/>
                <w:color w:val="000000"/>
                <w:sz w:val="32"/>
              </w:rPr>
              <w:t>便捷健康</w:t>
            </w:r>
          </w:p>
        </w:tc>
        <w:tc>
          <w:tcPr>
            <w:tcW w:type="dxa" w:w="3118"/>
          </w:tcPr>
          <w:p>
            <w:pPr>
              <w:spacing w:lineRule="exact" w:line="600"/>
              <w:jc w:val="center"/>
            </w:pPr>
            <w:r/>
            <w:r>
              <w:rPr>
                <w:rFonts w:ascii="仿宋_GB2312" w:hAnsi="仿宋_GB2312" w:eastAsia="仿宋_GB2312"/>
                <w:b w:val="0"/>
                <w:color w:val="000000"/>
                <w:sz w:val="32"/>
              </w:rPr>
              <w:t>扩容</w:t>
            </w:r>
          </w:p>
        </w:tc>
      </w:tr>
      <w:tr>
        <w:tc>
          <w:tcPr>
            <w:tcW w:type="dxa" w:w="2551"/>
          </w:tcPr>
          <w:p>
            <w:pPr>
              <w:spacing w:lineRule="exact" w:line="600"/>
              <w:jc w:val="center"/>
            </w:pPr>
            <w:r/>
            <w:r>
              <w:rPr>
                <w:rFonts w:ascii="仿宋_GB2312" w:hAnsi="仿宋_GB2312" w:eastAsia="仿宋_GB2312"/>
                <w:b w:val="0"/>
                <w:color w:val="000000"/>
                <w:sz w:val="32"/>
              </w:rPr>
              <w:t>规范</w:t>
            </w:r>
          </w:p>
        </w:tc>
        <w:tc>
          <w:tcPr>
            <w:tcW w:type="dxa" w:w="3402"/>
          </w:tcPr>
          <w:p>
            <w:pPr>
              <w:spacing w:lineRule="exact" w:line="600"/>
              <w:jc w:val="center"/>
            </w:pPr>
            <w:r/>
            <w:r>
              <w:rPr>
                <w:rFonts w:ascii="仿宋_GB2312" w:hAnsi="仿宋_GB2312" w:eastAsia="仿宋_GB2312"/>
                <w:b w:val="0"/>
                <w:color w:val="000000"/>
                <w:sz w:val="32"/>
              </w:rPr>
              <w:t>出清小散</w:t>
            </w:r>
          </w:p>
        </w:tc>
        <w:tc>
          <w:tcPr>
            <w:tcW w:type="dxa" w:w="3118"/>
          </w:tcPr>
          <w:p>
            <w:pPr>
              <w:spacing w:lineRule="exact" w:line="600"/>
              <w:jc w:val="center"/>
            </w:pPr>
            <w:r/>
            <w:r>
              <w:rPr>
                <w:rFonts w:ascii="仿宋_GB2312" w:hAnsi="仿宋_GB2312" w:eastAsia="仿宋_GB2312"/>
                <w:b w:val="0"/>
                <w:color w:val="000000"/>
                <w:sz w:val="32"/>
              </w:rPr>
              <w:t>龙头</w:t>
            </w:r>
          </w:p>
        </w:tc>
      </w:tr>
      <w:tr>
        <w:tc>
          <w:tcPr>
            <w:tcW w:type="dxa" w:w="2551"/>
          </w:tcPr>
          <w:p>
            <w:pPr>
              <w:spacing w:lineRule="exact" w:line="600"/>
              <w:jc w:val="center"/>
            </w:pPr>
            <w:r/>
            <w:r>
              <w:rPr>
                <w:rFonts w:ascii="仿宋_GB2312" w:hAnsi="仿宋_GB2312" w:eastAsia="仿宋_GB2312"/>
                <w:b w:val="0"/>
                <w:color w:val="000000"/>
                <w:sz w:val="32"/>
              </w:rPr>
              <w:t>空间</w:t>
            </w:r>
          </w:p>
        </w:tc>
        <w:tc>
          <w:tcPr>
            <w:tcW w:type="dxa" w:w="3402"/>
          </w:tcPr>
          <w:p>
            <w:pPr>
              <w:spacing w:lineRule="exact" w:line="600"/>
              <w:jc w:val="center"/>
            </w:pPr>
            <w:r/>
            <w:r>
              <w:rPr>
                <w:rFonts w:ascii="仿宋_GB2312" w:hAnsi="仿宋_GB2312" w:eastAsia="仿宋_GB2312"/>
                <w:b w:val="0"/>
                <w:color w:val="000000"/>
                <w:sz w:val="32"/>
              </w:rPr>
              <w:t>渗透低</w:t>
            </w:r>
          </w:p>
        </w:tc>
        <w:tc>
          <w:tcPr>
            <w:tcW w:type="dxa" w:w="3118"/>
          </w:tcPr>
          <w:p>
            <w:pPr>
              <w:spacing w:lineRule="exact" w:line="600"/>
              <w:jc w:val="center"/>
            </w:pPr>
            <w:r/>
            <w:r>
              <w:rPr>
                <w:rFonts w:ascii="仿宋_GB2312" w:hAnsi="仿宋_GB2312" w:eastAsia="仿宋_GB2312"/>
                <w:b w:val="0"/>
                <w:color w:val="000000"/>
                <w:sz w:val="32"/>
              </w:rPr>
              <w:t>广阔</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一是标准与「预制菜」舆情影响消费信任；二是同质化与价格战压低毛利；三是冷链成本与损耗高；四是原料波动叠加费用致盈利不稳（如得利斯亏损）。龙头需以品质、品牌与差异化突围。</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舆情</w:t>
            </w:r>
          </w:p>
        </w:tc>
        <w:tc>
          <w:tcPr>
            <w:tcW w:type="dxa" w:w="3402"/>
          </w:tcPr>
          <w:p>
            <w:pPr>
              <w:spacing w:lineRule="exact" w:line="600"/>
              <w:jc w:val="center"/>
            </w:pPr>
            <w:r/>
            <w:r>
              <w:rPr>
                <w:rFonts w:ascii="仿宋_GB2312" w:hAnsi="仿宋_GB2312" w:eastAsia="仿宋_GB2312"/>
                <w:b w:val="0"/>
                <w:color w:val="000000"/>
                <w:sz w:val="32"/>
              </w:rPr>
              <w:t>信任</w:t>
            </w:r>
          </w:p>
        </w:tc>
        <w:tc>
          <w:tcPr>
            <w:tcW w:type="dxa" w:w="3118"/>
          </w:tcPr>
          <w:p>
            <w:pPr>
              <w:spacing w:lineRule="exact" w:line="600"/>
              <w:jc w:val="center"/>
            </w:pPr>
            <w:r/>
            <w:r>
              <w:rPr>
                <w:rFonts w:ascii="仿宋_GB2312" w:hAnsi="仿宋_GB2312" w:eastAsia="仿宋_GB2312"/>
                <w:b w:val="0"/>
                <w:color w:val="000000"/>
                <w:sz w:val="32"/>
              </w:rPr>
              <w:t>标准</w:t>
            </w:r>
          </w:p>
        </w:tc>
      </w:tr>
      <w:tr>
        <w:tc>
          <w:tcPr>
            <w:tcW w:type="dxa" w:w="2551"/>
          </w:tcPr>
          <w:p>
            <w:pPr>
              <w:spacing w:lineRule="exact" w:line="600"/>
              <w:jc w:val="center"/>
            </w:pPr>
            <w:r/>
            <w:r>
              <w:rPr>
                <w:rFonts w:ascii="仿宋_GB2312" w:hAnsi="仿宋_GB2312" w:eastAsia="仿宋_GB2312"/>
                <w:b w:val="0"/>
                <w:color w:val="000000"/>
                <w:sz w:val="32"/>
              </w:rPr>
              <w:t>同质化</w:t>
            </w:r>
          </w:p>
        </w:tc>
        <w:tc>
          <w:tcPr>
            <w:tcW w:type="dxa" w:w="3402"/>
          </w:tcPr>
          <w:p>
            <w:pPr>
              <w:spacing w:lineRule="exact" w:line="600"/>
              <w:jc w:val="center"/>
            </w:pPr>
            <w:r/>
            <w:r>
              <w:rPr>
                <w:rFonts w:ascii="仿宋_GB2312" w:hAnsi="仿宋_GB2312" w:eastAsia="仿宋_GB2312"/>
                <w:b w:val="0"/>
                <w:color w:val="000000"/>
                <w:sz w:val="32"/>
              </w:rPr>
              <w:t>价格战</w:t>
            </w:r>
          </w:p>
        </w:tc>
        <w:tc>
          <w:tcPr>
            <w:tcW w:type="dxa" w:w="3118"/>
          </w:tcPr>
          <w:p>
            <w:pPr>
              <w:spacing w:lineRule="exact" w:line="600"/>
              <w:jc w:val="center"/>
            </w:pPr>
            <w:r/>
            <w:r>
              <w:rPr>
                <w:rFonts w:ascii="仿宋_GB2312" w:hAnsi="仿宋_GB2312" w:eastAsia="仿宋_GB2312"/>
                <w:b w:val="0"/>
                <w:color w:val="000000"/>
                <w:sz w:val="32"/>
              </w:rPr>
              <w:t>毛利低</w:t>
            </w:r>
          </w:p>
        </w:tc>
      </w:tr>
      <w:tr>
        <w:tc>
          <w:tcPr>
            <w:tcW w:type="dxa" w:w="2551"/>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成本高</w:t>
            </w:r>
          </w:p>
        </w:tc>
        <w:tc>
          <w:tcPr>
            <w:tcW w:type="dxa" w:w="3118"/>
          </w:tcPr>
          <w:p>
            <w:pPr>
              <w:spacing w:lineRule="exact" w:line="600"/>
              <w:jc w:val="center"/>
            </w:pPr>
            <w:r/>
            <w:r>
              <w:rPr>
                <w:rFonts w:ascii="仿宋_GB2312" w:hAnsi="仿宋_GB2312" w:eastAsia="仿宋_GB2312"/>
                <w:b w:val="0"/>
                <w:color w:val="000000"/>
                <w:sz w:val="32"/>
              </w:rPr>
              <w:t>损耗</w:t>
            </w:r>
          </w:p>
        </w:tc>
      </w:tr>
      <w:tr>
        <w:tc>
          <w:tcPr>
            <w:tcW w:type="dxa" w:w="2551"/>
          </w:tcPr>
          <w:p>
            <w:pPr>
              <w:spacing w:lineRule="exact" w:line="600"/>
              <w:jc w:val="center"/>
            </w:pPr>
            <w:r/>
            <w:r>
              <w:rPr>
                <w:rFonts w:ascii="仿宋_GB2312" w:hAnsi="仿宋_GB2312" w:eastAsia="仿宋_GB2312"/>
                <w:b w:val="0"/>
                <w:color w:val="000000"/>
                <w:sz w:val="32"/>
              </w:rPr>
              <w:t>波动</w:t>
            </w:r>
          </w:p>
        </w:tc>
        <w:tc>
          <w:tcPr>
            <w:tcW w:type="dxa" w:w="3402"/>
          </w:tcPr>
          <w:p>
            <w:pPr>
              <w:spacing w:lineRule="exact" w:line="600"/>
              <w:jc w:val="center"/>
            </w:pPr>
            <w:r/>
            <w:r>
              <w:rPr>
                <w:rFonts w:ascii="仿宋_GB2312" w:hAnsi="仿宋_GB2312" w:eastAsia="仿宋_GB2312"/>
                <w:b w:val="0"/>
                <w:color w:val="000000"/>
                <w:sz w:val="32"/>
              </w:rPr>
              <w:t>盈利不稳</w:t>
            </w:r>
          </w:p>
        </w:tc>
        <w:tc>
          <w:tcPr>
            <w:tcW w:type="dxa" w:w="3118"/>
          </w:tcPr>
          <w:p>
            <w:pPr>
              <w:spacing w:lineRule="exact" w:line="600"/>
              <w:jc w:val="center"/>
            </w:pPr>
            <w:r/>
            <w:r>
              <w:rPr>
                <w:rFonts w:ascii="仿宋_GB2312" w:hAnsi="仿宋_GB2312" w:eastAsia="仿宋_GB2312"/>
                <w:b w:val="0"/>
                <w:color w:val="000000"/>
                <w:sz w:val="32"/>
              </w:rPr>
              <w:t>亏损</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风险包括：食品安全事件声誉风险、原料价格剧烈波动、冷链断链质量风险、餐饮大客户集中与账期风险。建议以全程溯源、套期与一体化、客户多元与爆品研发缓释。</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（一）品牌化与差异化</w:t>
      </w:r>
    </w:p>
    <w:p>
      <w:pPr>
        <w:spacing w:lineRule="exact" w:line="600" w:before="0" w:after="0"/>
        <w:ind w:firstLine="420"/>
        <w:jc w:val="both"/>
      </w:pPr>
      <w:r>
        <w:rPr>
          <w:rFonts w:ascii="仿宋_GB2312" w:hAnsi="仿宋_GB2312" w:eastAsia="仿宋_GB2312"/>
          <w:b w:val="0"/>
          <w:color w:val="000000"/>
          <w:sz w:val="32"/>
        </w:rPr>
        <w:t>路径为由「白牌代工」向自有品牌与差异化爆品升级。得利斯以低温肉制品品牌延展预制菜；惠发以速冻肉丸全国龙头巩固细分。以健康化、清洁标签与地域风味打造溢价，摆脱同质价格战。</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升级方向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自有品牌</w:t>
            </w:r>
          </w:p>
        </w:tc>
        <w:tc>
          <w:tcPr>
            <w:tcW w:type="dxa" w:w="3402"/>
          </w:tcPr>
          <w:p>
            <w:pPr>
              <w:spacing w:lineRule="exact" w:line="600"/>
              <w:jc w:val="center"/>
            </w:pPr>
            <w:r/>
            <w:r>
              <w:rPr>
                <w:rFonts w:ascii="仿宋_GB2312" w:hAnsi="仿宋_GB2312" w:eastAsia="仿宋_GB2312"/>
                <w:b w:val="0"/>
                <w:color w:val="000000"/>
                <w:sz w:val="32"/>
              </w:rPr>
              <w:t>去白牌</w:t>
            </w:r>
          </w:p>
        </w:tc>
        <w:tc>
          <w:tcPr>
            <w:tcW w:type="dxa" w:w="2835"/>
          </w:tcPr>
          <w:p>
            <w:pPr>
              <w:spacing w:lineRule="exact" w:line="600"/>
              <w:jc w:val="center"/>
            </w:pPr>
            <w:r/>
            <w:r>
              <w:rPr>
                <w:rFonts w:ascii="仿宋_GB2312" w:hAnsi="仿宋_GB2312" w:eastAsia="仿宋_GB2312"/>
                <w:b w:val="0"/>
                <w:color w:val="000000"/>
                <w:sz w:val="32"/>
              </w:rPr>
              <w:t>龙头</w:t>
            </w:r>
          </w:p>
        </w:tc>
      </w:tr>
      <w:tr>
        <w:tc>
          <w:tcPr>
            <w:tcW w:type="dxa" w:w="2835"/>
          </w:tcPr>
          <w:p>
            <w:pPr>
              <w:spacing w:lineRule="exact" w:line="600"/>
              <w:jc w:val="center"/>
            </w:pPr>
            <w:r/>
            <w:r>
              <w:rPr>
                <w:rFonts w:ascii="仿宋_GB2312" w:hAnsi="仿宋_GB2312" w:eastAsia="仿宋_GB2312"/>
                <w:b w:val="0"/>
                <w:color w:val="000000"/>
                <w:sz w:val="32"/>
              </w:rPr>
              <w:t>爆品</w:t>
            </w:r>
          </w:p>
        </w:tc>
        <w:tc>
          <w:tcPr>
            <w:tcW w:type="dxa" w:w="3402"/>
          </w:tcPr>
          <w:p>
            <w:pPr>
              <w:spacing w:lineRule="exact" w:line="600"/>
              <w:jc w:val="center"/>
            </w:pPr>
            <w:r/>
            <w:r>
              <w:rPr>
                <w:rFonts w:ascii="仿宋_GB2312" w:hAnsi="仿宋_GB2312" w:eastAsia="仿宋_GB2312"/>
                <w:b w:val="0"/>
                <w:color w:val="000000"/>
                <w:sz w:val="32"/>
              </w:rPr>
              <w:t>差异化</w:t>
            </w:r>
          </w:p>
        </w:tc>
        <w:tc>
          <w:tcPr>
            <w:tcW w:type="dxa" w:w="2835"/>
          </w:tcPr>
          <w:p>
            <w:pPr>
              <w:spacing w:lineRule="exact" w:line="600"/>
              <w:jc w:val="center"/>
            </w:pPr>
            <w:r/>
            <w:r>
              <w:rPr>
                <w:rFonts w:ascii="仿宋_GB2312" w:hAnsi="仿宋_GB2312" w:eastAsia="仿宋_GB2312"/>
                <w:b w:val="0"/>
                <w:color w:val="000000"/>
                <w:sz w:val="32"/>
              </w:rPr>
              <w:t>肉丸/菜</w:t>
            </w:r>
          </w:p>
        </w:tc>
      </w:tr>
      <w:tr>
        <w:tc>
          <w:tcPr>
            <w:tcW w:type="dxa" w:w="2835"/>
          </w:tcPr>
          <w:p>
            <w:pPr>
              <w:spacing w:lineRule="exact" w:line="600"/>
              <w:jc w:val="center"/>
            </w:pPr>
            <w:r/>
            <w:r>
              <w:rPr>
                <w:rFonts w:ascii="仿宋_GB2312" w:hAnsi="仿宋_GB2312" w:eastAsia="仿宋_GB2312"/>
                <w:b w:val="0"/>
                <w:color w:val="000000"/>
                <w:sz w:val="32"/>
              </w:rPr>
              <w:t>健康</w:t>
            </w:r>
          </w:p>
        </w:tc>
        <w:tc>
          <w:tcPr>
            <w:tcW w:type="dxa" w:w="3402"/>
          </w:tcPr>
          <w:p>
            <w:pPr>
              <w:spacing w:lineRule="exact" w:line="600"/>
              <w:jc w:val="center"/>
            </w:pPr>
            <w:r/>
            <w:r>
              <w:rPr>
                <w:rFonts w:ascii="仿宋_GB2312" w:hAnsi="仿宋_GB2312" w:eastAsia="仿宋_GB2312"/>
                <w:b w:val="0"/>
                <w:color w:val="000000"/>
                <w:sz w:val="32"/>
              </w:rPr>
              <w:t>清洁标签</w:t>
            </w:r>
          </w:p>
        </w:tc>
        <w:tc>
          <w:tcPr>
            <w:tcW w:type="dxa" w:w="2835"/>
          </w:tcPr>
          <w:p>
            <w:pPr>
              <w:spacing w:lineRule="exact" w:line="600"/>
              <w:jc w:val="center"/>
            </w:pPr>
            <w:r/>
            <w:r>
              <w:rPr>
                <w:rFonts w:ascii="仿宋_GB2312" w:hAnsi="仿宋_GB2312" w:eastAsia="仿宋_GB2312"/>
                <w:b w:val="0"/>
                <w:color w:val="000000"/>
                <w:sz w:val="32"/>
              </w:rPr>
              <w:t>溢价</w:t>
            </w:r>
          </w:p>
        </w:tc>
      </w:tr>
      <w:tr>
        <w:tc>
          <w:tcPr>
            <w:tcW w:type="dxa" w:w="2835"/>
          </w:tcPr>
          <w:p>
            <w:pPr>
              <w:spacing w:lineRule="exact" w:line="600"/>
              <w:jc w:val="center"/>
            </w:pPr>
            <w:r/>
            <w:r>
              <w:rPr>
                <w:rFonts w:ascii="仿宋_GB2312" w:hAnsi="仿宋_GB2312" w:eastAsia="仿宋_GB2312"/>
                <w:b w:val="0"/>
                <w:color w:val="000000"/>
                <w:sz w:val="32"/>
              </w:rPr>
              <w:t>风味</w:t>
            </w:r>
          </w:p>
        </w:tc>
        <w:tc>
          <w:tcPr>
            <w:tcW w:type="dxa" w:w="3402"/>
          </w:tcPr>
          <w:p>
            <w:pPr>
              <w:spacing w:lineRule="exact" w:line="600"/>
              <w:jc w:val="center"/>
            </w:pPr>
            <w:r/>
            <w:r>
              <w:rPr>
                <w:rFonts w:ascii="仿宋_GB2312" w:hAnsi="仿宋_GB2312" w:eastAsia="仿宋_GB2312"/>
                <w:b w:val="0"/>
                <w:color w:val="000000"/>
                <w:sz w:val="32"/>
              </w:rPr>
              <w:t>地域</w:t>
            </w:r>
          </w:p>
        </w:tc>
        <w:tc>
          <w:tcPr>
            <w:tcW w:type="dxa" w:w="2835"/>
          </w:tcPr>
          <w:p>
            <w:pPr>
              <w:spacing w:lineRule="exact" w:line="600"/>
              <w:jc w:val="center"/>
            </w:pPr>
            <w:r/>
            <w:r>
              <w:rPr>
                <w:rFonts w:ascii="仿宋_GB2312" w:hAnsi="仿宋_GB2312" w:eastAsia="仿宋_GB2312"/>
                <w:b w:val="0"/>
                <w:color w:val="000000"/>
                <w:sz w:val="32"/>
              </w:rPr>
              <w:t>突围</w:t>
            </w:r>
          </w:p>
        </w:tc>
      </w:tr>
    </w:tbl>
    <w:p>
      <w:pPr>
        <w:spacing w:lineRule="exact" w:line="600" w:before="120" w:after="120"/>
        <w:ind w:firstLine="420"/>
        <w:jc w:val="left"/>
      </w:pPr>
      <w:r>
        <w:rPr>
          <w:rFonts w:ascii="楷体_GB2312" w:hAnsi="楷体_GB2312" w:eastAsia="楷体_GB2312"/>
          <w:b w:val="0"/>
          <w:color w:val="000000"/>
          <w:sz w:val="32"/>
        </w:rPr>
        <w:t>（二）B端+C端双轮</w:t>
      </w:r>
    </w:p>
    <w:p>
      <w:pPr>
        <w:spacing w:lineRule="exact" w:line="600" w:before="0" w:after="0"/>
        <w:ind w:firstLine="420"/>
        <w:jc w:val="both"/>
      </w:pPr>
      <w:r>
        <w:rPr>
          <w:rFonts w:ascii="仿宋_GB2312" w:hAnsi="仿宋_GB2312" w:eastAsia="仿宋_GB2312"/>
          <w:b w:val="0"/>
          <w:color w:val="000000"/>
          <w:sz w:val="32"/>
        </w:rPr>
        <w:t>巩固餐饮供应链B端基本盘，同时培育C端电商与商超品牌。诸城企业可借双龙头渠道经验，发展「餐饮定制+零售爆品」组合，平抑单一渠道波动，提升整体盈利质量。</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双轮</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B端</w:t>
            </w:r>
          </w:p>
        </w:tc>
        <w:tc>
          <w:tcPr>
            <w:tcW w:type="dxa" w:w="3402"/>
          </w:tcPr>
          <w:p>
            <w:pPr>
              <w:spacing w:lineRule="exact" w:line="600"/>
              <w:jc w:val="center"/>
            </w:pPr>
            <w:r/>
            <w:r>
              <w:rPr>
                <w:rFonts w:ascii="仿宋_GB2312" w:hAnsi="仿宋_GB2312" w:eastAsia="仿宋_GB2312"/>
                <w:b w:val="0"/>
                <w:color w:val="000000"/>
                <w:sz w:val="32"/>
              </w:rPr>
              <w:t>餐饮/团餐</w:t>
            </w:r>
          </w:p>
        </w:tc>
        <w:tc>
          <w:tcPr>
            <w:tcW w:type="dxa" w:w="2835"/>
          </w:tcPr>
          <w:p>
            <w:pPr>
              <w:spacing w:lineRule="exact" w:line="600"/>
              <w:jc w:val="center"/>
            </w:pPr>
            <w:r/>
            <w:r>
              <w:rPr>
                <w:rFonts w:ascii="仿宋_GB2312" w:hAnsi="仿宋_GB2312" w:eastAsia="仿宋_GB2312"/>
                <w:b w:val="0"/>
                <w:color w:val="000000"/>
                <w:sz w:val="32"/>
              </w:rPr>
              <w:t>基本盘</w:t>
            </w:r>
          </w:p>
        </w:tc>
      </w:tr>
      <w:tr>
        <w:tc>
          <w:tcPr>
            <w:tcW w:type="dxa" w:w="2835"/>
          </w:tcPr>
          <w:p>
            <w:pPr>
              <w:spacing w:lineRule="exact" w:line="600"/>
              <w:jc w:val="center"/>
            </w:pPr>
            <w:r/>
            <w:r>
              <w:rPr>
                <w:rFonts w:ascii="仿宋_GB2312" w:hAnsi="仿宋_GB2312" w:eastAsia="仿宋_GB2312"/>
                <w:b w:val="0"/>
                <w:color w:val="000000"/>
                <w:sz w:val="32"/>
              </w:rPr>
              <w:t>C端</w:t>
            </w:r>
          </w:p>
        </w:tc>
        <w:tc>
          <w:tcPr>
            <w:tcW w:type="dxa" w:w="3402"/>
          </w:tcPr>
          <w:p>
            <w:pPr>
              <w:spacing w:lineRule="exact" w:line="600"/>
              <w:jc w:val="center"/>
            </w:pPr>
            <w:r/>
            <w:r>
              <w:rPr>
                <w:rFonts w:ascii="仿宋_GB2312" w:hAnsi="仿宋_GB2312" w:eastAsia="仿宋_GB2312"/>
                <w:b w:val="0"/>
                <w:color w:val="000000"/>
                <w:sz w:val="32"/>
              </w:rPr>
              <w:t>电商/商超</w:t>
            </w:r>
          </w:p>
        </w:tc>
        <w:tc>
          <w:tcPr>
            <w:tcW w:type="dxa" w:w="2835"/>
          </w:tcPr>
          <w:p>
            <w:pPr>
              <w:spacing w:lineRule="exact" w:line="600"/>
              <w:jc w:val="center"/>
            </w:pPr>
            <w:r/>
            <w:r>
              <w:rPr>
                <w:rFonts w:ascii="仿宋_GB2312" w:hAnsi="仿宋_GB2312" w:eastAsia="仿宋_GB2312"/>
                <w:b w:val="0"/>
                <w:color w:val="000000"/>
                <w:sz w:val="32"/>
              </w:rPr>
              <w:t>品牌</w:t>
            </w:r>
          </w:p>
        </w:tc>
      </w:tr>
      <w:tr>
        <w:tc>
          <w:tcPr>
            <w:tcW w:type="dxa" w:w="2835"/>
          </w:tcPr>
          <w:p>
            <w:pPr>
              <w:spacing w:lineRule="exact" w:line="600"/>
              <w:jc w:val="center"/>
            </w:pPr>
            <w:r/>
            <w:r>
              <w:rPr>
                <w:rFonts w:ascii="仿宋_GB2312" w:hAnsi="仿宋_GB2312" w:eastAsia="仿宋_GB2312"/>
                <w:b w:val="0"/>
                <w:color w:val="000000"/>
                <w:sz w:val="32"/>
              </w:rPr>
              <w:t>组合</w:t>
            </w:r>
          </w:p>
        </w:tc>
        <w:tc>
          <w:tcPr>
            <w:tcW w:type="dxa" w:w="3402"/>
          </w:tcPr>
          <w:p>
            <w:pPr>
              <w:spacing w:lineRule="exact" w:line="600"/>
              <w:jc w:val="center"/>
            </w:pPr>
            <w:r/>
            <w:r>
              <w:rPr>
                <w:rFonts w:ascii="仿宋_GB2312" w:hAnsi="仿宋_GB2312" w:eastAsia="仿宋_GB2312"/>
                <w:b w:val="0"/>
                <w:color w:val="000000"/>
                <w:sz w:val="32"/>
              </w:rPr>
              <w:t>定制+爆品</w:t>
            </w:r>
          </w:p>
        </w:tc>
        <w:tc>
          <w:tcPr>
            <w:tcW w:type="dxa" w:w="2835"/>
          </w:tcPr>
          <w:p>
            <w:pPr>
              <w:spacing w:lineRule="exact" w:line="600"/>
              <w:jc w:val="center"/>
            </w:pPr>
            <w:r/>
            <w:r>
              <w:rPr>
                <w:rFonts w:ascii="仿宋_GB2312" w:hAnsi="仿宋_GB2312" w:eastAsia="仿宋_GB2312"/>
                <w:b w:val="0"/>
                <w:color w:val="000000"/>
                <w:sz w:val="32"/>
              </w:rPr>
              <w:t>平抑</w:t>
            </w:r>
          </w:p>
        </w:tc>
      </w:tr>
      <w:tr>
        <w:tc>
          <w:tcPr>
            <w:tcW w:type="dxa" w:w="2835"/>
          </w:tcPr>
          <w:p>
            <w:pPr>
              <w:spacing w:lineRule="exact" w:line="600"/>
              <w:jc w:val="center"/>
            </w:pPr>
            <w:r/>
            <w:r>
              <w:rPr>
                <w:rFonts w:ascii="仿宋_GB2312" w:hAnsi="仿宋_GB2312" w:eastAsia="仿宋_GB2312"/>
                <w:b w:val="0"/>
                <w:color w:val="000000"/>
                <w:sz w:val="32"/>
              </w:rPr>
              <w:t>盈利</w:t>
            </w:r>
          </w:p>
        </w:tc>
        <w:tc>
          <w:tcPr>
            <w:tcW w:type="dxa" w:w="3402"/>
          </w:tcPr>
          <w:p>
            <w:pPr>
              <w:spacing w:lineRule="exact" w:line="600"/>
              <w:jc w:val="center"/>
            </w:pPr>
            <w:r/>
            <w:r>
              <w:rPr>
                <w:rFonts w:ascii="仿宋_GB2312" w:hAnsi="仿宋_GB2312" w:eastAsia="仿宋_GB2312"/>
                <w:b w:val="0"/>
                <w:color w:val="000000"/>
                <w:sz w:val="32"/>
              </w:rPr>
              <w:t>结构</w:t>
            </w:r>
          </w:p>
        </w:tc>
        <w:tc>
          <w:tcPr>
            <w:tcW w:type="dxa" w:w="2835"/>
          </w:tcPr>
          <w:p>
            <w:pPr>
              <w:spacing w:lineRule="exact" w:line="600"/>
              <w:jc w:val="center"/>
            </w:pPr>
            <w:r/>
            <w:r>
              <w:rPr>
                <w:rFonts w:ascii="仿宋_GB2312" w:hAnsi="仿宋_GB2312" w:eastAsia="仿宋_GB2312"/>
                <w:b w:val="0"/>
                <w:color w:val="000000"/>
                <w:sz w:val="32"/>
              </w:rPr>
              <w:t>提质</w:t>
            </w:r>
          </w:p>
        </w:tc>
      </w:tr>
    </w:tbl>
    <w:p>
      <w:pPr>
        <w:spacing w:lineRule="exact" w:line="600" w:before="120" w:after="120"/>
        <w:ind w:firstLine="420"/>
        <w:jc w:val="left"/>
      </w:pPr>
      <w:r>
        <w:rPr>
          <w:rFonts w:ascii="楷体_GB2312" w:hAnsi="楷体_GB2312" w:eastAsia="楷体_GB2312"/>
          <w:b w:val="0"/>
          <w:color w:val="000000"/>
          <w:sz w:val="32"/>
        </w:rPr>
        <w:t>（三）绿色与冷链升级</w:t>
      </w:r>
    </w:p>
    <w:p>
      <w:pPr>
        <w:spacing w:lineRule="exact" w:line="600" w:before="0" w:after="0"/>
        <w:ind w:firstLine="420"/>
        <w:jc w:val="both"/>
      </w:pPr>
      <w:r>
        <w:rPr>
          <w:rFonts w:ascii="仿宋_GB2312" w:hAnsi="仿宋_GB2312" w:eastAsia="仿宋_GB2312"/>
          <w:b w:val="0"/>
          <w:color w:val="000000"/>
          <w:sz w:val="32"/>
        </w:rPr>
        <w:t>推进节能速冻、绿色包材与全程冷链不断链，契合食安与双碳导向；建设区域冷链共享平台降低中小企成本。诸城以食品公共检测与冷链设施支撑集群绿色升级。龙头可率先应用二氧化碳自然冷媒制冷与光伏冷库，降低单位能耗与碳排，绿色低碳属性也有助于对接大型商超与出口客户的可持续采购要求，形成差异化竞争力。</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（一）产能与产线融资</w:t>
      </w:r>
    </w:p>
    <w:p>
      <w:pPr>
        <w:spacing w:lineRule="exact" w:line="600" w:before="0" w:after="0"/>
        <w:ind w:firstLine="420"/>
        <w:jc w:val="both"/>
      </w:pPr>
      <w:r>
        <w:rPr>
          <w:rFonts w:ascii="仿宋_GB2312" w:hAnsi="仿宋_GB2312" w:eastAsia="仿宋_GB2312"/>
          <w:b w:val="0"/>
          <w:color w:val="000000"/>
          <w:sz w:val="32"/>
        </w:rPr>
        <w:t>速冻调理与预制菜智能产线、冷链仓储扩建需大额投入，适合项目贷款、设备融资租赁与绿色信贷。惠发、得利斯可凭经营与授信获取资金；中小企业借技改再贷款与政银担升级产线。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智能产线</w:t>
            </w:r>
          </w:p>
        </w:tc>
        <w:tc>
          <w:tcPr>
            <w:tcW w:type="dxa" w:w="3402"/>
          </w:tcPr>
          <w:p>
            <w:pPr>
              <w:spacing w:lineRule="exact" w:line="600"/>
              <w:jc w:val="center"/>
            </w:pPr>
            <w:r/>
            <w:r>
              <w:rPr>
                <w:rFonts w:ascii="仿宋_GB2312" w:hAnsi="仿宋_GB2312" w:eastAsia="仿宋_GB2312"/>
                <w:b w:val="0"/>
                <w:color w:val="000000"/>
                <w:sz w:val="32"/>
              </w:rPr>
              <w:t>预制/速冻</w:t>
            </w:r>
          </w:p>
        </w:tc>
        <w:tc>
          <w:tcPr>
            <w:tcW w:type="dxa" w:w="2835"/>
          </w:tcPr>
          <w:p>
            <w:pPr>
              <w:spacing w:lineRule="exact" w:line="600"/>
              <w:jc w:val="center"/>
            </w:pPr>
            <w:r/>
            <w:r>
              <w:rPr>
                <w:rFonts w:ascii="仿宋_GB2312" w:hAnsi="仿宋_GB2312" w:eastAsia="仿宋_GB2312"/>
                <w:b w:val="0"/>
                <w:color w:val="000000"/>
                <w:sz w:val="32"/>
              </w:rPr>
              <w:t>项目贷</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仓储</w:t>
            </w:r>
          </w:p>
        </w:tc>
        <w:tc>
          <w:tcPr>
            <w:tcW w:type="dxa" w:w="2835"/>
          </w:tcPr>
          <w:p>
            <w:pPr>
              <w:spacing w:lineRule="exact" w:line="600"/>
              <w:jc w:val="center"/>
            </w:pPr>
            <w:r/>
            <w:r>
              <w:rPr>
                <w:rFonts w:ascii="仿宋_GB2312" w:hAnsi="仿宋_GB2312" w:eastAsia="仿宋_GB2312"/>
                <w:b w:val="0"/>
                <w:color w:val="000000"/>
                <w:sz w:val="32"/>
              </w:rPr>
              <w:t>融资租赁</w:t>
            </w:r>
          </w:p>
        </w:tc>
      </w:tr>
      <w:tr>
        <w:tc>
          <w:tcPr>
            <w:tcW w:type="dxa" w:w="2835"/>
          </w:tcPr>
          <w:p>
            <w:pPr>
              <w:spacing w:lineRule="exact" w:line="600"/>
              <w:jc w:val="center"/>
            </w:pPr>
            <w:r/>
            <w:r>
              <w:rPr>
                <w:rFonts w:ascii="仿宋_GB2312" w:hAnsi="仿宋_GB2312" w:eastAsia="仿宋_GB2312"/>
                <w:b w:val="0"/>
                <w:color w:val="000000"/>
                <w:sz w:val="32"/>
              </w:rPr>
              <w:t>绿色</w:t>
            </w:r>
          </w:p>
        </w:tc>
        <w:tc>
          <w:tcPr>
            <w:tcW w:type="dxa" w:w="3402"/>
          </w:tcPr>
          <w:p>
            <w:pPr>
              <w:spacing w:lineRule="exact" w:line="600"/>
              <w:jc w:val="center"/>
            </w:pPr>
            <w:r/>
            <w:r>
              <w:rPr>
                <w:rFonts w:ascii="仿宋_GB2312" w:hAnsi="仿宋_GB2312" w:eastAsia="仿宋_GB2312"/>
                <w:b w:val="0"/>
                <w:color w:val="000000"/>
                <w:sz w:val="32"/>
              </w:rPr>
              <w:t>节能</w:t>
            </w:r>
          </w:p>
        </w:tc>
        <w:tc>
          <w:tcPr>
            <w:tcW w:type="dxa" w:w="2835"/>
          </w:tcPr>
          <w:p>
            <w:pPr>
              <w:spacing w:lineRule="exact" w:line="600"/>
              <w:jc w:val="center"/>
            </w:pPr>
            <w:r/>
            <w:r>
              <w:rPr>
                <w:rFonts w:ascii="仿宋_GB2312" w:hAnsi="仿宋_GB2312" w:eastAsia="仿宋_GB2312"/>
                <w:b w:val="0"/>
                <w:color w:val="000000"/>
                <w:sz w:val="32"/>
              </w:rPr>
              <w:t>绿色信贷</w:t>
            </w:r>
          </w:p>
        </w:tc>
      </w:tr>
      <w:tr>
        <w:tc>
          <w:tcPr>
            <w:tcW w:type="dxa" w:w="2835"/>
          </w:tcPr>
          <w:p>
            <w:pPr>
              <w:spacing w:lineRule="exact" w:line="600"/>
              <w:jc w:val="center"/>
            </w:pPr>
            <w:r/>
            <w:r>
              <w:rPr>
                <w:rFonts w:ascii="仿宋_GB2312" w:hAnsi="仿宋_GB2312" w:eastAsia="仿宋_GB2312"/>
                <w:b w:val="0"/>
                <w:color w:val="000000"/>
                <w:sz w:val="32"/>
              </w:rPr>
              <w:t>中小</w:t>
            </w:r>
          </w:p>
        </w:tc>
        <w:tc>
          <w:tcPr>
            <w:tcW w:type="dxa" w:w="3402"/>
          </w:tcPr>
          <w:p>
            <w:pPr>
              <w:spacing w:lineRule="exact" w:line="600"/>
              <w:jc w:val="center"/>
            </w:pPr>
            <w:r/>
            <w:r>
              <w:rPr>
                <w:rFonts w:ascii="仿宋_GB2312" w:hAnsi="仿宋_GB2312" w:eastAsia="仿宋_GB2312"/>
                <w:b w:val="0"/>
                <w:color w:val="000000"/>
                <w:sz w:val="32"/>
              </w:rPr>
              <w:t>技改</w:t>
            </w:r>
          </w:p>
        </w:tc>
        <w:tc>
          <w:tcPr>
            <w:tcW w:type="dxa" w:w="2835"/>
          </w:tcPr>
          <w:p>
            <w:pPr>
              <w:spacing w:lineRule="exact" w:line="600"/>
              <w:jc w:val="center"/>
            </w:pPr>
            <w:r/>
            <w:r>
              <w:rPr>
                <w:rFonts w:ascii="仿宋_GB2312" w:hAnsi="仿宋_GB2312" w:eastAsia="仿宋_GB2312"/>
                <w:b w:val="0"/>
                <w:color w:val="000000"/>
                <w:sz w:val="32"/>
              </w:rPr>
              <w:t>再贷款</w:t>
            </w:r>
          </w:p>
        </w:tc>
      </w:tr>
    </w:tbl>
    <w:p>
      <w:pPr>
        <w:spacing w:lineRule="exact" w:line="600" w:before="120" w:after="120"/>
        <w:ind w:firstLine="420"/>
        <w:jc w:val="left"/>
      </w:pPr>
      <w:r>
        <w:rPr>
          <w:rFonts w:ascii="楷体_GB2312" w:hAnsi="楷体_GB2312" w:eastAsia="楷体_GB2312"/>
          <w:b w:val="0"/>
          <w:color w:val="000000"/>
          <w:sz w:val="32"/>
        </w:rPr>
        <w:t>（二）研发与品牌</w:t>
      </w:r>
    </w:p>
    <w:p>
      <w:pPr>
        <w:spacing w:lineRule="exact" w:line="600" w:before="0" w:after="0"/>
        <w:ind w:firstLine="420"/>
        <w:jc w:val="both"/>
      </w:pPr>
      <w:r>
        <w:rPr>
          <w:rFonts w:ascii="仿宋_GB2312" w:hAnsi="仿宋_GB2312" w:eastAsia="仿宋_GB2312"/>
          <w:b w:val="0"/>
          <w:color w:val="000000"/>
          <w:sz w:val="32"/>
        </w:rPr>
        <w:t>健康化配方、爆品研发与品牌渠道建设需资金投入，适合产业基金、供应链金融与再融资。龙头可通过定增/可转债募资扩张；并购整合上下游亦存需求。</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研发</w:t>
            </w:r>
          </w:p>
        </w:tc>
        <w:tc>
          <w:tcPr>
            <w:tcW w:type="dxa" w:w="3402"/>
          </w:tcPr>
          <w:p>
            <w:pPr>
              <w:spacing w:lineRule="exact" w:line="600"/>
              <w:jc w:val="center"/>
            </w:pPr>
            <w:r/>
            <w:r>
              <w:rPr>
                <w:rFonts w:ascii="仿宋_GB2312" w:hAnsi="仿宋_GB2312" w:eastAsia="仿宋_GB2312"/>
                <w:b w:val="0"/>
                <w:color w:val="000000"/>
                <w:sz w:val="32"/>
              </w:rPr>
              <w:t>健康/爆品</w:t>
            </w:r>
          </w:p>
        </w:tc>
        <w:tc>
          <w:tcPr>
            <w:tcW w:type="dxa" w:w="2835"/>
          </w:tcPr>
          <w:p>
            <w:pPr>
              <w:spacing w:lineRule="exact" w:line="600"/>
              <w:jc w:val="center"/>
            </w:pPr>
            <w:r/>
            <w:r>
              <w:rPr>
                <w:rFonts w:ascii="仿宋_GB2312" w:hAnsi="仿宋_GB2312" w:eastAsia="仿宋_GB2312"/>
                <w:b w:val="0"/>
                <w:color w:val="000000"/>
                <w:sz w:val="32"/>
              </w:rPr>
              <w:t>产业基金</w:t>
            </w:r>
          </w:p>
        </w:tc>
      </w:tr>
      <w:tr>
        <w:tc>
          <w:tcPr>
            <w:tcW w:type="dxa" w:w="2835"/>
          </w:tcPr>
          <w:p>
            <w:pPr>
              <w:spacing w:lineRule="exact" w:line="600"/>
              <w:jc w:val="center"/>
            </w:pPr>
            <w:r/>
            <w:r>
              <w:rPr>
                <w:rFonts w:ascii="仿宋_GB2312" w:hAnsi="仿宋_GB2312" w:eastAsia="仿宋_GB2312"/>
                <w:b w:val="0"/>
                <w:color w:val="000000"/>
                <w:sz w:val="32"/>
              </w:rPr>
              <w:t>品牌</w:t>
            </w:r>
          </w:p>
        </w:tc>
        <w:tc>
          <w:tcPr>
            <w:tcW w:type="dxa" w:w="3402"/>
          </w:tcPr>
          <w:p>
            <w:pPr>
              <w:spacing w:lineRule="exact" w:line="600"/>
              <w:jc w:val="center"/>
            </w:pPr>
            <w:r/>
            <w:r>
              <w:rPr>
                <w:rFonts w:ascii="仿宋_GB2312" w:hAnsi="仿宋_GB2312" w:eastAsia="仿宋_GB2312"/>
                <w:b w:val="0"/>
                <w:color w:val="000000"/>
                <w:sz w:val="32"/>
              </w:rPr>
              <w:t>渠道</w:t>
            </w:r>
          </w:p>
        </w:tc>
        <w:tc>
          <w:tcPr>
            <w:tcW w:type="dxa" w:w="2835"/>
          </w:tcPr>
          <w:p>
            <w:pPr>
              <w:spacing w:lineRule="exact" w:line="600"/>
              <w:jc w:val="center"/>
            </w:pPr>
            <w:r/>
            <w:r>
              <w:rPr>
                <w:rFonts w:ascii="仿宋_GB2312" w:hAnsi="仿宋_GB2312" w:eastAsia="仿宋_GB2312"/>
                <w:b w:val="0"/>
                <w:color w:val="000000"/>
                <w:sz w:val="32"/>
              </w:rPr>
              <w:t>供应链金融</w:t>
            </w:r>
          </w:p>
        </w:tc>
      </w:tr>
      <w:tr>
        <w:tc>
          <w:tcPr>
            <w:tcW w:type="dxa" w:w="2835"/>
          </w:tcPr>
          <w:p>
            <w:pPr>
              <w:spacing w:lineRule="exact" w:line="600"/>
              <w:jc w:val="center"/>
            </w:pPr>
            <w:r/>
            <w:r>
              <w:rPr>
                <w:rFonts w:ascii="仿宋_GB2312" w:hAnsi="仿宋_GB2312" w:eastAsia="仿宋_GB2312"/>
                <w:b w:val="0"/>
                <w:color w:val="000000"/>
                <w:sz w:val="32"/>
              </w:rPr>
              <w:t>并购</w:t>
            </w:r>
          </w:p>
        </w:tc>
        <w:tc>
          <w:tcPr>
            <w:tcW w:type="dxa" w:w="3402"/>
          </w:tcPr>
          <w:p>
            <w:pPr>
              <w:spacing w:lineRule="exact" w:line="600"/>
              <w:jc w:val="center"/>
            </w:pPr>
            <w:r/>
            <w:r>
              <w:rPr>
                <w:rFonts w:ascii="仿宋_GB2312" w:hAnsi="仿宋_GB2312" w:eastAsia="仿宋_GB2312"/>
                <w:b w:val="0"/>
                <w:color w:val="000000"/>
                <w:sz w:val="32"/>
              </w:rPr>
              <w:t>整合</w:t>
            </w:r>
          </w:p>
        </w:tc>
        <w:tc>
          <w:tcPr>
            <w:tcW w:type="dxa" w:w="2835"/>
          </w:tcPr>
          <w:p>
            <w:pPr>
              <w:spacing w:lineRule="exact" w:line="600"/>
              <w:jc w:val="center"/>
            </w:pPr>
            <w:r/>
            <w:r>
              <w:rPr>
                <w:rFonts w:ascii="仿宋_GB2312" w:hAnsi="仿宋_GB2312" w:eastAsia="仿宋_GB2312"/>
                <w:b w:val="0"/>
                <w:color w:val="000000"/>
                <w:sz w:val="32"/>
              </w:rPr>
              <w:t>并购贷</w:t>
            </w:r>
          </w:p>
        </w:tc>
      </w:tr>
      <w:tr>
        <w:tc>
          <w:tcPr>
            <w:tcW w:type="dxa" w:w="2835"/>
          </w:tcPr>
          <w:p>
            <w:pPr>
              <w:spacing w:lineRule="exact" w:line="600"/>
              <w:jc w:val="center"/>
            </w:pPr>
            <w:r/>
            <w:r>
              <w:rPr>
                <w:rFonts w:ascii="仿宋_GB2312" w:hAnsi="仿宋_GB2312" w:eastAsia="仿宋_GB2312"/>
                <w:b w:val="0"/>
                <w:color w:val="000000"/>
                <w:sz w:val="32"/>
              </w:rPr>
              <w:t>扩产</w:t>
            </w:r>
          </w:p>
        </w:tc>
        <w:tc>
          <w:tcPr>
            <w:tcW w:type="dxa" w:w="3402"/>
          </w:tcPr>
          <w:p>
            <w:pPr>
              <w:spacing w:lineRule="exact" w:line="600"/>
              <w:jc w:val="center"/>
            </w:pPr>
            <w:r/>
            <w:r>
              <w:rPr>
                <w:rFonts w:ascii="仿宋_GB2312" w:hAnsi="仿宋_GB2312" w:eastAsia="仿宋_GB2312"/>
                <w:b w:val="0"/>
                <w:color w:val="000000"/>
                <w:sz w:val="32"/>
              </w:rPr>
              <w:t>可转债</w:t>
            </w:r>
          </w:p>
        </w:tc>
        <w:tc>
          <w:tcPr>
            <w:tcW w:type="dxa" w:w="2835"/>
          </w:tcPr>
          <w:p>
            <w:pPr>
              <w:spacing w:lineRule="exact" w:line="600"/>
              <w:jc w:val="center"/>
            </w:pPr>
            <w:r/>
            <w:r>
              <w:rPr>
                <w:rFonts w:ascii="仿宋_GB2312" w:hAnsi="仿宋_GB2312" w:eastAsia="仿宋_GB2312"/>
                <w:b w:val="0"/>
                <w:color w:val="000000"/>
                <w:sz w:val="32"/>
              </w:rPr>
              <w:t>再融资</w:t>
            </w:r>
          </w:p>
        </w:tc>
      </w:tr>
    </w:tbl>
    <w:p>
      <w:pPr>
        <w:spacing w:lineRule="exact" w:line="600" w:before="120" w:after="120"/>
        <w:ind w:firstLine="420"/>
        <w:jc w:val="left"/>
      </w:pPr>
      <w:r>
        <w:rPr>
          <w:rFonts w:ascii="楷体_GB2312" w:hAnsi="楷体_GB2312" w:eastAsia="楷体_GB2312"/>
          <w:b w:val="0"/>
          <w:color w:val="000000"/>
          <w:sz w:val="32"/>
        </w:rPr>
        <w:t>（三）冷链与供应链金融</w:t>
      </w:r>
    </w:p>
    <w:p>
      <w:pPr>
        <w:spacing w:lineRule="exact" w:line="600" w:before="0" w:after="0"/>
        <w:ind w:firstLine="420"/>
        <w:jc w:val="both"/>
      </w:pPr>
      <w:r>
        <w:rPr>
          <w:rFonts w:ascii="仿宋_GB2312" w:hAnsi="仿宋_GB2312" w:eastAsia="仿宋_GB2312"/>
          <w:b w:val="0"/>
          <w:color w:val="000000"/>
          <w:sz w:val="32"/>
        </w:rPr>
        <w:t>冷链共享平台、应收账款与存货质押满足轻资产与账期需求，适合供应链金融、应收账款融资。中小企业以冷链资产与订单融资缓解资金压力，加快预制菜产能释放。</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得利斯股份有限公司（002330）：诸城预制菜集群链主之一，2023年预制菜业务收入6.53亿元，依托低温肉制品品牌与屠宰原料优势延展预制菜肴；当年整体归母净利润亏损3399.7万元，正加快肉制品与预制菜转化改善盈利。来源：2023年年报、诸城市公开报道。</w:t>
      </w:r>
    </w:p>
    <w:p>
      <w:pPr>
        <w:spacing w:lineRule="exact" w:line="600" w:before="0" w:after="0"/>
        <w:ind w:firstLine="420"/>
        <w:jc w:val="both"/>
      </w:pPr>
      <w:r>
        <w:rPr>
          <w:rFonts w:ascii="仿宋_GB2312" w:hAnsi="仿宋_GB2312" w:eastAsia="仿宋_GB2312"/>
          <w:b w:val="0"/>
          <w:color w:val="000000"/>
          <w:sz w:val="32"/>
        </w:rPr>
        <w:t>惠发食品股份有限公司（603536）：诸城预制菜集群龙头，全国最大速冻肉丸基地核心企业。2023年营收19.97亿元（+26.36%）、归母净利润751.59万元，丸制品收入5.15亿元，预制菜与速冻调理食品制造规模与渠道优势突出。来源：2023年年报。</w:t>
      </w:r>
    </w:p>
    <w:p>
      <w:pPr>
        <w:spacing w:lineRule="exact" w:line="600" w:before="0" w:after="0"/>
        <w:ind w:firstLine="420"/>
        <w:jc w:val="both"/>
      </w:pPr>
      <w:r>
        <w:rPr>
          <w:rFonts w:ascii="仿宋_GB2312" w:hAnsi="仿宋_GB2312" w:eastAsia="仿宋_GB2312"/>
          <w:b w:val="0"/>
          <w:color w:val="000000"/>
          <w:sz w:val="32"/>
        </w:rPr>
        <w:t>诸城外贸有限责任公司：诸城大型肉鸡全产业链与出口企业，为预制菜提供稳定鸡肉原料并具出口渠道。注：公开财务口径有限（简报标注「待核」），以集群共性研判其鸡肉深加工与出口能力支撑预制菜原料端。来源：诸城市企业信息（公开资料有限）。</w:t>
      </w:r>
    </w:p>
    <w:p>
      <w:pPr>
        <w:spacing w:lineRule="exact" w:line="600" w:before="0" w:after="0"/>
        <w:jc w:val="left"/>
      </w:pPr>
      <w:r>
        <w:rPr>
          <w:rFonts w:ascii="仿宋_GB2312" w:hAnsi="仿宋_GB2312" w:eastAsia="仿宋_GB2312"/>
          <w:b w:val="0"/>
          <w:color w:val="000000"/>
          <w:sz w:val="28"/>
        </w:rPr>
        <w:t>主要数据来源：诸城市人民政府官网：预制菜产业、规上产值165亿元公开报道；得利斯股份有限公司（002330）2023年年度报告；惠发食品股份有限公司（603536）2023年年度报告；市场监管总局等六部门：《关于加强预制菜食品安全监管的通知》（2024）；中国烹饪协会预制菜专业委员会：行业规模公开解读；行业研究：中国预制菜市场规模（2023超5000亿元）；天眼查：诸城外贸有限责任公司工商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