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山东潍坊诸城市(健康食品及预制菜)特色产业集群</w:t>
      </w:r>
    </w:p>
    <w:p>
      <w:pPr>
        <w:spacing w:lineRule="exact" w:line="600" w:before="240" w:after="240"/>
        <w:ind w:firstLine="0"/>
        <w:jc w:val="center"/>
      </w:pPr>
      <w:r>
        <w:rPr>
          <w:rFonts w:ascii="方正小标宋简体" w:hAnsi="方正小标宋简体" w:eastAsia="方正小标宋简体"/>
          <w:b w:val="0"/>
          <w:color w:val="000000"/>
          <w:sz w:val="44"/>
        </w:rPr>
        <w:t>食品冷链物流与出口贸易行业深度分析报告</w:t>
      </w:r>
    </w:p>
    <w:p>
      <w:pPr>
        <w:spacing w:lineRule="exact" w:line="600" w:before="0" w:after="0"/>
        <w:jc w:val="left"/>
      </w:pPr>
      <w:r>
        <w:rPr>
          <w:rFonts w:ascii="仿宋_GB2312" w:hAnsi="仿宋_GB2312" w:eastAsia="仿宋_GB2312"/>
          <w:b w:val="0"/>
          <w:color w:val="000000"/>
          <w:sz w:val="28"/>
        </w:rPr>
        <w:t>本报告聚焦食品冷链物流与出口贸易环节，数据来源于诸城市公开报道、山东省商务厅与农业农村厅农产品出口数据、得利斯（002330）与惠发食品（603536）年报物流相关披露、行业研究。数据截至2023—2024年。部分冷链与外贸细分数据公开有限，已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食品冷链物流与出口贸易是诸城健康食品及预制菜集群的流通与开放枢纽，串联「屠宰—预制—消费/出口」。诸城依托得利斯、诸城外贸、惠发等龙头，形成覆盖冷库仓储、速冻、冷链配送与出口报关的配套体系。山东是农产品出口第一大省，诸城禽肉及预制食品出口日韩、东南亚具优势；得利斯、惠发均布局冷链与经销网络支撑B端C端配送。2023年诸城规上预制菜产值165亿元、企业556家，庞大产能对冷链吞吐与出口通道提出高要求。机遇在RCEP跨境冷链与餐饮供应链外包，挑战在冷链成本高、跨境合规与汇率波动。</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诸城预制菜企业总数</w:t>
            </w:r>
          </w:p>
        </w:tc>
        <w:tc>
          <w:tcPr>
            <w:tcW w:type="dxa" w:w="2835"/>
          </w:tcPr>
          <w:p>
            <w:pPr>
              <w:spacing w:lineRule="exact" w:line="600"/>
              <w:jc w:val="center"/>
            </w:pPr>
            <w:r/>
            <w:r>
              <w:rPr>
                <w:rFonts w:ascii="仿宋_GB2312" w:hAnsi="仿宋_GB2312" w:eastAsia="仿宋_GB2312"/>
                <w:b w:val="0"/>
                <w:color w:val="000000"/>
                <w:sz w:val="32"/>
              </w:rPr>
              <w:t>556家</w:t>
            </w:r>
          </w:p>
        </w:tc>
        <w:tc>
          <w:tcPr>
            <w:tcW w:type="dxa" w:w="3118"/>
          </w:tcPr>
          <w:p>
            <w:pPr>
              <w:spacing w:lineRule="exact" w:line="600"/>
              <w:jc w:val="center"/>
            </w:pPr>
            <w:r/>
            <w:r>
              <w:rPr>
                <w:rFonts w:ascii="仿宋_GB2312" w:hAnsi="仿宋_GB2312" w:eastAsia="仿宋_GB2312"/>
                <w:b w:val="0"/>
                <w:color w:val="000000"/>
                <w:sz w:val="32"/>
              </w:rPr>
              <w:t>诸城公开</w:t>
            </w:r>
          </w:p>
        </w:tc>
      </w:tr>
      <w:tr>
        <w:tc>
          <w:tcPr>
            <w:tcW w:type="dxa" w:w="2835"/>
          </w:tcPr>
          <w:p>
            <w:pPr>
              <w:spacing w:lineRule="exact" w:line="600"/>
              <w:jc w:val="center"/>
            </w:pPr>
            <w:r/>
            <w:r>
              <w:rPr>
                <w:rFonts w:ascii="仿宋_GB2312" w:hAnsi="仿宋_GB2312" w:eastAsia="仿宋_GB2312"/>
                <w:b w:val="0"/>
                <w:color w:val="000000"/>
                <w:sz w:val="32"/>
              </w:rPr>
              <w:t>诸城规上预制菜产值2023</w:t>
            </w:r>
          </w:p>
        </w:tc>
        <w:tc>
          <w:tcPr>
            <w:tcW w:type="dxa" w:w="2835"/>
          </w:tcPr>
          <w:p>
            <w:pPr>
              <w:spacing w:lineRule="exact" w:line="600"/>
              <w:jc w:val="center"/>
            </w:pPr>
            <w:r/>
            <w:r>
              <w:rPr>
                <w:rFonts w:ascii="仿宋_GB2312" w:hAnsi="仿宋_GB2312" w:eastAsia="仿宋_GB2312"/>
                <w:b w:val="0"/>
                <w:color w:val="000000"/>
                <w:sz w:val="32"/>
              </w:rPr>
              <w:t>165亿元（+16%）</w:t>
            </w:r>
          </w:p>
        </w:tc>
        <w:tc>
          <w:tcPr>
            <w:tcW w:type="dxa" w:w="3118"/>
          </w:tcPr>
          <w:p>
            <w:pPr>
              <w:spacing w:lineRule="exact" w:line="600"/>
              <w:jc w:val="center"/>
            </w:pPr>
            <w:r/>
            <w:r>
              <w:rPr>
                <w:rFonts w:ascii="仿宋_GB2312" w:hAnsi="仿宋_GB2312" w:eastAsia="仿宋_GB2312"/>
                <w:b w:val="0"/>
                <w:color w:val="000000"/>
                <w:sz w:val="32"/>
              </w:rPr>
              <w:t>诸城公开</w:t>
            </w:r>
          </w:p>
        </w:tc>
      </w:tr>
      <w:tr>
        <w:tc>
          <w:tcPr>
            <w:tcW w:type="dxa" w:w="2835"/>
          </w:tcPr>
          <w:p>
            <w:pPr>
              <w:spacing w:lineRule="exact" w:line="600"/>
              <w:jc w:val="center"/>
            </w:pPr>
            <w:r/>
            <w:r>
              <w:rPr>
                <w:rFonts w:ascii="仿宋_GB2312" w:hAnsi="仿宋_GB2312" w:eastAsia="仿宋_GB2312"/>
                <w:b w:val="0"/>
                <w:color w:val="000000"/>
                <w:sz w:val="32"/>
              </w:rPr>
              <w:t>山东农产品出口</w:t>
            </w:r>
          </w:p>
        </w:tc>
        <w:tc>
          <w:tcPr>
            <w:tcW w:type="dxa" w:w="2835"/>
          </w:tcPr>
          <w:p>
            <w:pPr>
              <w:spacing w:lineRule="exact" w:line="600"/>
              <w:jc w:val="center"/>
            </w:pPr>
            <w:r/>
            <w:r>
              <w:rPr>
                <w:rFonts w:ascii="仿宋_GB2312" w:hAnsi="仿宋_GB2312" w:eastAsia="仿宋_GB2312"/>
                <w:b w:val="0"/>
                <w:color w:val="000000"/>
                <w:sz w:val="32"/>
              </w:rPr>
              <w:t>全国第一</w:t>
            </w:r>
          </w:p>
        </w:tc>
        <w:tc>
          <w:tcPr>
            <w:tcW w:type="dxa" w:w="3118"/>
          </w:tcPr>
          <w:p>
            <w:pPr>
              <w:spacing w:lineRule="exact" w:line="600"/>
              <w:jc w:val="center"/>
            </w:pPr>
            <w:r/>
            <w:r>
              <w:rPr>
                <w:rFonts w:ascii="仿宋_GB2312" w:hAnsi="仿宋_GB2312" w:eastAsia="仿宋_GB2312"/>
                <w:b w:val="0"/>
                <w:color w:val="000000"/>
                <w:sz w:val="32"/>
              </w:rPr>
              <w:t>山东商务厅</w:t>
            </w:r>
          </w:p>
        </w:tc>
      </w:tr>
      <w:tr>
        <w:tc>
          <w:tcPr>
            <w:tcW w:type="dxa" w:w="2835"/>
          </w:tcPr>
          <w:p>
            <w:pPr>
              <w:spacing w:lineRule="exact" w:line="600"/>
              <w:jc w:val="center"/>
            </w:pPr>
            <w:r/>
            <w:r>
              <w:rPr>
                <w:rFonts w:ascii="仿宋_GB2312" w:hAnsi="仿宋_GB2312" w:eastAsia="仿宋_GB2312"/>
                <w:b w:val="0"/>
                <w:color w:val="000000"/>
                <w:sz w:val="32"/>
              </w:rPr>
              <w:t>RCEP</w:t>
            </w:r>
          </w:p>
        </w:tc>
        <w:tc>
          <w:tcPr>
            <w:tcW w:type="dxa" w:w="2835"/>
          </w:tcPr>
          <w:p>
            <w:pPr>
              <w:spacing w:lineRule="exact" w:line="600"/>
              <w:jc w:val="center"/>
            </w:pPr>
            <w:r/>
            <w:r>
              <w:rPr>
                <w:rFonts w:ascii="仿宋_GB2312" w:hAnsi="仿宋_GB2312" w:eastAsia="仿宋_GB2312"/>
                <w:b w:val="0"/>
                <w:color w:val="000000"/>
                <w:sz w:val="32"/>
              </w:rPr>
              <w:t>降关税</w:t>
            </w:r>
          </w:p>
        </w:tc>
        <w:tc>
          <w:tcPr>
            <w:tcW w:type="dxa" w:w="3118"/>
          </w:tcPr>
          <w:p>
            <w:pPr>
              <w:spacing w:lineRule="exact" w:line="600"/>
              <w:jc w:val="center"/>
            </w:pPr>
            <w:r/>
            <w:r>
              <w:rPr>
                <w:rFonts w:ascii="仿宋_GB2312" w:hAnsi="仿宋_GB2312" w:eastAsia="仿宋_GB2312"/>
                <w:b w:val="0"/>
                <w:color w:val="000000"/>
                <w:sz w:val="32"/>
              </w:rPr>
              <w:t>区域</w:t>
            </w:r>
          </w:p>
        </w:tc>
      </w:tr>
      <w:tr>
        <w:tc>
          <w:tcPr>
            <w:tcW w:type="dxa" w:w="2835"/>
          </w:tcPr>
          <w:p>
            <w:pPr>
              <w:spacing w:lineRule="exact" w:line="600"/>
              <w:jc w:val="center"/>
            </w:pPr>
            <w:r/>
            <w:r>
              <w:rPr>
                <w:rFonts w:ascii="仿宋_GB2312" w:hAnsi="仿宋_GB2312" w:eastAsia="仿宋_GB2312"/>
                <w:b w:val="0"/>
                <w:color w:val="000000"/>
                <w:sz w:val="32"/>
              </w:rPr>
              <w:t>得利斯营收</w:t>
            </w:r>
          </w:p>
        </w:tc>
        <w:tc>
          <w:tcPr>
            <w:tcW w:type="dxa" w:w="2835"/>
          </w:tcPr>
          <w:p>
            <w:pPr>
              <w:spacing w:lineRule="exact" w:line="600"/>
              <w:jc w:val="center"/>
            </w:pPr>
            <w:r/>
            <w:r>
              <w:rPr>
                <w:rFonts w:ascii="仿宋_GB2312" w:hAnsi="仿宋_GB2312" w:eastAsia="仿宋_GB2312"/>
                <w:b w:val="0"/>
                <w:color w:val="000000"/>
                <w:sz w:val="32"/>
              </w:rPr>
              <w:t>30.92亿元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惠发营收</w:t>
            </w:r>
          </w:p>
        </w:tc>
        <w:tc>
          <w:tcPr>
            <w:tcW w:type="dxa" w:w="2835"/>
          </w:tcPr>
          <w:p>
            <w:pPr>
              <w:spacing w:lineRule="exact" w:line="600"/>
              <w:jc w:val="center"/>
            </w:pPr>
            <w:r/>
            <w:r>
              <w:rPr>
                <w:rFonts w:ascii="仿宋_GB2312" w:hAnsi="仿宋_GB2312" w:eastAsia="仿宋_GB2312"/>
                <w:b w:val="0"/>
                <w:color w:val="000000"/>
                <w:sz w:val="32"/>
              </w:rPr>
              <w:t>19.97亿元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惠发丸制品</w:t>
            </w:r>
          </w:p>
        </w:tc>
        <w:tc>
          <w:tcPr>
            <w:tcW w:type="dxa" w:w="2835"/>
          </w:tcPr>
          <w:p>
            <w:pPr>
              <w:spacing w:lineRule="exact" w:line="600"/>
              <w:jc w:val="center"/>
            </w:pPr>
            <w:r/>
            <w:r>
              <w:rPr>
                <w:rFonts w:ascii="仿宋_GB2312" w:hAnsi="仿宋_GB2312" w:eastAsia="仿宋_GB2312"/>
                <w:b w:val="0"/>
                <w:color w:val="000000"/>
                <w:sz w:val="32"/>
              </w:rPr>
              <w:t>5.15亿元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全国冷链市场</w:t>
            </w:r>
          </w:p>
        </w:tc>
        <w:tc>
          <w:tcPr>
            <w:tcW w:type="dxa" w:w="2835"/>
          </w:tcPr>
          <w:p>
            <w:pPr>
              <w:spacing w:lineRule="exact" w:line="600"/>
              <w:jc w:val="center"/>
            </w:pPr>
            <w:r/>
            <w:r>
              <w:rPr>
                <w:rFonts w:ascii="仿宋_GB2312" w:hAnsi="仿宋_GB2312" w:eastAsia="仿宋_GB2312"/>
                <w:b w:val="0"/>
                <w:color w:val="000000"/>
                <w:sz w:val="32"/>
              </w:rPr>
              <w:t>高增</w:t>
            </w:r>
          </w:p>
        </w:tc>
        <w:tc>
          <w:tcPr>
            <w:tcW w:type="dxa" w:w="3118"/>
          </w:tcPr>
          <w:p>
            <w:pPr>
              <w:spacing w:lineRule="exact" w:line="600"/>
              <w:jc w:val="center"/>
            </w:pPr>
            <w:r/>
            <w:r>
              <w:rPr>
                <w:rFonts w:ascii="仿宋_GB2312" w:hAnsi="仿宋_GB2312" w:eastAsia="仿宋_GB2312"/>
                <w:b w:val="0"/>
                <w:color w:val="000000"/>
                <w:sz w:val="32"/>
              </w:rPr>
              <w:t>行业研究</w:t>
            </w:r>
          </w:p>
        </w:tc>
      </w:tr>
      <w:tr>
        <w:tc>
          <w:tcPr>
            <w:tcW w:type="dxa" w:w="2835"/>
          </w:tcPr>
          <w:p>
            <w:pPr>
              <w:spacing w:lineRule="exact" w:line="600"/>
              <w:jc w:val="center"/>
            </w:pPr>
            <w:r/>
            <w:r>
              <w:rPr>
                <w:rFonts w:ascii="仿宋_GB2312" w:hAnsi="仿宋_GB2312" w:eastAsia="仿宋_GB2312"/>
                <w:b w:val="0"/>
                <w:color w:val="000000"/>
                <w:sz w:val="32"/>
              </w:rPr>
              <w:t>十四五冷链</w:t>
            </w:r>
          </w:p>
        </w:tc>
        <w:tc>
          <w:tcPr>
            <w:tcW w:type="dxa" w:w="2835"/>
          </w:tcPr>
          <w:p>
            <w:pPr>
              <w:spacing w:lineRule="exact" w:line="600"/>
              <w:jc w:val="center"/>
            </w:pPr>
            <w:r/>
            <w:r>
              <w:rPr>
                <w:rFonts w:ascii="仿宋_GB2312" w:hAnsi="仿宋_GB2312" w:eastAsia="仿宋_GB2312"/>
                <w:b w:val="0"/>
                <w:color w:val="000000"/>
                <w:sz w:val="32"/>
              </w:rPr>
              <w:t>骨干通道</w:t>
            </w:r>
          </w:p>
        </w:tc>
        <w:tc>
          <w:tcPr>
            <w:tcW w:type="dxa" w:w="3118"/>
          </w:tcPr>
          <w:p>
            <w:pPr>
              <w:spacing w:lineRule="exact" w:line="600"/>
              <w:jc w:val="center"/>
            </w:pPr>
            <w:r/>
            <w:r>
              <w:rPr>
                <w:rFonts w:ascii="仿宋_GB2312" w:hAnsi="仿宋_GB2312" w:eastAsia="仿宋_GB2312"/>
                <w:b w:val="0"/>
                <w:color w:val="000000"/>
                <w:sz w:val="32"/>
              </w:rPr>
              <w:t>国家规划</w:t>
            </w:r>
          </w:p>
        </w:tc>
      </w:tr>
      <w:tr>
        <w:tc>
          <w:tcPr>
            <w:tcW w:type="dxa" w:w="2835"/>
          </w:tcPr>
          <w:p>
            <w:pPr>
              <w:spacing w:lineRule="exact" w:line="600"/>
              <w:jc w:val="center"/>
            </w:pPr>
            <w:r/>
            <w:r>
              <w:rPr>
                <w:rFonts w:ascii="仿宋_GB2312" w:hAnsi="仿宋_GB2312" w:eastAsia="仿宋_GB2312"/>
                <w:b w:val="0"/>
                <w:color w:val="000000"/>
                <w:sz w:val="32"/>
              </w:rPr>
              <w:t>诸城定位</w:t>
            </w:r>
          </w:p>
        </w:tc>
        <w:tc>
          <w:tcPr>
            <w:tcW w:type="dxa" w:w="2835"/>
          </w:tcPr>
          <w:p>
            <w:pPr>
              <w:spacing w:lineRule="exact" w:line="600"/>
              <w:jc w:val="center"/>
            </w:pPr>
            <w:r/>
            <w:r>
              <w:rPr>
                <w:rFonts w:ascii="仿宋_GB2312" w:hAnsi="仿宋_GB2312" w:eastAsia="仿宋_GB2312"/>
                <w:b w:val="0"/>
                <w:color w:val="000000"/>
                <w:sz w:val="32"/>
              </w:rPr>
              <w:t>最大速冻肉丸基地</w:t>
            </w:r>
          </w:p>
        </w:tc>
        <w:tc>
          <w:tcPr>
            <w:tcW w:type="dxa" w:w="3118"/>
          </w:tcPr>
          <w:p>
            <w:pPr>
              <w:spacing w:lineRule="exact" w:line="600"/>
              <w:jc w:val="center"/>
            </w:pPr>
            <w:r/>
            <w:r>
              <w:rPr>
                <w:rFonts w:ascii="仿宋_GB2312" w:hAnsi="仿宋_GB2312" w:eastAsia="仿宋_GB2312"/>
                <w:b w:val="0"/>
                <w:color w:val="000000"/>
                <w:sz w:val="32"/>
              </w:rPr>
              <w:t>诸城公开</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（一）政策导向</w:t>
      </w:r>
    </w:p>
    <w:p>
      <w:pPr>
        <w:spacing w:lineRule="exact" w:line="600" w:before="0" w:after="0"/>
        <w:ind w:firstLine="420"/>
        <w:jc w:val="both"/>
      </w:pPr>
      <w:r>
        <w:rPr>
          <w:rFonts w:ascii="仿宋_GB2312" w:hAnsi="仿宋_GB2312" w:eastAsia="仿宋_GB2312"/>
          <w:b w:val="0"/>
          <w:color w:val="000000"/>
          <w:sz w:val="32"/>
        </w:rPr>
        <w:t>国家将冷链物流列为基础设施补短板重点，《「十四五」冷链物流发展规划》提出建设「四横四纵」骨干通道与产销冷链集配中心；农产品冷链流通率目标提升。商务部与海关总署优化农产品出口通关。山东出台冷链与农产品出口支持政策，诸城食品冷链与出口获政策红利。</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政策</w:t>
            </w:r>
          </w:p>
        </w:tc>
        <w:tc>
          <w:tcPr>
            <w:tcW w:type="dxa" w:w="3118"/>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影响</w:t>
            </w:r>
          </w:p>
        </w:tc>
      </w:tr>
      <w:tr>
        <w:tc>
          <w:tcPr>
            <w:tcW w:type="dxa" w:w="2835"/>
          </w:tcPr>
          <w:p>
            <w:pPr>
              <w:spacing w:lineRule="exact" w:line="600"/>
              <w:jc w:val="center"/>
            </w:pPr>
            <w:r/>
            <w:r>
              <w:rPr>
                <w:rFonts w:ascii="仿宋_GB2312" w:hAnsi="仿宋_GB2312" w:eastAsia="仿宋_GB2312"/>
                <w:b w:val="0"/>
                <w:color w:val="000000"/>
                <w:sz w:val="32"/>
              </w:rPr>
              <w:t>十四五冷链规划</w:t>
            </w:r>
          </w:p>
        </w:tc>
        <w:tc>
          <w:tcPr>
            <w:tcW w:type="dxa" w:w="3118"/>
          </w:tcPr>
          <w:p>
            <w:pPr>
              <w:spacing w:lineRule="exact" w:line="600"/>
              <w:jc w:val="center"/>
            </w:pPr>
            <w:r/>
            <w:r>
              <w:rPr>
                <w:rFonts w:ascii="仿宋_GB2312" w:hAnsi="仿宋_GB2312" w:eastAsia="仿宋_GB2312"/>
                <w:b w:val="0"/>
                <w:color w:val="000000"/>
                <w:sz w:val="32"/>
              </w:rPr>
              <w:t>骨干通道</w:t>
            </w:r>
          </w:p>
        </w:tc>
        <w:tc>
          <w:tcPr>
            <w:tcW w:type="dxa" w:w="3118"/>
          </w:tcPr>
          <w:p>
            <w:pPr>
              <w:spacing w:lineRule="exact" w:line="600"/>
              <w:jc w:val="center"/>
            </w:pPr>
            <w:r/>
            <w:r>
              <w:rPr>
                <w:rFonts w:ascii="仿宋_GB2312" w:hAnsi="仿宋_GB2312" w:eastAsia="仿宋_GB2312"/>
                <w:b w:val="0"/>
                <w:color w:val="000000"/>
                <w:sz w:val="32"/>
              </w:rPr>
              <w:t>基建</w:t>
            </w:r>
          </w:p>
        </w:tc>
      </w:tr>
      <w:tr>
        <w:tc>
          <w:tcPr>
            <w:tcW w:type="dxa" w:w="2835"/>
          </w:tcPr>
          <w:p>
            <w:pPr>
              <w:spacing w:lineRule="exact" w:line="600"/>
              <w:jc w:val="center"/>
            </w:pPr>
            <w:r/>
            <w:r>
              <w:rPr>
                <w:rFonts w:ascii="仿宋_GB2312" w:hAnsi="仿宋_GB2312" w:eastAsia="仿宋_GB2312"/>
                <w:b w:val="0"/>
                <w:color w:val="000000"/>
                <w:sz w:val="32"/>
              </w:rPr>
              <w:t>集配中心</w:t>
            </w:r>
          </w:p>
        </w:tc>
        <w:tc>
          <w:tcPr>
            <w:tcW w:type="dxa" w:w="3118"/>
          </w:tcPr>
          <w:p>
            <w:pPr>
              <w:spacing w:lineRule="exact" w:line="600"/>
              <w:jc w:val="center"/>
            </w:pPr>
            <w:r/>
            <w:r>
              <w:rPr>
                <w:rFonts w:ascii="仿宋_GB2312" w:hAnsi="仿宋_GB2312" w:eastAsia="仿宋_GB2312"/>
                <w:b w:val="0"/>
                <w:color w:val="000000"/>
                <w:sz w:val="32"/>
              </w:rPr>
              <w:t>产销</w:t>
            </w:r>
          </w:p>
        </w:tc>
        <w:tc>
          <w:tcPr>
            <w:tcW w:type="dxa" w:w="3118"/>
          </w:tcPr>
          <w:p>
            <w:pPr>
              <w:spacing w:lineRule="exact" w:line="600"/>
              <w:jc w:val="center"/>
            </w:pPr>
            <w:r/>
            <w:r>
              <w:rPr>
                <w:rFonts w:ascii="仿宋_GB2312" w:hAnsi="仿宋_GB2312" w:eastAsia="仿宋_GB2312"/>
                <w:b w:val="0"/>
                <w:color w:val="000000"/>
                <w:sz w:val="32"/>
              </w:rPr>
              <w:t>补链</w:t>
            </w:r>
          </w:p>
        </w:tc>
      </w:tr>
      <w:tr>
        <w:tc>
          <w:tcPr>
            <w:tcW w:type="dxa" w:w="2835"/>
          </w:tcPr>
          <w:p>
            <w:pPr>
              <w:spacing w:lineRule="exact" w:line="600"/>
              <w:jc w:val="center"/>
            </w:pPr>
            <w:r/>
            <w:r>
              <w:rPr>
                <w:rFonts w:ascii="仿宋_GB2312" w:hAnsi="仿宋_GB2312" w:eastAsia="仿宋_GB2312"/>
                <w:b w:val="0"/>
                <w:color w:val="000000"/>
                <w:sz w:val="32"/>
              </w:rPr>
              <w:t>海关</w:t>
            </w:r>
          </w:p>
        </w:tc>
        <w:tc>
          <w:tcPr>
            <w:tcW w:type="dxa" w:w="3118"/>
          </w:tcPr>
          <w:p>
            <w:pPr>
              <w:spacing w:lineRule="exact" w:line="600"/>
              <w:jc w:val="center"/>
            </w:pPr>
            <w:r/>
            <w:r>
              <w:rPr>
                <w:rFonts w:ascii="仿宋_GB2312" w:hAnsi="仿宋_GB2312" w:eastAsia="仿宋_GB2312"/>
                <w:b w:val="0"/>
                <w:color w:val="000000"/>
                <w:sz w:val="32"/>
              </w:rPr>
              <w:t>通关优化</w:t>
            </w:r>
          </w:p>
        </w:tc>
        <w:tc>
          <w:tcPr>
            <w:tcW w:type="dxa" w:w="3118"/>
          </w:tcPr>
          <w:p>
            <w:pPr>
              <w:spacing w:lineRule="exact" w:line="600"/>
              <w:jc w:val="center"/>
            </w:pPr>
            <w:r/>
            <w:r>
              <w:rPr>
                <w:rFonts w:ascii="仿宋_GB2312" w:hAnsi="仿宋_GB2312" w:eastAsia="仿宋_GB2312"/>
                <w:b w:val="0"/>
                <w:color w:val="000000"/>
                <w:sz w:val="32"/>
              </w:rPr>
              <w:t>出口</w:t>
            </w:r>
          </w:p>
        </w:tc>
      </w:tr>
      <w:tr>
        <w:tc>
          <w:tcPr>
            <w:tcW w:type="dxa" w:w="2835"/>
          </w:tcPr>
          <w:p>
            <w:pPr>
              <w:spacing w:lineRule="exact" w:line="600"/>
              <w:jc w:val="center"/>
            </w:pPr>
            <w:r/>
            <w:r>
              <w:rPr>
                <w:rFonts w:ascii="仿宋_GB2312" w:hAnsi="仿宋_GB2312" w:eastAsia="仿宋_GB2312"/>
                <w:b w:val="0"/>
                <w:color w:val="000000"/>
                <w:sz w:val="32"/>
              </w:rPr>
              <w:t>山东</w:t>
            </w:r>
          </w:p>
        </w:tc>
        <w:tc>
          <w:tcPr>
            <w:tcW w:type="dxa" w:w="3118"/>
          </w:tcPr>
          <w:p>
            <w:pPr>
              <w:spacing w:lineRule="exact" w:line="600"/>
              <w:jc w:val="center"/>
            </w:pPr>
            <w:r/>
            <w:r>
              <w:rPr>
                <w:rFonts w:ascii="仿宋_GB2312" w:hAnsi="仿宋_GB2312" w:eastAsia="仿宋_GB2312"/>
                <w:b w:val="0"/>
                <w:color w:val="000000"/>
                <w:sz w:val="32"/>
              </w:rPr>
              <w:t>冷链/出口</w:t>
            </w:r>
          </w:p>
        </w:tc>
        <w:tc>
          <w:tcPr>
            <w:tcW w:type="dxa" w:w="3118"/>
          </w:tcPr>
          <w:p>
            <w:pPr>
              <w:spacing w:lineRule="exact" w:line="600"/>
              <w:jc w:val="center"/>
            </w:pPr>
            <w:r/>
            <w:r>
              <w:rPr>
                <w:rFonts w:ascii="仿宋_GB2312" w:hAnsi="仿宋_GB2312" w:eastAsia="仿宋_GB2312"/>
                <w:b w:val="0"/>
                <w:color w:val="000000"/>
                <w:sz w:val="32"/>
              </w:rPr>
              <w:t>支持</w:t>
            </w:r>
          </w:p>
        </w:tc>
      </w:tr>
    </w:tbl>
    <w:p>
      <w:pPr>
        <w:spacing w:lineRule="exact" w:line="600" w:before="120" w:after="120"/>
        <w:ind w:firstLine="420"/>
        <w:jc w:val="left"/>
      </w:pPr>
      <w:r>
        <w:rPr>
          <w:rFonts w:ascii="楷体_GB2312" w:hAnsi="楷体_GB2312" w:eastAsia="楷体_GB2312"/>
          <w:b w:val="0"/>
          <w:color w:val="000000"/>
          <w:sz w:val="32"/>
        </w:rPr>
        <w:t>（二）区域定位</w:t>
      </w:r>
    </w:p>
    <w:p>
      <w:pPr>
        <w:spacing w:lineRule="exact" w:line="600" w:before="0" w:after="0"/>
        <w:ind w:firstLine="420"/>
        <w:jc w:val="both"/>
      </w:pPr>
      <w:r>
        <w:rPr>
          <w:rFonts w:ascii="仿宋_GB2312" w:hAnsi="仿宋_GB2312" w:eastAsia="仿宋_GB2312"/>
          <w:b w:val="0"/>
          <w:color w:val="000000"/>
          <w:sz w:val="32"/>
        </w:rPr>
        <w:t>诸城作为畜牧与预制菜大市，冷链物流是集群「流通底座」，保障屠宰与预制菜的鲜度与半径。出口贸易则依托山东农产品出口第一大省地位，将鸡肉、预制食品输往日韩与东南亚。冷链+出口构成诸城食品「走出去」双通道。</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区域要素</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冷链</w:t>
            </w:r>
          </w:p>
        </w:tc>
        <w:tc>
          <w:tcPr>
            <w:tcW w:type="dxa" w:w="3402"/>
          </w:tcPr>
          <w:p>
            <w:pPr>
              <w:spacing w:lineRule="exact" w:line="600"/>
              <w:jc w:val="center"/>
            </w:pPr>
            <w:r/>
            <w:r>
              <w:rPr>
                <w:rFonts w:ascii="仿宋_GB2312" w:hAnsi="仿宋_GB2312" w:eastAsia="仿宋_GB2312"/>
                <w:b w:val="0"/>
                <w:color w:val="000000"/>
                <w:sz w:val="32"/>
              </w:rPr>
              <w:t>流通底座</w:t>
            </w:r>
          </w:p>
        </w:tc>
        <w:tc>
          <w:tcPr>
            <w:tcW w:type="dxa" w:w="2835"/>
          </w:tcPr>
          <w:p>
            <w:pPr>
              <w:spacing w:lineRule="exact" w:line="600"/>
              <w:jc w:val="center"/>
            </w:pPr>
            <w:r/>
            <w:r>
              <w:rPr>
                <w:rFonts w:ascii="仿宋_GB2312" w:hAnsi="仿宋_GB2312" w:eastAsia="仿宋_GB2312"/>
                <w:b w:val="0"/>
                <w:color w:val="000000"/>
                <w:sz w:val="32"/>
              </w:rPr>
              <w:t>鲜度</w:t>
            </w:r>
          </w:p>
        </w:tc>
      </w:tr>
      <w:tr>
        <w:tc>
          <w:tcPr>
            <w:tcW w:type="dxa" w:w="2835"/>
          </w:tcPr>
          <w:p>
            <w:pPr>
              <w:spacing w:lineRule="exact" w:line="600"/>
              <w:jc w:val="center"/>
            </w:pPr>
            <w:r/>
            <w:r>
              <w:rPr>
                <w:rFonts w:ascii="仿宋_GB2312" w:hAnsi="仿宋_GB2312" w:eastAsia="仿宋_GB2312"/>
                <w:b w:val="0"/>
                <w:color w:val="000000"/>
                <w:sz w:val="32"/>
              </w:rPr>
              <w:t>出口</w:t>
            </w:r>
          </w:p>
        </w:tc>
        <w:tc>
          <w:tcPr>
            <w:tcW w:type="dxa" w:w="3402"/>
          </w:tcPr>
          <w:p>
            <w:pPr>
              <w:spacing w:lineRule="exact" w:line="600"/>
              <w:jc w:val="center"/>
            </w:pPr>
            <w:r/>
            <w:r>
              <w:rPr>
                <w:rFonts w:ascii="仿宋_GB2312" w:hAnsi="仿宋_GB2312" w:eastAsia="仿宋_GB2312"/>
                <w:b w:val="0"/>
                <w:color w:val="000000"/>
                <w:sz w:val="32"/>
              </w:rPr>
              <w:t>山东第一</w:t>
            </w:r>
          </w:p>
        </w:tc>
        <w:tc>
          <w:tcPr>
            <w:tcW w:type="dxa" w:w="2835"/>
          </w:tcPr>
          <w:p>
            <w:pPr>
              <w:spacing w:lineRule="exact" w:line="600"/>
              <w:jc w:val="center"/>
            </w:pPr>
            <w:r/>
            <w:r>
              <w:rPr>
                <w:rFonts w:ascii="仿宋_GB2312" w:hAnsi="仿宋_GB2312" w:eastAsia="仿宋_GB2312"/>
                <w:b w:val="0"/>
                <w:color w:val="000000"/>
                <w:sz w:val="32"/>
              </w:rPr>
              <w:t>走出去</w:t>
            </w:r>
          </w:p>
        </w:tc>
      </w:tr>
      <w:tr>
        <w:tc>
          <w:tcPr>
            <w:tcW w:type="dxa" w:w="2835"/>
          </w:tcPr>
          <w:p>
            <w:pPr>
              <w:spacing w:lineRule="exact" w:line="600"/>
              <w:jc w:val="center"/>
            </w:pPr>
            <w:r/>
            <w:r>
              <w:rPr>
                <w:rFonts w:ascii="仿宋_GB2312" w:hAnsi="仿宋_GB2312" w:eastAsia="仿宋_GB2312"/>
                <w:b w:val="0"/>
                <w:color w:val="000000"/>
                <w:sz w:val="32"/>
              </w:rPr>
              <w:t>市场</w:t>
            </w:r>
          </w:p>
        </w:tc>
        <w:tc>
          <w:tcPr>
            <w:tcW w:type="dxa" w:w="3402"/>
          </w:tcPr>
          <w:p>
            <w:pPr>
              <w:spacing w:lineRule="exact" w:line="600"/>
              <w:jc w:val="center"/>
            </w:pPr>
            <w:r/>
            <w:r>
              <w:rPr>
                <w:rFonts w:ascii="仿宋_GB2312" w:hAnsi="仿宋_GB2312" w:eastAsia="仿宋_GB2312"/>
                <w:b w:val="0"/>
                <w:color w:val="000000"/>
                <w:sz w:val="32"/>
              </w:rPr>
              <w:t>日韩/东南亚</w:t>
            </w:r>
          </w:p>
        </w:tc>
        <w:tc>
          <w:tcPr>
            <w:tcW w:type="dxa" w:w="2835"/>
          </w:tcPr>
          <w:p>
            <w:pPr>
              <w:spacing w:lineRule="exact" w:line="600"/>
              <w:jc w:val="center"/>
            </w:pPr>
            <w:r/>
            <w:r>
              <w:rPr>
                <w:rFonts w:ascii="仿宋_GB2312" w:hAnsi="仿宋_GB2312" w:eastAsia="仿宋_GB2312"/>
                <w:b w:val="0"/>
                <w:color w:val="000000"/>
                <w:sz w:val="32"/>
              </w:rPr>
              <w:t>优势</w:t>
            </w:r>
          </w:p>
        </w:tc>
      </w:tr>
      <w:tr>
        <w:tc>
          <w:tcPr>
            <w:tcW w:type="dxa" w:w="2835"/>
          </w:tcPr>
          <w:p>
            <w:pPr>
              <w:spacing w:lineRule="exact" w:line="600"/>
              <w:jc w:val="center"/>
            </w:pPr>
            <w:r/>
            <w:r>
              <w:rPr>
                <w:rFonts w:ascii="仿宋_GB2312" w:hAnsi="仿宋_GB2312" w:eastAsia="仿宋_GB2312"/>
                <w:b w:val="0"/>
                <w:color w:val="000000"/>
                <w:sz w:val="32"/>
              </w:rPr>
              <w:t>双通道</w:t>
            </w:r>
          </w:p>
        </w:tc>
        <w:tc>
          <w:tcPr>
            <w:tcW w:type="dxa" w:w="3402"/>
          </w:tcPr>
          <w:p>
            <w:pPr>
              <w:spacing w:lineRule="exact" w:line="600"/>
              <w:jc w:val="center"/>
            </w:pPr>
            <w:r/>
            <w:r>
              <w:rPr>
                <w:rFonts w:ascii="仿宋_GB2312" w:hAnsi="仿宋_GB2312" w:eastAsia="仿宋_GB2312"/>
                <w:b w:val="0"/>
                <w:color w:val="000000"/>
                <w:sz w:val="32"/>
              </w:rPr>
              <w:t>冷链+出口</w:t>
            </w:r>
          </w:p>
        </w:tc>
        <w:tc>
          <w:tcPr>
            <w:tcW w:type="dxa" w:w="2835"/>
          </w:tcPr>
          <w:p>
            <w:pPr>
              <w:spacing w:lineRule="exact" w:line="600"/>
              <w:jc w:val="center"/>
            </w:pPr>
            <w:r/>
            <w:r>
              <w:rPr>
                <w:rFonts w:ascii="仿宋_GB2312" w:hAnsi="仿宋_GB2312" w:eastAsia="仿宋_GB2312"/>
                <w:b w:val="0"/>
                <w:color w:val="000000"/>
                <w:sz w:val="32"/>
              </w:rPr>
              <w:t>开放</w:t>
            </w:r>
          </w:p>
        </w:tc>
      </w:tr>
    </w:tbl>
    <w:p>
      <w:pPr>
        <w:spacing w:lineRule="exact" w:line="600" w:before="120" w:after="120"/>
        <w:ind w:firstLine="420"/>
        <w:jc w:val="left"/>
      </w:pPr>
      <w:r>
        <w:rPr>
          <w:rFonts w:ascii="楷体_GB2312" w:hAnsi="楷体_GB2312" w:eastAsia="楷体_GB2312"/>
          <w:b w:val="0"/>
          <w:color w:val="000000"/>
          <w:sz w:val="32"/>
        </w:rPr>
        <w:t>（三）行业宏观背景</w:t>
      </w:r>
    </w:p>
    <w:p>
      <w:pPr>
        <w:spacing w:lineRule="exact" w:line="600" w:before="0" w:after="0"/>
        <w:ind w:firstLine="420"/>
        <w:jc w:val="both"/>
      </w:pPr>
      <w:r>
        <w:rPr>
          <w:rFonts w:ascii="仿宋_GB2312" w:hAnsi="仿宋_GB2312" w:eastAsia="仿宋_GB2312"/>
          <w:b w:val="0"/>
          <w:color w:val="000000"/>
          <w:sz w:val="32"/>
        </w:rPr>
        <w:t>我国冷链物流市场持续高增长，果蔬、肉类、水产冷链流通率仍有提升空间；农产品与食品冷链需求随预制菜爆发而放量。出口方面，山东农产品出口额连续多年全国第一，禽肉、蔬菜及加工食品为大类，RCEP生效降低区域内关税与清关成本，利好诸城出口。</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宏观指标</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趋势</w:t>
            </w:r>
          </w:p>
        </w:tc>
      </w:tr>
      <w:tr>
        <w:tc>
          <w:tcPr>
            <w:tcW w:type="dxa" w:w="2835"/>
          </w:tcPr>
          <w:p>
            <w:pPr>
              <w:spacing w:lineRule="exact" w:line="600"/>
              <w:jc w:val="center"/>
            </w:pPr>
            <w:r/>
            <w:r>
              <w:rPr>
                <w:rFonts w:ascii="仿宋_GB2312" w:hAnsi="仿宋_GB2312" w:eastAsia="仿宋_GB2312"/>
                <w:b w:val="0"/>
                <w:color w:val="000000"/>
                <w:sz w:val="32"/>
              </w:rPr>
              <w:t>冷链市场</w:t>
            </w:r>
          </w:p>
        </w:tc>
        <w:tc>
          <w:tcPr>
            <w:tcW w:type="dxa" w:w="3402"/>
          </w:tcPr>
          <w:p>
            <w:pPr>
              <w:spacing w:lineRule="exact" w:line="600"/>
              <w:jc w:val="center"/>
            </w:pPr>
            <w:r/>
            <w:r>
              <w:rPr>
                <w:rFonts w:ascii="仿宋_GB2312" w:hAnsi="仿宋_GB2312" w:eastAsia="仿宋_GB2312"/>
                <w:b w:val="0"/>
                <w:color w:val="000000"/>
                <w:sz w:val="32"/>
              </w:rPr>
              <w:t>高增</w:t>
            </w:r>
          </w:p>
        </w:tc>
        <w:tc>
          <w:tcPr>
            <w:tcW w:type="dxa" w:w="2835"/>
          </w:tcPr>
          <w:p>
            <w:pPr>
              <w:spacing w:lineRule="exact" w:line="600"/>
              <w:jc w:val="center"/>
            </w:pPr>
            <w:r/>
            <w:r>
              <w:rPr>
                <w:rFonts w:ascii="仿宋_GB2312" w:hAnsi="仿宋_GB2312" w:eastAsia="仿宋_GB2312"/>
                <w:b w:val="0"/>
                <w:color w:val="000000"/>
                <w:sz w:val="32"/>
              </w:rPr>
              <w:t>放量</w:t>
            </w:r>
          </w:p>
        </w:tc>
      </w:tr>
      <w:tr>
        <w:tc>
          <w:tcPr>
            <w:tcW w:type="dxa" w:w="2835"/>
          </w:tcPr>
          <w:p>
            <w:pPr>
              <w:spacing w:lineRule="exact" w:line="600"/>
              <w:jc w:val="center"/>
            </w:pPr>
            <w:r/>
            <w:r>
              <w:rPr>
                <w:rFonts w:ascii="仿宋_GB2312" w:hAnsi="仿宋_GB2312" w:eastAsia="仿宋_GB2312"/>
                <w:b w:val="0"/>
                <w:color w:val="000000"/>
                <w:sz w:val="32"/>
              </w:rPr>
              <w:t>流通率</w:t>
            </w:r>
          </w:p>
        </w:tc>
        <w:tc>
          <w:tcPr>
            <w:tcW w:type="dxa" w:w="3402"/>
          </w:tcPr>
          <w:p>
            <w:pPr>
              <w:spacing w:lineRule="exact" w:line="600"/>
              <w:jc w:val="center"/>
            </w:pPr>
            <w:r/>
            <w:r>
              <w:rPr>
                <w:rFonts w:ascii="仿宋_GB2312" w:hAnsi="仿宋_GB2312" w:eastAsia="仿宋_GB2312"/>
                <w:b w:val="0"/>
                <w:color w:val="000000"/>
                <w:sz w:val="32"/>
              </w:rPr>
              <w:t>提升中</w:t>
            </w:r>
          </w:p>
        </w:tc>
        <w:tc>
          <w:tcPr>
            <w:tcW w:type="dxa" w:w="2835"/>
          </w:tcPr>
          <w:p>
            <w:pPr>
              <w:spacing w:lineRule="exact" w:line="600"/>
              <w:jc w:val="center"/>
            </w:pPr>
            <w:r/>
            <w:r>
              <w:rPr>
                <w:rFonts w:ascii="仿宋_GB2312" w:hAnsi="仿宋_GB2312" w:eastAsia="仿宋_GB2312"/>
                <w:b w:val="0"/>
                <w:color w:val="000000"/>
                <w:sz w:val="32"/>
              </w:rPr>
              <w:t>空间</w:t>
            </w:r>
          </w:p>
        </w:tc>
      </w:tr>
      <w:tr>
        <w:tc>
          <w:tcPr>
            <w:tcW w:type="dxa" w:w="2835"/>
          </w:tcPr>
          <w:p>
            <w:pPr>
              <w:spacing w:lineRule="exact" w:line="600"/>
              <w:jc w:val="center"/>
            </w:pPr>
            <w:r/>
            <w:r>
              <w:rPr>
                <w:rFonts w:ascii="仿宋_GB2312" w:hAnsi="仿宋_GB2312" w:eastAsia="仿宋_GB2312"/>
                <w:b w:val="0"/>
                <w:color w:val="000000"/>
                <w:sz w:val="32"/>
              </w:rPr>
              <w:t>山东出口</w:t>
            </w:r>
          </w:p>
        </w:tc>
        <w:tc>
          <w:tcPr>
            <w:tcW w:type="dxa" w:w="3402"/>
          </w:tcPr>
          <w:p>
            <w:pPr>
              <w:spacing w:lineRule="exact" w:line="600"/>
              <w:jc w:val="center"/>
            </w:pPr>
            <w:r/>
            <w:r>
              <w:rPr>
                <w:rFonts w:ascii="仿宋_GB2312" w:hAnsi="仿宋_GB2312" w:eastAsia="仿宋_GB2312"/>
                <w:b w:val="0"/>
                <w:color w:val="000000"/>
                <w:sz w:val="32"/>
              </w:rPr>
              <w:t>全国第一</w:t>
            </w:r>
          </w:p>
        </w:tc>
        <w:tc>
          <w:tcPr>
            <w:tcW w:type="dxa" w:w="2835"/>
          </w:tcPr>
          <w:p>
            <w:pPr>
              <w:spacing w:lineRule="exact" w:line="600"/>
              <w:jc w:val="center"/>
            </w:pPr>
            <w:r/>
            <w:r>
              <w:rPr>
                <w:rFonts w:ascii="仿宋_GB2312" w:hAnsi="仿宋_GB2312" w:eastAsia="仿宋_GB2312"/>
                <w:b w:val="0"/>
                <w:color w:val="000000"/>
                <w:sz w:val="32"/>
              </w:rPr>
              <w:t>连续</w:t>
            </w:r>
          </w:p>
        </w:tc>
      </w:tr>
      <w:tr>
        <w:tc>
          <w:tcPr>
            <w:tcW w:type="dxa" w:w="2835"/>
          </w:tcPr>
          <w:p>
            <w:pPr>
              <w:spacing w:lineRule="exact" w:line="600"/>
              <w:jc w:val="center"/>
            </w:pPr>
            <w:r/>
            <w:r>
              <w:rPr>
                <w:rFonts w:ascii="仿宋_GB2312" w:hAnsi="仿宋_GB2312" w:eastAsia="仿宋_GB2312"/>
                <w:b w:val="0"/>
                <w:color w:val="000000"/>
                <w:sz w:val="32"/>
              </w:rPr>
              <w:t>RCEP</w:t>
            </w:r>
          </w:p>
        </w:tc>
        <w:tc>
          <w:tcPr>
            <w:tcW w:type="dxa" w:w="3402"/>
          </w:tcPr>
          <w:p>
            <w:pPr>
              <w:spacing w:lineRule="exact" w:line="600"/>
              <w:jc w:val="center"/>
            </w:pPr>
            <w:r/>
            <w:r>
              <w:rPr>
                <w:rFonts w:ascii="仿宋_GB2312" w:hAnsi="仿宋_GB2312" w:eastAsia="仿宋_GB2312"/>
                <w:b w:val="0"/>
                <w:color w:val="000000"/>
                <w:sz w:val="32"/>
              </w:rPr>
              <w:t>降关税</w:t>
            </w:r>
          </w:p>
        </w:tc>
        <w:tc>
          <w:tcPr>
            <w:tcW w:type="dxa" w:w="2835"/>
          </w:tcPr>
          <w:p>
            <w:pPr>
              <w:spacing w:lineRule="exact" w:line="600"/>
              <w:jc w:val="center"/>
            </w:pPr>
            <w:r/>
            <w:r>
              <w:rPr>
                <w:rFonts w:ascii="仿宋_GB2312" w:hAnsi="仿宋_GB2312" w:eastAsia="仿宋_GB2312"/>
                <w:b w:val="0"/>
                <w:color w:val="000000"/>
                <w:sz w:val="32"/>
              </w:rPr>
              <w:t>利好</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（一）上游：冷库与速冻</w:t>
      </w:r>
    </w:p>
    <w:p>
      <w:pPr>
        <w:spacing w:lineRule="exact" w:line="600" w:before="0" w:after="0"/>
        <w:ind w:firstLine="420"/>
        <w:jc w:val="both"/>
      </w:pPr>
      <w:r>
        <w:rPr>
          <w:rFonts w:ascii="仿宋_GB2312" w:hAnsi="仿宋_GB2312" w:eastAsia="仿宋_GB2312"/>
          <w:b w:val="0"/>
          <w:color w:val="000000"/>
          <w:sz w:val="32"/>
        </w:rPr>
        <w:t>冷链上游为冷库仓储、速冻设备与制冷系统。诸城屠宰与预制菜企业自建速冻与冷库（如惠发、得利斯产线配套），区域也集聚第三方冷库与制冷设备配套。上游基础设施决定了集群冷链吞吐能力与鲜度保障，是流通环节的起点。</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上游环节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现状</w:t>
            </w:r>
          </w:p>
        </w:tc>
      </w:tr>
      <w:tr>
        <w:tc>
          <w:tcPr>
            <w:tcW w:type="dxa" w:w="2835"/>
          </w:tcPr>
          <w:p>
            <w:pPr>
              <w:spacing w:lineRule="exact" w:line="600"/>
              <w:jc w:val="center"/>
            </w:pPr>
            <w:r/>
            <w:r>
              <w:rPr>
                <w:rFonts w:ascii="仿宋_GB2312" w:hAnsi="仿宋_GB2312" w:eastAsia="仿宋_GB2312"/>
                <w:b w:val="0"/>
                <w:color w:val="000000"/>
                <w:sz w:val="32"/>
              </w:rPr>
              <w:t>冷库</w:t>
            </w:r>
          </w:p>
        </w:tc>
        <w:tc>
          <w:tcPr>
            <w:tcW w:type="dxa" w:w="3402"/>
          </w:tcPr>
          <w:p>
            <w:pPr>
              <w:spacing w:lineRule="exact" w:line="600"/>
              <w:jc w:val="center"/>
            </w:pPr>
            <w:r/>
            <w:r>
              <w:rPr>
                <w:rFonts w:ascii="仿宋_GB2312" w:hAnsi="仿宋_GB2312" w:eastAsia="仿宋_GB2312"/>
                <w:b w:val="0"/>
                <w:color w:val="000000"/>
                <w:sz w:val="32"/>
              </w:rPr>
              <w:t>自建/第三方</w:t>
            </w:r>
          </w:p>
        </w:tc>
        <w:tc>
          <w:tcPr>
            <w:tcW w:type="dxa" w:w="2835"/>
          </w:tcPr>
          <w:p>
            <w:pPr>
              <w:spacing w:lineRule="exact" w:line="600"/>
              <w:jc w:val="center"/>
            </w:pPr>
            <w:r/>
            <w:r>
              <w:rPr>
                <w:rFonts w:ascii="仿宋_GB2312" w:hAnsi="仿宋_GB2312" w:eastAsia="仿宋_GB2312"/>
                <w:b w:val="0"/>
                <w:color w:val="000000"/>
                <w:sz w:val="32"/>
              </w:rPr>
              <w:t>配套</w:t>
            </w:r>
          </w:p>
        </w:tc>
      </w:tr>
      <w:tr>
        <w:tc>
          <w:tcPr>
            <w:tcW w:type="dxa" w:w="2835"/>
          </w:tcPr>
          <w:p>
            <w:pPr>
              <w:spacing w:lineRule="exact" w:line="600"/>
              <w:jc w:val="center"/>
            </w:pPr>
            <w:r/>
            <w:r>
              <w:rPr>
                <w:rFonts w:ascii="仿宋_GB2312" w:hAnsi="仿宋_GB2312" w:eastAsia="仿宋_GB2312"/>
                <w:b w:val="0"/>
                <w:color w:val="000000"/>
                <w:sz w:val="32"/>
              </w:rPr>
              <w:t>速冻</w:t>
            </w:r>
          </w:p>
        </w:tc>
        <w:tc>
          <w:tcPr>
            <w:tcW w:type="dxa" w:w="3402"/>
          </w:tcPr>
          <w:p>
            <w:pPr>
              <w:spacing w:lineRule="exact" w:line="600"/>
              <w:jc w:val="center"/>
            </w:pPr>
            <w:r/>
            <w:r>
              <w:rPr>
                <w:rFonts w:ascii="仿宋_GB2312" w:hAnsi="仿宋_GB2312" w:eastAsia="仿宋_GB2312"/>
                <w:b w:val="0"/>
                <w:color w:val="000000"/>
                <w:sz w:val="32"/>
              </w:rPr>
              <w:t>产线</w:t>
            </w:r>
          </w:p>
        </w:tc>
        <w:tc>
          <w:tcPr>
            <w:tcW w:type="dxa" w:w="2835"/>
          </w:tcPr>
          <w:p>
            <w:pPr>
              <w:spacing w:lineRule="exact" w:line="600"/>
              <w:jc w:val="center"/>
            </w:pPr>
            <w:r/>
            <w:r>
              <w:rPr>
                <w:rFonts w:ascii="仿宋_GB2312" w:hAnsi="仿宋_GB2312" w:eastAsia="仿宋_GB2312"/>
                <w:b w:val="0"/>
                <w:color w:val="000000"/>
                <w:sz w:val="32"/>
              </w:rPr>
              <w:t>IQF</w:t>
            </w:r>
          </w:p>
        </w:tc>
      </w:tr>
      <w:tr>
        <w:tc>
          <w:tcPr>
            <w:tcW w:type="dxa" w:w="2835"/>
          </w:tcPr>
          <w:p>
            <w:pPr>
              <w:spacing w:lineRule="exact" w:line="600"/>
              <w:jc w:val="center"/>
            </w:pPr>
            <w:r/>
            <w:r>
              <w:rPr>
                <w:rFonts w:ascii="仿宋_GB2312" w:hAnsi="仿宋_GB2312" w:eastAsia="仿宋_GB2312"/>
                <w:b w:val="0"/>
                <w:color w:val="000000"/>
                <w:sz w:val="32"/>
              </w:rPr>
              <w:t>制冷</w:t>
            </w:r>
          </w:p>
        </w:tc>
        <w:tc>
          <w:tcPr>
            <w:tcW w:type="dxa" w:w="3402"/>
          </w:tcPr>
          <w:p>
            <w:pPr>
              <w:spacing w:lineRule="exact" w:line="600"/>
              <w:jc w:val="center"/>
            </w:pPr>
            <w:r/>
            <w:r>
              <w:rPr>
                <w:rFonts w:ascii="仿宋_GB2312" w:hAnsi="仿宋_GB2312" w:eastAsia="仿宋_GB2312"/>
                <w:b w:val="0"/>
                <w:color w:val="000000"/>
                <w:sz w:val="32"/>
              </w:rPr>
              <w:t>设备</w:t>
            </w:r>
          </w:p>
        </w:tc>
        <w:tc>
          <w:tcPr>
            <w:tcW w:type="dxa" w:w="2835"/>
          </w:tcPr>
          <w:p>
            <w:pPr>
              <w:spacing w:lineRule="exact" w:line="600"/>
              <w:jc w:val="center"/>
            </w:pPr>
            <w:r/>
            <w:r>
              <w:rPr>
                <w:rFonts w:ascii="仿宋_GB2312" w:hAnsi="仿宋_GB2312" w:eastAsia="仿宋_GB2312"/>
                <w:b w:val="0"/>
                <w:color w:val="000000"/>
                <w:sz w:val="32"/>
              </w:rPr>
              <w:t>本地</w:t>
            </w:r>
          </w:p>
        </w:tc>
      </w:tr>
      <w:tr>
        <w:tc>
          <w:tcPr>
            <w:tcW w:type="dxa" w:w="2835"/>
          </w:tcPr>
          <w:p>
            <w:pPr>
              <w:spacing w:lineRule="exact" w:line="600"/>
              <w:jc w:val="center"/>
            </w:pPr>
            <w:r/>
            <w:r>
              <w:rPr>
                <w:rFonts w:ascii="仿宋_GB2312" w:hAnsi="仿宋_GB2312" w:eastAsia="仿宋_GB2312"/>
                <w:b w:val="0"/>
                <w:color w:val="000000"/>
                <w:sz w:val="32"/>
              </w:rPr>
              <w:t>吞吐</w:t>
            </w:r>
          </w:p>
        </w:tc>
        <w:tc>
          <w:tcPr>
            <w:tcW w:type="dxa" w:w="3402"/>
          </w:tcPr>
          <w:p>
            <w:pPr>
              <w:spacing w:lineRule="exact" w:line="600"/>
              <w:jc w:val="center"/>
            </w:pPr>
            <w:r/>
            <w:r>
              <w:rPr>
                <w:rFonts w:ascii="仿宋_GB2312" w:hAnsi="仿宋_GB2312" w:eastAsia="仿宋_GB2312"/>
                <w:b w:val="0"/>
                <w:color w:val="000000"/>
                <w:sz w:val="32"/>
              </w:rPr>
              <w:t>决定</w:t>
            </w:r>
          </w:p>
        </w:tc>
        <w:tc>
          <w:tcPr>
            <w:tcW w:type="dxa" w:w="2835"/>
          </w:tcPr>
          <w:p>
            <w:pPr>
              <w:spacing w:lineRule="exact" w:line="600"/>
              <w:jc w:val="center"/>
            </w:pPr>
            <w:r/>
            <w:r>
              <w:rPr>
                <w:rFonts w:ascii="仿宋_GB2312" w:hAnsi="仿宋_GB2312" w:eastAsia="仿宋_GB2312"/>
                <w:b w:val="0"/>
                <w:color w:val="000000"/>
                <w:sz w:val="32"/>
              </w:rPr>
              <w:t>能力</w:t>
            </w:r>
          </w:p>
        </w:tc>
      </w:tr>
    </w:tbl>
    <w:p>
      <w:pPr>
        <w:spacing w:lineRule="exact" w:line="600" w:before="120" w:after="120"/>
        <w:ind w:firstLine="420"/>
        <w:jc w:val="left"/>
      </w:pPr>
      <w:r>
        <w:rPr>
          <w:rFonts w:ascii="楷体_GB2312" w:hAnsi="楷体_GB2312" w:eastAsia="楷体_GB2312"/>
          <w:b w:val="0"/>
          <w:color w:val="000000"/>
          <w:sz w:val="32"/>
        </w:rPr>
        <w:t>（二）中游：冷链配送</w:t>
      </w:r>
    </w:p>
    <w:p>
      <w:pPr>
        <w:spacing w:lineRule="exact" w:line="600" w:before="0" w:after="0"/>
        <w:ind w:firstLine="420"/>
        <w:jc w:val="both"/>
      </w:pPr>
      <w:r>
        <w:rPr>
          <w:rFonts w:ascii="仿宋_GB2312" w:hAnsi="仿宋_GB2312" w:eastAsia="仿宋_GB2312"/>
          <w:b w:val="0"/>
          <w:color w:val="000000"/>
          <w:sz w:val="32"/>
        </w:rPr>
        <w:t>中游为干线冷链运输、城配与最后一公里，涵盖冷藏车、温控平台与冷链零担。诸城企业借助自营+三方运力服务B端餐饮供应链与C端电商；冷链不断链与时效是竞争核心，数字化温控平台降低断链风险。</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中游环节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特征</w:t>
            </w:r>
          </w:p>
        </w:tc>
      </w:tr>
      <w:tr>
        <w:tc>
          <w:tcPr>
            <w:tcW w:type="dxa" w:w="2835"/>
          </w:tcPr>
          <w:p>
            <w:pPr>
              <w:spacing w:lineRule="exact" w:line="600"/>
              <w:jc w:val="center"/>
            </w:pPr>
            <w:r/>
            <w:r>
              <w:rPr>
                <w:rFonts w:ascii="仿宋_GB2312" w:hAnsi="仿宋_GB2312" w:eastAsia="仿宋_GB2312"/>
                <w:b w:val="0"/>
                <w:color w:val="000000"/>
                <w:sz w:val="32"/>
              </w:rPr>
              <w:t>干线</w:t>
            </w:r>
          </w:p>
        </w:tc>
        <w:tc>
          <w:tcPr>
            <w:tcW w:type="dxa" w:w="3402"/>
          </w:tcPr>
          <w:p>
            <w:pPr>
              <w:spacing w:lineRule="exact" w:line="600"/>
              <w:jc w:val="center"/>
            </w:pPr>
            <w:r/>
            <w:r>
              <w:rPr>
                <w:rFonts w:ascii="仿宋_GB2312" w:hAnsi="仿宋_GB2312" w:eastAsia="仿宋_GB2312"/>
                <w:b w:val="0"/>
                <w:color w:val="000000"/>
                <w:sz w:val="32"/>
              </w:rPr>
              <w:t>冷藏车</w:t>
            </w:r>
          </w:p>
        </w:tc>
        <w:tc>
          <w:tcPr>
            <w:tcW w:type="dxa" w:w="2835"/>
          </w:tcPr>
          <w:p>
            <w:pPr>
              <w:spacing w:lineRule="exact" w:line="600"/>
              <w:jc w:val="center"/>
            </w:pPr>
            <w:r/>
            <w:r>
              <w:rPr>
                <w:rFonts w:ascii="仿宋_GB2312" w:hAnsi="仿宋_GB2312" w:eastAsia="仿宋_GB2312"/>
                <w:b w:val="0"/>
                <w:color w:val="000000"/>
                <w:sz w:val="32"/>
              </w:rPr>
              <w:t>温控</w:t>
            </w:r>
          </w:p>
        </w:tc>
      </w:tr>
      <w:tr>
        <w:tc>
          <w:tcPr>
            <w:tcW w:type="dxa" w:w="2835"/>
          </w:tcPr>
          <w:p>
            <w:pPr>
              <w:spacing w:lineRule="exact" w:line="600"/>
              <w:jc w:val="center"/>
            </w:pPr>
            <w:r/>
            <w:r>
              <w:rPr>
                <w:rFonts w:ascii="仿宋_GB2312" w:hAnsi="仿宋_GB2312" w:eastAsia="仿宋_GB2312"/>
                <w:b w:val="0"/>
                <w:color w:val="000000"/>
                <w:sz w:val="32"/>
              </w:rPr>
              <w:t>城配</w:t>
            </w:r>
          </w:p>
        </w:tc>
        <w:tc>
          <w:tcPr>
            <w:tcW w:type="dxa" w:w="3402"/>
          </w:tcPr>
          <w:p>
            <w:pPr>
              <w:spacing w:lineRule="exact" w:line="600"/>
              <w:jc w:val="center"/>
            </w:pPr>
            <w:r/>
            <w:r>
              <w:rPr>
                <w:rFonts w:ascii="仿宋_GB2312" w:hAnsi="仿宋_GB2312" w:eastAsia="仿宋_GB2312"/>
                <w:b w:val="0"/>
                <w:color w:val="000000"/>
                <w:sz w:val="32"/>
              </w:rPr>
              <w:t>零担</w:t>
            </w:r>
          </w:p>
        </w:tc>
        <w:tc>
          <w:tcPr>
            <w:tcW w:type="dxa" w:w="2835"/>
          </w:tcPr>
          <w:p>
            <w:pPr>
              <w:spacing w:lineRule="exact" w:line="600"/>
              <w:jc w:val="center"/>
            </w:pPr>
            <w:r/>
            <w:r>
              <w:rPr>
                <w:rFonts w:ascii="仿宋_GB2312" w:hAnsi="仿宋_GB2312" w:eastAsia="仿宋_GB2312"/>
                <w:b w:val="0"/>
                <w:color w:val="000000"/>
                <w:sz w:val="32"/>
              </w:rPr>
              <w:t>时效</w:t>
            </w:r>
          </w:p>
        </w:tc>
      </w:tr>
      <w:tr>
        <w:tc>
          <w:tcPr>
            <w:tcW w:type="dxa" w:w="2835"/>
          </w:tcPr>
          <w:p>
            <w:pPr>
              <w:spacing w:lineRule="exact" w:line="600"/>
              <w:jc w:val="center"/>
            </w:pPr>
            <w:r/>
            <w:r>
              <w:rPr>
                <w:rFonts w:ascii="仿宋_GB2312" w:hAnsi="仿宋_GB2312" w:eastAsia="仿宋_GB2312"/>
                <w:b w:val="0"/>
                <w:color w:val="000000"/>
                <w:sz w:val="32"/>
              </w:rPr>
              <w:t>末端</w:t>
            </w:r>
          </w:p>
        </w:tc>
        <w:tc>
          <w:tcPr>
            <w:tcW w:type="dxa" w:w="3402"/>
          </w:tcPr>
          <w:p>
            <w:pPr>
              <w:spacing w:lineRule="exact" w:line="600"/>
              <w:jc w:val="center"/>
            </w:pPr>
            <w:r/>
            <w:r>
              <w:rPr>
                <w:rFonts w:ascii="仿宋_GB2312" w:hAnsi="仿宋_GB2312" w:eastAsia="仿宋_GB2312"/>
                <w:b w:val="0"/>
                <w:color w:val="000000"/>
                <w:sz w:val="32"/>
              </w:rPr>
              <w:t>电商</w:t>
            </w:r>
          </w:p>
        </w:tc>
        <w:tc>
          <w:tcPr>
            <w:tcW w:type="dxa" w:w="2835"/>
          </w:tcPr>
          <w:p>
            <w:pPr>
              <w:spacing w:lineRule="exact" w:line="600"/>
              <w:jc w:val="center"/>
            </w:pPr>
            <w:r/>
            <w:r>
              <w:rPr>
                <w:rFonts w:ascii="仿宋_GB2312" w:hAnsi="仿宋_GB2312" w:eastAsia="仿宋_GB2312"/>
                <w:b w:val="0"/>
                <w:color w:val="000000"/>
                <w:sz w:val="32"/>
              </w:rPr>
              <w:t>冷链</w:t>
            </w:r>
          </w:p>
        </w:tc>
      </w:tr>
      <w:tr>
        <w:tc>
          <w:tcPr>
            <w:tcW w:type="dxa" w:w="2835"/>
          </w:tcPr>
          <w:p>
            <w:pPr>
              <w:spacing w:lineRule="exact" w:line="600"/>
              <w:jc w:val="center"/>
            </w:pPr>
            <w:r/>
            <w:r>
              <w:rPr>
                <w:rFonts w:ascii="仿宋_GB2312" w:hAnsi="仿宋_GB2312" w:eastAsia="仿宋_GB2312"/>
                <w:b w:val="0"/>
                <w:color w:val="000000"/>
                <w:sz w:val="32"/>
              </w:rPr>
              <w:t>平台</w:t>
            </w:r>
          </w:p>
        </w:tc>
        <w:tc>
          <w:tcPr>
            <w:tcW w:type="dxa" w:w="3402"/>
          </w:tcPr>
          <w:p>
            <w:pPr>
              <w:spacing w:lineRule="exact" w:line="600"/>
              <w:jc w:val="center"/>
            </w:pPr>
            <w:r/>
            <w:r>
              <w:rPr>
                <w:rFonts w:ascii="仿宋_GB2312" w:hAnsi="仿宋_GB2312" w:eastAsia="仿宋_GB2312"/>
                <w:b w:val="0"/>
                <w:color w:val="000000"/>
                <w:sz w:val="32"/>
              </w:rPr>
              <w:t>数字化</w:t>
            </w:r>
          </w:p>
        </w:tc>
        <w:tc>
          <w:tcPr>
            <w:tcW w:type="dxa" w:w="2835"/>
          </w:tcPr>
          <w:p>
            <w:pPr>
              <w:spacing w:lineRule="exact" w:line="600"/>
              <w:jc w:val="center"/>
            </w:pPr>
            <w:r/>
            <w:r>
              <w:rPr>
                <w:rFonts w:ascii="仿宋_GB2312" w:hAnsi="仿宋_GB2312" w:eastAsia="仿宋_GB2312"/>
                <w:b w:val="0"/>
                <w:color w:val="000000"/>
                <w:sz w:val="32"/>
              </w:rPr>
              <w:t>防断链</w:t>
            </w:r>
          </w:p>
        </w:tc>
      </w:tr>
    </w:tbl>
    <w:p>
      <w:pPr>
        <w:spacing w:lineRule="exact" w:line="600" w:before="120" w:after="120"/>
        <w:ind w:firstLine="420"/>
        <w:jc w:val="left"/>
      </w:pPr>
      <w:r>
        <w:rPr>
          <w:rFonts w:ascii="楷体_GB2312" w:hAnsi="楷体_GB2312" w:eastAsia="楷体_GB2312"/>
          <w:b w:val="0"/>
          <w:color w:val="000000"/>
          <w:sz w:val="32"/>
        </w:rPr>
        <w:t>（三）下游：出口与通关</w:t>
      </w:r>
    </w:p>
    <w:p>
      <w:pPr>
        <w:spacing w:lineRule="exact" w:line="600" w:before="0" w:after="0"/>
        <w:ind w:firstLine="420"/>
        <w:jc w:val="both"/>
      </w:pPr>
      <w:r>
        <w:rPr>
          <w:rFonts w:ascii="仿宋_GB2312" w:hAnsi="仿宋_GB2312" w:eastAsia="仿宋_GB2312"/>
          <w:b w:val="0"/>
          <w:color w:val="000000"/>
          <w:sz w:val="32"/>
        </w:rPr>
        <w:t>下游为出口报关、海外仓与跨境配送。诸城外贸等承接鸡肉及加工食品出口，依托山东港口与日韩近岸优势；RCEP与跨境电商完善出口通道。下游合规（检疫、标签、冷链跨境）是出口成败关键。海关与检验检疫的「绿色通道」与AEO认证企业便利，显著缩短鲜活与冷冻食品通关时间；海外仓前置则平滑跨境冷链波动、提升履约时效，是诸城出口由「接单生产」迈向「属地前置」的关键基础设施。</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（一）冷链供需</w:t>
      </w:r>
    </w:p>
    <w:p>
      <w:pPr>
        <w:spacing w:lineRule="exact" w:line="600" w:before="0" w:after="0"/>
        <w:ind w:firstLine="420"/>
        <w:jc w:val="both"/>
      </w:pPr>
      <w:r>
        <w:rPr>
          <w:rFonts w:ascii="仿宋_GB2312" w:hAnsi="仿宋_GB2312" w:eastAsia="仿宋_GB2312"/>
          <w:b w:val="0"/>
          <w:color w:val="000000"/>
          <w:sz w:val="32"/>
        </w:rPr>
        <w:t>诸城2023年规上预制菜产值165亿元、企业556家，庞大产能对冷链仓储与配送需求旺盛；B端餐饮供应链外包与C端生鲜电商进一步拉动。供给端区域冷库与运力持续增长但高峰期仍紧，专业第三方冷链渗透率有待提升，结构性供需缺口明显。</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供需指标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状态</w:t>
            </w:r>
          </w:p>
        </w:tc>
      </w:tr>
      <w:tr>
        <w:tc>
          <w:tcPr>
            <w:tcW w:type="dxa" w:w="2835"/>
          </w:tcPr>
          <w:p>
            <w:pPr>
              <w:spacing w:lineRule="exact" w:line="600"/>
              <w:jc w:val="center"/>
            </w:pPr>
            <w:r/>
            <w:r>
              <w:rPr>
                <w:rFonts w:ascii="仿宋_GB2312" w:hAnsi="仿宋_GB2312" w:eastAsia="仿宋_GB2312"/>
                <w:b w:val="0"/>
                <w:color w:val="000000"/>
                <w:sz w:val="32"/>
              </w:rPr>
              <w:t>规上预制菜</w:t>
            </w:r>
          </w:p>
        </w:tc>
        <w:tc>
          <w:tcPr>
            <w:tcW w:type="dxa" w:w="3118"/>
          </w:tcPr>
          <w:p>
            <w:pPr>
              <w:spacing w:lineRule="exact" w:line="600"/>
              <w:jc w:val="center"/>
            </w:pPr>
            <w:r/>
            <w:r>
              <w:rPr>
                <w:rFonts w:ascii="仿宋_GB2312" w:hAnsi="仿宋_GB2312" w:eastAsia="仿宋_GB2312"/>
                <w:b w:val="0"/>
                <w:color w:val="000000"/>
                <w:sz w:val="32"/>
              </w:rPr>
              <w:t>165亿元</w:t>
            </w:r>
          </w:p>
        </w:tc>
        <w:tc>
          <w:tcPr>
            <w:tcW w:type="dxa" w:w="3118"/>
          </w:tcPr>
          <w:p>
            <w:pPr>
              <w:spacing w:lineRule="exact" w:line="600"/>
              <w:jc w:val="center"/>
            </w:pPr>
            <w:r/>
            <w:r>
              <w:rPr>
                <w:rFonts w:ascii="仿宋_GB2312" w:hAnsi="仿宋_GB2312" w:eastAsia="仿宋_GB2312"/>
                <w:b w:val="0"/>
                <w:color w:val="000000"/>
                <w:sz w:val="32"/>
              </w:rPr>
              <w:t>需求旺</w:t>
            </w:r>
          </w:p>
        </w:tc>
      </w:tr>
      <w:tr>
        <w:tc>
          <w:tcPr>
            <w:tcW w:type="dxa" w:w="2835"/>
          </w:tcPr>
          <w:p>
            <w:pPr>
              <w:spacing w:lineRule="exact" w:line="600"/>
              <w:jc w:val="center"/>
            </w:pPr>
            <w:r/>
            <w:r>
              <w:rPr>
                <w:rFonts w:ascii="仿宋_GB2312" w:hAnsi="仿宋_GB2312" w:eastAsia="仿宋_GB2312"/>
                <w:b w:val="0"/>
                <w:color w:val="000000"/>
                <w:sz w:val="32"/>
              </w:rPr>
              <w:t>企业</w:t>
            </w:r>
          </w:p>
        </w:tc>
        <w:tc>
          <w:tcPr>
            <w:tcW w:type="dxa" w:w="3118"/>
          </w:tcPr>
          <w:p>
            <w:pPr>
              <w:spacing w:lineRule="exact" w:line="600"/>
              <w:jc w:val="center"/>
            </w:pPr>
            <w:r/>
            <w:r>
              <w:rPr>
                <w:rFonts w:ascii="仿宋_GB2312" w:hAnsi="仿宋_GB2312" w:eastAsia="仿宋_GB2312"/>
                <w:b w:val="0"/>
                <w:color w:val="000000"/>
                <w:sz w:val="32"/>
              </w:rPr>
              <w:t>556家</w:t>
            </w:r>
          </w:p>
        </w:tc>
        <w:tc>
          <w:tcPr>
            <w:tcW w:type="dxa" w:w="3118"/>
          </w:tcPr>
          <w:p>
            <w:pPr>
              <w:spacing w:lineRule="exact" w:line="600"/>
              <w:jc w:val="center"/>
            </w:pPr>
            <w:r/>
            <w:r>
              <w:rPr>
                <w:rFonts w:ascii="仿宋_GB2312" w:hAnsi="仿宋_GB2312" w:eastAsia="仿宋_GB2312"/>
                <w:b w:val="0"/>
                <w:color w:val="000000"/>
                <w:sz w:val="32"/>
              </w:rPr>
              <w:t>基数大</w:t>
            </w:r>
          </w:p>
        </w:tc>
      </w:tr>
      <w:tr>
        <w:tc>
          <w:tcPr>
            <w:tcW w:type="dxa" w:w="2835"/>
          </w:tcPr>
          <w:p>
            <w:pPr>
              <w:spacing w:lineRule="exact" w:line="600"/>
              <w:jc w:val="center"/>
            </w:pPr>
            <w:r/>
            <w:r>
              <w:rPr>
                <w:rFonts w:ascii="仿宋_GB2312" w:hAnsi="仿宋_GB2312" w:eastAsia="仿宋_GB2312"/>
                <w:b w:val="0"/>
                <w:color w:val="000000"/>
                <w:sz w:val="32"/>
              </w:rPr>
              <w:t>冷库</w:t>
            </w:r>
          </w:p>
        </w:tc>
        <w:tc>
          <w:tcPr>
            <w:tcW w:type="dxa" w:w="3118"/>
          </w:tcPr>
          <w:p>
            <w:pPr>
              <w:spacing w:lineRule="exact" w:line="600"/>
              <w:jc w:val="center"/>
            </w:pPr>
            <w:r/>
            <w:r>
              <w:rPr>
                <w:rFonts w:ascii="仿宋_GB2312" w:hAnsi="仿宋_GB2312" w:eastAsia="仿宋_GB2312"/>
                <w:b w:val="0"/>
                <w:color w:val="000000"/>
                <w:sz w:val="32"/>
              </w:rPr>
              <w:t>增长</w:t>
            </w:r>
          </w:p>
        </w:tc>
        <w:tc>
          <w:tcPr>
            <w:tcW w:type="dxa" w:w="3118"/>
          </w:tcPr>
          <w:p>
            <w:pPr>
              <w:spacing w:lineRule="exact" w:line="600"/>
              <w:jc w:val="center"/>
            </w:pPr>
            <w:r/>
            <w:r>
              <w:rPr>
                <w:rFonts w:ascii="仿宋_GB2312" w:hAnsi="仿宋_GB2312" w:eastAsia="仿宋_GB2312"/>
                <w:b w:val="0"/>
                <w:color w:val="000000"/>
                <w:sz w:val="32"/>
              </w:rPr>
              <w:t>高峰紧</w:t>
            </w:r>
          </w:p>
        </w:tc>
      </w:tr>
      <w:tr>
        <w:tc>
          <w:tcPr>
            <w:tcW w:type="dxa" w:w="2835"/>
          </w:tcPr>
          <w:p>
            <w:pPr>
              <w:spacing w:lineRule="exact" w:line="600"/>
              <w:jc w:val="center"/>
            </w:pPr>
            <w:r/>
            <w:r>
              <w:rPr>
                <w:rFonts w:ascii="仿宋_GB2312" w:hAnsi="仿宋_GB2312" w:eastAsia="仿宋_GB2312"/>
                <w:b w:val="0"/>
                <w:color w:val="000000"/>
                <w:sz w:val="32"/>
              </w:rPr>
              <w:t>三方</w:t>
            </w:r>
          </w:p>
        </w:tc>
        <w:tc>
          <w:tcPr>
            <w:tcW w:type="dxa" w:w="3118"/>
          </w:tcPr>
          <w:p>
            <w:pPr>
              <w:spacing w:lineRule="exact" w:line="600"/>
              <w:jc w:val="center"/>
            </w:pPr>
            <w:r/>
            <w:r>
              <w:rPr>
                <w:rFonts w:ascii="仿宋_GB2312" w:hAnsi="仿宋_GB2312" w:eastAsia="仿宋_GB2312"/>
                <w:b w:val="0"/>
                <w:color w:val="000000"/>
                <w:sz w:val="32"/>
              </w:rPr>
              <w:t>渗透低</w:t>
            </w:r>
          </w:p>
        </w:tc>
        <w:tc>
          <w:tcPr>
            <w:tcW w:type="dxa" w:w="3118"/>
          </w:tcPr>
          <w:p>
            <w:pPr>
              <w:spacing w:lineRule="exact" w:line="600"/>
              <w:jc w:val="center"/>
            </w:pPr>
            <w:r/>
            <w:r>
              <w:rPr>
                <w:rFonts w:ascii="仿宋_GB2312" w:hAnsi="仿宋_GB2312" w:eastAsia="仿宋_GB2312"/>
                <w:b w:val="0"/>
                <w:color w:val="000000"/>
                <w:sz w:val="32"/>
              </w:rPr>
              <w:t>缺口</w:t>
            </w:r>
          </w:p>
        </w:tc>
      </w:tr>
    </w:tbl>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冷链物流竞争分层：全国性冷链巨头（顺丰冷运、京东冷链等）与区域三方及企业自营并存。诸城以企业自营冷链为主、三方补充，龙头（得利斯、惠发）自建配送网络服务大客户。竞争壁垒在冷链网络密度、温控可靠性与成本，而非单纯运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竞争维度</w:t>
            </w:r>
          </w:p>
        </w:tc>
        <w:tc>
          <w:tcPr>
            <w:tcW w:type="dxa" w:w="3402"/>
          </w:tcPr>
          <w:p>
            <w:pPr>
              <w:spacing w:lineRule="exact" w:line="600"/>
              <w:jc w:val="center"/>
            </w:pPr>
            <w:r/>
            <w:r>
              <w:rPr>
                <w:rFonts w:ascii="黑体" w:hAnsi="黑体" w:eastAsia="黑体"/>
                <w:b/>
                <w:color w:val="000000"/>
                <w:sz w:val="32"/>
              </w:rPr>
              <w:t>现状</w:t>
            </w:r>
          </w:p>
        </w:tc>
        <w:tc>
          <w:tcPr>
            <w:tcW w:type="dxa" w:w="2835"/>
          </w:tcPr>
          <w:p>
            <w:pPr>
              <w:spacing w:lineRule="exact" w:line="600"/>
              <w:jc w:val="center"/>
            </w:pPr>
            <w:r/>
            <w:r>
              <w:rPr>
                <w:rFonts w:ascii="黑体" w:hAnsi="黑体" w:eastAsia="黑体"/>
                <w:b/>
                <w:color w:val="000000"/>
                <w:sz w:val="32"/>
              </w:rPr>
              <w:t>依据</w:t>
            </w:r>
          </w:p>
        </w:tc>
      </w:tr>
      <w:tr>
        <w:tc>
          <w:tcPr>
            <w:tcW w:type="dxa" w:w="2835"/>
          </w:tcPr>
          <w:p>
            <w:pPr>
              <w:spacing w:lineRule="exact" w:line="600"/>
              <w:jc w:val="center"/>
            </w:pPr>
            <w:r/>
            <w:r>
              <w:rPr>
                <w:rFonts w:ascii="仿宋_GB2312" w:hAnsi="仿宋_GB2312" w:eastAsia="仿宋_GB2312"/>
                <w:b w:val="0"/>
                <w:color w:val="000000"/>
                <w:sz w:val="32"/>
              </w:rPr>
              <w:t>全国巨头</w:t>
            </w:r>
          </w:p>
        </w:tc>
        <w:tc>
          <w:tcPr>
            <w:tcW w:type="dxa" w:w="3402"/>
          </w:tcPr>
          <w:p>
            <w:pPr>
              <w:spacing w:lineRule="exact" w:line="600"/>
              <w:jc w:val="center"/>
            </w:pPr>
            <w:r/>
            <w:r>
              <w:rPr>
                <w:rFonts w:ascii="仿宋_GB2312" w:hAnsi="仿宋_GB2312" w:eastAsia="仿宋_GB2312"/>
                <w:b w:val="0"/>
                <w:color w:val="000000"/>
                <w:sz w:val="32"/>
              </w:rPr>
              <w:t>顺丰/京东</w:t>
            </w:r>
          </w:p>
        </w:tc>
        <w:tc>
          <w:tcPr>
            <w:tcW w:type="dxa" w:w="2835"/>
          </w:tcPr>
          <w:p>
            <w:pPr>
              <w:spacing w:lineRule="exact" w:line="600"/>
              <w:jc w:val="center"/>
            </w:pPr>
            <w:r/>
            <w:r>
              <w:rPr>
                <w:rFonts w:ascii="仿宋_GB2312" w:hAnsi="仿宋_GB2312" w:eastAsia="仿宋_GB2312"/>
                <w:b w:val="0"/>
                <w:color w:val="000000"/>
                <w:sz w:val="32"/>
              </w:rPr>
              <w:t>并存</w:t>
            </w:r>
          </w:p>
        </w:tc>
      </w:tr>
      <w:tr>
        <w:tc>
          <w:tcPr>
            <w:tcW w:type="dxa" w:w="2835"/>
          </w:tcPr>
          <w:p>
            <w:pPr>
              <w:spacing w:lineRule="exact" w:line="600"/>
              <w:jc w:val="center"/>
            </w:pPr>
            <w:r/>
            <w:r>
              <w:rPr>
                <w:rFonts w:ascii="仿宋_GB2312" w:hAnsi="仿宋_GB2312" w:eastAsia="仿宋_GB2312"/>
                <w:b w:val="0"/>
                <w:color w:val="000000"/>
                <w:sz w:val="32"/>
              </w:rPr>
              <w:t>自营</w:t>
            </w:r>
          </w:p>
        </w:tc>
        <w:tc>
          <w:tcPr>
            <w:tcW w:type="dxa" w:w="3402"/>
          </w:tcPr>
          <w:p>
            <w:pPr>
              <w:spacing w:lineRule="exact" w:line="600"/>
              <w:jc w:val="center"/>
            </w:pPr>
            <w:r/>
            <w:r>
              <w:rPr>
                <w:rFonts w:ascii="仿宋_GB2312" w:hAnsi="仿宋_GB2312" w:eastAsia="仿宋_GB2312"/>
                <w:b w:val="0"/>
                <w:color w:val="000000"/>
                <w:sz w:val="32"/>
              </w:rPr>
              <w:t>龙头自建</w:t>
            </w:r>
          </w:p>
        </w:tc>
        <w:tc>
          <w:tcPr>
            <w:tcW w:type="dxa" w:w="2835"/>
          </w:tcPr>
          <w:p>
            <w:pPr>
              <w:spacing w:lineRule="exact" w:line="600"/>
              <w:jc w:val="center"/>
            </w:pPr>
            <w:r/>
            <w:r>
              <w:rPr>
                <w:rFonts w:ascii="仿宋_GB2312" w:hAnsi="仿宋_GB2312" w:eastAsia="仿宋_GB2312"/>
                <w:b w:val="0"/>
                <w:color w:val="000000"/>
                <w:sz w:val="32"/>
              </w:rPr>
              <w:t>大客</w:t>
            </w:r>
          </w:p>
        </w:tc>
      </w:tr>
      <w:tr>
        <w:tc>
          <w:tcPr>
            <w:tcW w:type="dxa" w:w="2835"/>
          </w:tcPr>
          <w:p>
            <w:pPr>
              <w:spacing w:lineRule="exact" w:line="600"/>
              <w:jc w:val="center"/>
            </w:pPr>
            <w:r/>
            <w:r>
              <w:rPr>
                <w:rFonts w:ascii="仿宋_GB2312" w:hAnsi="仿宋_GB2312" w:eastAsia="仿宋_GB2312"/>
                <w:b w:val="0"/>
                <w:color w:val="000000"/>
                <w:sz w:val="32"/>
              </w:rPr>
              <w:t>三方</w:t>
            </w:r>
          </w:p>
        </w:tc>
        <w:tc>
          <w:tcPr>
            <w:tcW w:type="dxa" w:w="3402"/>
          </w:tcPr>
          <w:p>
            <w:pPr>
              <w:spacing w:lineRule="exact" w:line="600"/>
              <w:jc w:val="center"/>
            </w:pPr>
            <w:r/>
            <w:r>
              <w:rPr>
                <w:rFonts w:ascii="仿宋_GB2312" w:hAnsi="仿宋_GB2312" w:eastAsia="仿宋_GB2312"/>
                <w:b w:val="0"/>
                <w:color w:val="000000"/>
                <w:sz w:val="32"/>
              </w:rPr>
              <w:t>区域补充</w:t>
            </w:r>
          </w:p>
        </w:tc>
        <w:tc>
          <w:tcPr>
            <w:tcW w:type="dxa" w:w="2835"/>
          </w:tcPr>
          <w:p>
            <w:pPr>
              <w:spacing w:lineRule="exact" w:line="600"/>
              <w:jc w:val="center"/>
            </w:pPr>
            <w:r/>
            <w:r>
              <w:rPr>
                <w:rFonts w:ascii="仿宋_GB2312" w:hAnsi="仿宋_GB2312" w:eastAsia="仿宋_GB2312"/>
                <w:b w:val="0"/>
                <w:color w:val="000000"/>
                <w:sz w:val="32"/>
              </w:rPr>
              <w:t>渗透低</w:t>
            </w:r>
          </w:p>
        </w:tc>
      </w:tr>
      <w:tr>
        <w:tc>
          <w:tcPr>
            <w:tcW w:type="dxa" w:w="2835"/>
          </w:tcPr>
          <w:p>
            <w:pPr>
              <w:spacing w:lineRule="exact" w:line="600"/>
              <w:jc w:val="center"/>
            </w:pPr>
            <w:r/>
            <w:r>
              <w:rPr>
                <w:rFonts w:ascii="仿宋_GB2312" w:hAnsi="仿宋_GB2312" w:eastAsia="仿宋_GB2312"/>
                <w:b w:val="0"/>
                <w:color w:val="000000"/>
                <w:sz w:val="32"/>
              </w:rPr>
              <w:t>壁垒</w:t>
            </w:r>
          </w:p>
        </w:tc>
        <w:tc>
          <w:tcPr>
            <w:tcW w:type="dxa" w:w="3402"/>
          </w:tcPr>
          <w:p>
            <w:pPr>
              <w:spacing w:lineRule="exact" w:line="600"/>
              <w:jc w:val="center"/>
            </w:pPr>
            <w:r/>
            <w:r>
              <w:rPr>
                <w:rFonts w:ascii="仿宋_GB2312" w:hAnsi="仿宋_GB2312" w:eastAsia="仿宋_GB2312"/>
                <w:b w:val="0"/>
                <w:color w:val="000000"/>
                <w:sz w:val="32"/>
              </w:rPr>
              <w:t>网络/温控</w:t>
            </w:r>
          </w:p>
        </w:tc>
        <w:tc>
          <w:tcPr>
            <w:tcW w:type="dxa" w:w="2835"/>
          </w:tcPr>
          <w:p>
            <w:pPr>
              <w:spacing w:lineRule="exact" w:line="600"/>
              <w:jc w:val="center"/>
            </w:pPr>
            <w:r/>
            <w:r>
              <w:rPr>
                <w:rFonts w:ascii="仿宋_GB2312" w:hAnsi="仿宋_GB2312" w:eastAsia="仿宋_GB2312"/>
                <w:b w:val="0"/>
                <w:color w:val="000000"/>
                <w:sz w:val="32"/>
              </w:rPr>
              <w:t>成本</w:t>
            </w:r>
          </w:p>
        </w:tc>
      </w:tr>
    </w:tbl>
    <w:p>
      <w:pPr>
        <w:spacing w:lineRule="exact" w:line="600" w:before="120" w:after="120"/>
        <w:ind w:firstLine="420"/>
        <w:jc w:val="left"/>
      </w:pPr>
      <w:r>
        <w:rPr>
          <w:rFonts w:ascii="楷体_GB2312" w:hAnsi="楷体_GB2312" w:eastAsia="楷体_GB2312"/>
          <w:b w:val="0"/>
          <w:color w:val="000000"/>
          <w:sz w:val="32"/>
        </w:rPr>
        <w:t>（三）出口竞争</w:t>
      </w:r>
    </w:p>
    <w:p>
      <w:pPr>
        <w:spacing w:lineRule="exact" w:line="600" w:before="0" w:after="0"/>
        <w:ind w:firstLine="420"/>
        <w:jc w:val="both"/>
      </w:pPr>
      <w:r>
        <w:rPr>
          <w:rFonts w:ascii="仿宋_GB2312" w:hAnsi="仿宋_GB2312" w:eastAsia="仿宋_GB2312"/>
          <w:b w:val="0"/>
          <w:color w:val="000000"/>
          <w:sz w:val="32"/>
        </w:rPr>
        <w:t>山东农产品出口全国第一，诸城鸡肉与预制食品出口面对省内（临沂、青岛）及沿海竞品。日韩对鸡肉检疫严苛，具备合规与近岸优势者胜出；RCEP降税利好但东南亚本地竞争加剧。行业共性研判：合规能力与冷链跨境是出口核心竞争力。诸城可借「龙头企业+公共检测+港口近岸」组合，打造出口质量与时效标杆，以差异化合规能力在日韩高端市场建立壁垒，并以跨境电商规避传统贸易渠道的价格内卷，提升出口附加值与抗风险能力。</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（一）集群流通生态</w:t>
      </w:r>
    </w:p>
    <w:p>
      <w:pPr>
        <w:spacing w:lineRule="exact" w:line="600" w:before="0" w:after="0"/>
        <w:ind w:firstLine="420"/>
        <w:jc w:val="both"/>
      </w:pPr>
      <w:r>
        <w:rPr>
          <w:rFonts w:ascii="仿宋_GB2312" w:hAnsi="仿宋_GB2312" w:eastAsia="仿宋_GB2312"/>
          <w:b w:val="0"/>
          <w:color w:val="000000"/>
          <w:sz w:val="32"/>
        </w:rPr>
        <w:t>诸城健康食品集群形成「屠宰/预制（得利斯、惠发、外贸）—自建冷链—三方物流—出口」流通生态。全市556家预制菜企业依托冷链将产品辐射全国并出口；冷链与出口设施是集群从「产地」走向「全国+全球」的枢纽。</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生态指标</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链主</w:t>
            </w:r>
          </w:p>
        </w:tc>
        <w:tc>
          <w:tcPr>
            <w:tcW w:type="dxa" w:w="3402"/>
          </w:tcPr>
          <w:p>
            <w:pPr>
              <w:spacing w:lineRule="exact" w:line="600"/>
              <w:jc w:val="center"/>
            </w:pPr>
            <w:r/>
            <w:r>
              <w:rPr>
                <w:rFonts w:ascii="仿宋_GB2312" w:hAnsi="仿宋_GB2312" w:eastAsia="仿宋_GB2312"/>
                <w:b w:val="0"/>
                <w:color w:val="000000"/>
                <w:sz w:val="32"/>
              </w:rPr>
              <w:t>得利斯/惠发/外贸</w:t>
            </w:r>
          </w:p>
        </w:tc>
        <w:tc>
          <w:tcPr>
            <w:tcW w:type="dxa" w:w="2835"/>
          </w:tcPr>
          <w:p>
            <w:pPr>
              <w:spacing w:lineRule="exact" w:line="600"/>
              <w:jc w:val="center"/>
            </w:pPr>
            <w:r/>
            <w:r>
              <w:rPr>
                <w:rFonts w:ascii="仿宋_GB2312" w:hAnsi="仿宋_GB2312" w:eastAsia="仿宋_GB2312"/>
                <w:b w:val="0"/>
                <w:color w:val="000000"/>
                <w:sz w:val="32"/>
              </w:rPr>
              <w:t>生产</w:t>
            </w:r>
          </w:p>
        </w:tc>
      </w:tr>
      <w:tr>
        <w:tc>
          <w:tcPr>
            <w:tcW w:type="dxa" w:w="2835"/>
          </w:tcPr>
          <w:p>
            <w:pPr>
              <w:spacing w:lineRule="exact" w:line="600"/>
              <w:jc w:val="center"/>
            </w:pPr>
            <w:r/>
            <w:r>
              <w:rPr>
                <w:rFonts w:ascii="仿宋_GB2312" w:hAnsi="仿宋_GB2312" w:eastAsia="仿宋_GB2312"/>
                <w:b w:val="0"/>
                <w:color w:val="000000"/>
                <w:sz w:val="32"/>
              </w:rPr>
              <w:t>冷链</w:t>
            </w:r>
          </w:p>
        </w:tc>
        <w:tc>
          <w:tcPr>
            <w:tcW w:type="dxa" w:w="3402"/>
          </w:tcPr>
          <w:p>
            <w:pPr>
              <w:spacing w:lineRule="exact" w:line="600"/>
              <w:jc w:val="center"/>
            </w:pPr>
            <w:r/>
            <w:r>
              <w:rPr>
                <w:rFonts w:ascii="仿宋_GB2312" w:hAnsi="仿宋_GB2312" w:eastAsia="仿宋_GB2312"/>
                <w:b w:val="0"/>
                <w:color w:val="000000"/>
                <w:sz w:val="32"/>
              </w:rPr>
              <w:t>自建+三方</w:t>
            </w:r>
          </w:p>
        </w:tc>
        <w:tc>
          <w:tcPr>
            <w:tcW w:type="dxa" w:w="2835"/>
          </w:tcPr>
          <w:p>
            <w:pPr>
              <w:spacing w:lineRule="exact" w:line="600"/>
              <w:jc w:val="center"/>
            </w:pPr>
            <w:r/>
            <w:r>
              <w:rPr>
                <w:rFonts w:ascii="仿宋_GB2312" w:hAnsi="仿宋_GB2312" w:eastAsia="仿宋_GB2312"/>
                <w:b w:val="0"/>
                <w:color w:val="000000"/>
                <w:sz w:val="32"/>
              </w:rPr>
              <w:t>流通</w:t>
            </w:r>
          </w:p>
        </w:tc>
      </w:tr>
      <w:tr>
        <w:tc>
          <w:tcPr>
            <w:tcW w:type="dxa" w:w="2835"/>
          </w:tcPr>
          <w:p>
            <w:pPr>
              <w:spacing w:lineRule="exact" w:line="600"/>
              <w:jc w:val="center"/>
            </w:pPr>
            <w:r/>
            <w:r>
              <w:rPr>
                <w:rFonts w:ascii="仿宋_GB2312" w:hAnsi="仿宋_GB2312" w:eastAsia="仿宋_GB2312"/>
                <w:b w:val="0"/>
                <w:color w:val="000000"/>
                <w:sz w:val="32"/>
              </w:rPr>
              <w:t>出口</w:t>
            </w:r>
          </w:p>
        </w:tc>
        <w:tc>
          <w:tcPr>
            <w:tcW w:type="dxa" w:w="3402"/>
          </w:tcPr>
          <w:p>
            <w:pPr>
              <w:spacing w:lineRule="exact" w:line="600"/>
              <w:jc w:val="center"/>
            </w:pPr>
            <w:r/>
            <w:r>
              <w:rPr>
                <w:rFonts w:ascii="仿宋_GB2312" w:hAnsi="仿宋_GB2312" w:eastAsia="仿宋_GB2312"/>
                <w:b w:val="0"/>
                <w:color w:val="000000"/>
                <w:sz w:val="32"/>
              </w:rPr>
              <w:t>日韩/东南亚</w:t>
            </w:r>
          </w:p>
        </w:tc>
        <w:tc>
          <w:tcPr>
            <w:tcW w:type="dxa" w:w="2835"/>
          </w:tcPr>
          <w:p>
            <w:pPr>
              <w:spacing w:lineRule="exact" w:line="600"/>
              <w:jc w:val="center"/>
            </w:pPr>
            <w:r/>
            <w:r>
              <w:rPr>
                <w:rFonts w:ascii="仿宋_GB2312" w:hAnsi="仿宋_GB2312" w:eastAsia="仿宋_GB2312"/>
                <w:b w:val="0"/>
                <w:color w:val="000000"/>
                <w:sz w:val="32"/>
              </w:rPr>
              <w:t>开放</w:t>
            </w:r>
          </w:p>
        </w:tc>
      </w:tr>
      <w:tr>
        <w:tc>
          <w:tcPr>
            <w:tcW w:type="dxa" w:w="2835"/>
          </w:tcPr>
          <w:p>
            <w:pPr>
              <w:spacing w:lineRule="exact" w:line="600"/>
              <w:jc w:val="center"/>
            </w:pPr>
            <w:r/>
            <w:r>
              <w:rPr>
                <w:rFonts w:ascii="仿宋_GB2312" w:hAnsi="仿宋_GB2312" w:eastAsia="仿宋_GB2312"/>
                <w:b w:val="0"/>
                <w:color w:val="000000"/>
                <w:sz w:val="32"/>
              </w:rPr>
              <w:t>枢纽</w:t>
            </w:r>
          </w:p>
        </w:tc>
        <w:tc>
          <w:tcPr>
            <w:tcW w:type="dxa" w:w="3402"/>
          </w:tcPr>
          <w:p>
            <w:pPr>
              <w:spacing w:lineRule="exact" w:line="600"/>
              <w:jc w:val="center"/>
            </w:pPr>
            <w:r/>
            <w:r>
              <w:rPr>
                <w:rFonts w:ascii="仿宋_GB2312" w:hAnsi="仿宋_GB2312" w:eastAsia="仿宋_GB2312"/>
                <w:b w:val="0"/>
                <w:color w:val="000000"/>
                <w:sz w:val="32"/>
              </w:rPr>
              <w:t>产地到全球</w:t>
            </w:r>
          </w:p>
        </w:tc>
        <w:tc>
          <w:tcPr>
            <w:tcW w:type="dxa" w:w="2835"/>
          </w:tcPr>
          <w:p>
            <w:pPr>
              <w:spacing w:lineRule="exact" w:line="600"/>
              <w:jc w:val="center"/>
            </w:pPr>
            <w:r/>
            <w:r>
              <w:rPr>
                <w:rFonts w:ascii="仿宋_GB2312" w:hAnsi="仿宋_GB2312" w:eastAsia="仿宋_GB2312"/>
                <w:b w:val="0"/>
                <w:color w:val="000000"/>
                <w:sz w:val="32"/>
              </w:rPr>
              <w:t>角色</w:t>
            </w:r>
          </w:p>
        </w:tc>
      </w:tr>
    </w:tbl>
    <w:p>
      <w:pPr>
        <w:spacing w:lineRule="exact" w:line="600" w:before="120" w:after="120"/>
        <w:ind w:firstLine="420"/>
        <w:jc w:val="left"/>
      </w:pPr>
      <w:r>
        <w:rPr>
          <w:rFonts w:ascii="楷体_GB2312" w:hAnsi="楷体_GB2312" w:eastAsia="楷体_GB2312"/>
          <w:b w:val="0"/>
          <w:color w:val="000000"/>
          <w:sz w:val="32"/>
        </w:rPr>
        <w:t>（二）龙头流通能力</w:t>
      </w:r>
    </w:p>
    <w:p>
      <w:pPr>
        <w:spacing w:lineRule="exact" w:line="600" w:before="0" w:after="0"/>
        <w:ind w:firstLine="420"/>
        <w:jc w:val="both"/>
      </w:pPr>
      <w:r>
        <w:rPr>
          <w:rFonts w:ascii="仿宋_GB2312" w:hAnsi="仿宋_GB2312" w:eastAsia="仿宋_GB2312"/>
          <w:b w:val="0"/>
          <w:color w:val="000000"/>
          <w:sz w:val="32"/>
        </w:rPr>
        <w:t>得利斯、惠发均建立覆盖经销与直销的冷链配送网络，服务餐饮供应链与商超电商；诸城外贸具备鸡肉出口报关与海外渠道。龙头自营冷链保障B端大客户时效与品质，是集群流通能力的支柱（细分物流数据公开有限，以年报与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龙头能力</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得利斯</w:t>
            </w:r>
          </w:p>
        </w:tc>
        <w:tc>
          <w:tcPr>
            <w:tcW w:type="dxa" w:w="3402"/>
          </w:tcPr>
          <w:p>
            <w:pPr>
              <w:spacing w:lineRule="exact" w:line="600"/>
              <w:jc w:val="center"/>
            </w:pPr>
            <w:r/>
            <w:r>
              <w:rPr>
                <w:rFonts w:ascii="仿宋_GB2312" w:hAnsi="仿宋_GB2312" w:eastAsia="仿宋_GB2312"/>
                <w:b w:val="0"/>
                <w:color w:val="000000"/>
                <w:sz w:val="32"/>
              </w:rPr>
              <w:t>经销+直销冷链</w:t>
            </w:r>
          </w:p>
        </w:tc>
        <w:tc>
          <w:tcPr>
            <w:tcW w:type="dxa" w:w="2835"/>
          </w:tcPr>
          <w:p>
            <w:pPr>
              <w:spacing w:lineRule="exact" w:line="600"/>
              <w:jc w:val="center"/>
            </w:pPr>
            <w:r/>
            <w:r>
              <w:rPr>
                <w:rFonts w:ascii="仿宋_GB2312" w:hAnsi="仿宋_GB2312" w:eastAsia="仿宋_GB2312"/>
                <w:b w:val="0"/>
                <w:color w:val="000000"/>
                <w:sz w:val="32"/>
              </w:rPr>
              <w:t>B/C</w:t>
            </w:r>
          </w:p>
        </w:tc>
      </w:tr>
      <w:tr>
        <w:tc>
          <w:tcPr>
            <w:tcW w:type="dxa" w:w="2835"/>
          </w:tcPr>
          <w:p>
            <w:pPr>
              <w:spacing w:lineRule="exact" w:line="600"/>
              <w:jc w:val="center"/>
            </w:pPr>
            <w:r/>
            <w:r>
              <w:rPr>
                <w:rFonts w:ascii="仿宋_GB2312" w:hAnsi="仿宋_GB2312" w:eastAsia="仿宋_GB2312"/>
                <w:b w:val="0"/>
                <w:color w:val="000000"/>
                <w:sz w:val="32"/>
              </w:rPr>
              <w:t>惠发</w:t>
            </w:r>
          </w:p>
        </w:tc>
        <w:tc>
          <w:tcPr>
            <w:tcW w:type="dxa" w:w="3402"/>
          </w:tcPr>
          <w:p>
            <w:pPr>
              <w:spacing w:lineRule="exact" w:line="600"/>
              <w:jc w:val="center"/>
            </w:pPr>
            <w:r/>
            <w:r>
              <w:rPr>
                <w:rFonts w:ascii="仿宋_GB2312" w:hAnsi="仿宋_GB2312" w:eastAsia="仿宋_GB2312"/>
                <w:b w:val="0"/>
                <w:color w:val="000000"/>
                <w:sz w:val="32"/>
              </w:rPr>
              <w:t>配送网络</w:t>
            </w:r>
          </w:p>
        </w:tc>
        <w:tc>
          <w:tcPr>
            <w:tcW w:type="dxa" w:w="2835"/>
          </w:tcPr>
          <w:p>
            <w:pPr>
              <w:spacing w:lineRule="exact" w:line="600"/>
              <w:jc w:val="center"/>
            </w:pPr>
            <w:r/>
            <w:r>
              <w:rPr>
                <w:rFonts w:ascii="仿宋_GB2312" w:hAnsi="仿宋_GB2312" w:eastAsia="仿宋_GB2312"/>
                <w:b w:val="0"/>
                <w:color w:val="000000"/>
                <w:sz w:val="32"/>
              </w:rPr>
              <w:t>餐饮</w:t>
            </w:r>
          </w:p>
        </w:tc>
      </w:tr>
      <w:tr>
        <w:tc>
          <w:tcPr>
            <w:tcW w:type="dxa" w:w="2835"/>
          </w:tcPr>
          <w:p>
            <w:pPr>
              <w:spacing w:lineRule="exact" w:line="600"/>
              <w:jc w:val="center"/>
            </w:pPr>
            <w:r/>
            <w:r>
              <w:rPr>
                <w:rFonts w:ascii="仿宋_GB2312" w:hAnsi="仿宋_GB2312" w:eastAsia="仿宋_GB2312"/>
                <w:b w:val="0"/>
                <w:color w:val="000000"/>
                <w:sz w:val="32"/>
              </w:rPr>
              <w:t>外贸</w:t>
            </w:r>
          </w:p>
        </w:tc>
        <w:tc>
          <w:tcPr>
            <w:tcW w:type="dxa" w:w="3402"/>
          </w:tcPr>
          <w:p>
            <w:pPr>
              <w:spacing w:lineRule="exact" w:line="600"/>
              <w:jc w:val="center"/>
            </w:pPr>
            <w:r/>
            <w:r>
              <w:rPr>
                <w:rFonts w:ascii="仿宋_GB2312" w:hAnsi="仿宋_GB2312" w:eastAsia="仿宋_GB2312"/>
                <w:b w:val="0"/>
                <w:color w:val="000000"/>
                <w:sz w:val="32"/>
              </w:rPr>
              <w:t>出口报关</w:t>
            </w:r>
          </w:p>
        </w:tc>
        <w:tc>
          <w:tcPr>
            <w:tcW w:type="dxa" w:w="2835"/>
          </w:tcPr>
          <w:p>
            <w:pPr>
              <w:spacing w:lineRule="exact" w:line="600"/>
              <w:jc w:val="center"/>
            </w:pPr>
            <w:r/>
            <w:r>
              <w:rPr>
                <w:rFonts w:ascii="仿宋_GB2312" w:hAnsi="仿宋_GB2312" w:eastAsia="仿宋_GB2312"/>
                <w:b w:val="0"/>
                <w:color w:val="000000"/>
                <w:sz w:val="32"/>
              </w:rPr>
              <w:t>海外</w:t>
            </w:r>
          </w:p>
        </w:tc>
      </w:tr>
      <w:tr>
        <w:tc>
          <w:tcPr>
            <w:tcW w:type="dxa" w:w="2835"/>
          </w:tcPr>
          <w:p>
            <w:pPr>
              <w:spacing w:lineRule="exact" w:line="600"/>
              <w:jc w:val="center"/>
            </w:pPr>
            <w:r/>
            <w:r>
              <w:rPr>
                <w:rFonts w:ascii="仿宋_GB2312" w:hAnsi="仿宋_GB2312" w:eastAsia="仿宋_GB2312"/>
                <w:b w:val="0"/>
                <w:color w:val="000000"/>
                <w:sz w:val="32"/>
              </w:rPr>
              <w:t>自营</w:t>
            </w:r>
          </w:p>
        </w:tc>
        <w:tc>
          <w:tcPr>
            <w:tcW w:type="dxa" w:w="3402"/>
          </w:tcPr>
          <w:p>
            <w:pPr>
              <w:spacing w:lineRule="exact" w:line="600"/>
              <w:jc w:val="center"/>
            </w:pPr>
            <w:r/>
            <w:r>
              <w:rPr>
                <w:rFonts w:ascii="仿宋_GB2312" w:hAnsi="仿宋_GB2312" w:eastAsia="仿宋_GB2312"/>
                <w:b w:val="0"/>
                <w:color w:val="000000"/>
                <w:sz w:val="32"/>
              </w:rPr>
              <w:t>保障</w:t>
            </w:r>
          </w:p>
        </w:tc>
        <w:tc>
          <w:tcPr>
            <w:tcW w:type="dxa" w:w="2835"/>
          </w:tcPr>
          <w:p>
            <w:pPr>
              <w:spacing w:lineRule="exact" w:line="600"/>
              <w:jc w:val="center"/>
            </w:pPr>
            <w:r/>
            <w:r>
              <w:rPr>
                <w:rFonts w:ascii="仿宋_GB2312" w:hAnsi="仿宋_GB2312" w:eastAsia="仿宋_GB2312"/>
                <w:b w:val="0"/>
                <w:color w:val="000000"/>
                <w:sz w:val="32"/>
              </w:rPr>
              <w:t>时效</w:t>
            </w:r>
          </w:p>
        </w:tc>
      </w:tr>
    </w:tbl>
    <w:p>
      <w:pPr>
        <w:spacing w:lineRule="exact" w:line="600" w:before="120" w:after="120"/>
        <w:ind w:firstLine="420"/>
        <w:jc w:val="left"/>
      </w:pPr>
      <w:r>
        <w:rPr>
          <w:rFonts w:ascii="楷体_GB2312" w:hAnsi="楷体_GB2312" w:eastAsia="楷体_GB2312"/>
          <w:b w:val="0"/>
          <w:color w:val="000000"/>
          <w:sz w:val="32"/>
        </w:rPr>
        <w:t>（三）平台与配套</w:t>
      </w:r>
    </w:p>
    <w:p>
      <w:pPr>
        <w:spacing w:lineRule="exact" w:line="600" w:before="0" w:after="0"/>
        <w:ind w:firstLine="420"/>
        <w:jc w:val="both"/>
      </w:pPr>
      <w:r>
        <w:rPr>
          <w:rFonts w:ascii="仿宋_GB2312" w:hAnsi="仿宋_GB2312" w:eastAsia="仿宋_GB2312"/>
          <w:b w:val="0"/>
          <w:color w:val="000000"/>
          <w:sz w:val="32"/>
        </w:rPr>
        <w:t>诸城依托食品产业公共服务平台、检测与冷链集配设施支撑中小企业流通。区域冷库、制冷设备配套完善，出口通关与检验检疫服务便利。大中小企业通过共享冷链与出口服务融通发展。诸城食品产业园集研发、检测、冷链、电商于一体，为中小流通与外贸企业提供一站式公共服务，降低合规与运营成本，强化集群「流通+开放」枢纽功能。</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平台/配套</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作用</w:t>
            </w:r>
          </w:p>
        </w:tc>
      </w:tr>
      <w:tr>
        <w:tc>
          <w:tcPr>
            <w:tcW w:type="dxa" w:w="2835"/>
          </w:tcPr>
          <w:p>
            <w:pPr>
              <w:spacing w:lineRule="exact" w:line="600"/>
              <w:jc w:val="center"/>
            </w:pPr>
            <w:r/>
            <w:r>
              <w:rPr>
                <w:rFonts w:ascii="仿宋_GB2312" w:hAnsi="仿宋_GB2312" w:eastAsia="仿宋_GB2312"/>
                <w:b w:val="0"/>
                <w:color w:val="000000"/>
                <w:sz w:val="32"/>
              </w:rPr>
              <w:t>公共服务</w:t>
            </w:r>
          </w:p>
        </w:tc>
        <w:tc>
          <w:tcPr>
            <w:tcW w:type="dxa" w:w="3402"/>
          </w:tcPr>
          <w:p>
            <w:pPr>
              <w:spacing w:lineRule="exact" w:line="600"/>
              <w:jc w:val="center"/>
            </w:pPr>
            <w:r/>
            <w:r>
              <w:rPr>
                <w:rFonts w:ascii="仿宋_GB2312" w:hAnsi="仿宋_GB2312" w:eastAsia="仿宋_GB2312"/>
                <w:b w:val="0"/>
                <w:color w:val="000000"/>
                <w:sz w:val="32"/>
              </w:rPr>
              <w:t>研发/检测</w:t>
            </w:r>
          </w:p>
        </w:tc>
        <w:tc>
          <w:tcPr>
            <w:tcW w:type="dxa" w:w="2835"/>
          </w:tcPr>
          <w:p>
            <w:pPr>
              <w:spacing w:lineRule="exact" w:line="600"/>
              <w:jc w:val="center"/>
            </w:pPr>
            <w:r/>
            <w:r>
              <w:rPr>
                <w:rFonts w:ascii="仿宋_GB2312" w:hAnsi="仿宋_GB2312" w:eastAsia="仿宋_GB2312"/>
                <w:b w:val="0"/>
                <w:color w:val="000000"/>
                <w:sz w:val="32"/>
              </w:rPr>
              <w:t>降成本</w:t>
            </w:r>
          </w:p>
        </w:tc>
      </w:tr>
      <w:tr>
        <w:tc>
          <w:tcPr>
            <w:tcW w:type="dxa" w:w="2835"/>
          </w:tcPr>
          <w:p>
            <w:pPr>
              <w:spacing w:lineRule="exact" w:line="600"/>
              <w:jc w:val="center"/>
            </w:pPr>
            <w:r/>
            <w:r>
              <w:rPr>
                <w:rFonts w:ascii="仿宋_GB2312" w:hAnsi="仿宋_GB2312" w:eastAsia="仿宋_GB2312"/>
                <w:b w:val="0"/>
                <w:color w:val="000000"/>
                <w:sz w:val="32"/>
              </w:rPr>
              <w:t>冷库</w:t>
            </w:r>
          </w:p>
        </w:tc>
        <w:tc>
          <w:tcPr>
            <w:tcW w:type="dxa" w:w="3402"/>
          </w:tcPr>
          <w:p>
            <w:pPr>
              <w:spacing w:lineRule="exact" w:line="600"/>
              <w:jc w:val="center"/>
            </w:pPr>
            <w:r/>
            <w:r>
              <w:rPr>
                <w:rFonts w:ascii="仿宋_GB2312" w:hAnsi="仿宋_GB2312" w:eastAsia="仿宋_GB2312"/>
                <w:b w:val="0"/>
                <w:color w:val="000000"/>
                <w:sz w:val="32"/>
              </w:rPr>
              <w:t>区域配套</w:t>
            </w:r>
          </w:p>
        </w:tc>
        <w:tc>
          <w:tcPr>
            <w:tcW w:type="dxa" w:w="2835"/>
          </w:tcPr>
          <w:p>
            <w:pPr>
              <w:spacing w:lineRule="exact" w:line="600"/>
              <w:jc w:val="center"/>
            </w:pPr>
            <w:r/>
            <w:r>
              <w:rPr>
                <w:rFonts w:ascii="仿宋_GB2312" w:hAnsi="仿宋_GB2312" w:eastAsia="仿宋_GB2312"/>
                <w:b w:val="0"/>
                <w:color w:val="000000"/>
                <w:sz w:val="32"/>
              </w:rPr>
              <w:t>完善</w:t>
            </w:r>
          </w:p>
        </w:tc>
      </w:tr>
      <w:tr>
        <w:tc>
          <w:tcPr>
            <w:tcW w:type="dxa" w:w="2835"/>
          </w:tcPr>
          <w:p>
            <w:pPr>
              <w:spacing w:lineRule="exact" w:line="600"/>
              <w:jc w:val="center"/>
            </w:pPr>
            <w:r/>
            <w:r>
              <w:rPr>
                <w:rFonts w:ascii="仿宋_GB2312" w:hAnsi="仿宋_GB2312" w:eastAsia="仿宋_GB2312"/>
                <w:b w:val="0"/>
                <w:color w:val="000000"/>
                <w:sz w:val="32"/>
              </w:rPr>
              <w:t>通关</w:t>
            </w:r>
          </w:p>
        </w:tc>
        <w:tc>
          <w:tcPr>
            <w:tcW w:type="dxa" w:w="3402"/>
          </w:tcPr>
          <w:p>
            <w:pPr>
              <w:spacing w:lineRule="exact" w:line="600"/>
              <w:jc w:val="center"/>
            </w:pPr>
            <w:r/>
            <w:r>
              <w:rPr>
                <w:rFonts w:ascii="仿宋_GB2312" w:hAnsi="仿宋_GB2312" w:eastAsia="仿宋_GB2312"/>
                <w:b w:val="0"/>
                <w:color w:val="000000"/>
                <w:sz w:val="32"/>
              </w:rPr>
              <w:t>检验检疫</w:t>
            </w:r>
          </w:p>
        </w:tc>
        <w:tc>
          <w:tcPr>
            <w:tcW w:type="dxa" w:w="2835"/>
          </w:tcPr>
          <w:p>
            <w:pPr>
              <w:spacing w:lineRule="exact" w:line="600"/>
              <w:jc w:val="center"/>
            </w:pPr>
            <w:r/>
            <w:r>
              <w:rPr>
                <w:rFonts w:ascii="仿宋_GB2312" w:hAnsi="仿宋_GB2312" w:eastAsia="仿宋_GB2312"/>
                <w:b w:val="0"/>
                <w:color w:val="000000"/>
                <w:sz w:val="32"/>
              </w:rPr>
              <w:t>便利</w:t>
            </w:r>
          </w:p>
        </w:tc>
      </w:tr>
      <w:tr>
        <w:tc>
          <w:tcPr>
            <w:tcW w:type="dxa" w:w="2835"/>
          </w:tcPr>
          <w:p>
            <w:pPr>
              <w:spacing w:lineRule="exact" w:line="600"/>
              <w:jc w:val="center"/>
            </w:pPr>
            <w:r/>
            <w:r>
              <w:rPr>
                <w:rFonts w:ascii="仿宋_GB2312" w:hAnsi="仿宋_GB2312" w:eastAsia="仿宋_GB2312"/>
                <w:b w:val="0"/>
                <w:color w:val="000000"/>
                <w:sz w:val="32"/>
              </w:rPr>
              <w:t>产业园</w:t>
            </w:r>
          </w:p>
        </w:tc>
        <w:tc>
          <w:tcPr>
            <w:tcW w:type="dxa" w:w="3402"/>
          </w:tcPr>
          <w:p>
            <w:pPr>
              <w:spacing w:lineRule="exact" w:line="600"/>
              <w:jc w:val="center"/>
            </w:pPr>
            <w:r/>
            <w:r>
              <w:rPr>
                <w:rFonts w:ascii="仿宋_GB2312" w:hAnsi="仿宋_GB2312" w:eastAsia="仿宋_GB2312"/>
                <w:b w:val="0"/>
                <w:color w:val="000000"/>
                <w:sz w:val="32"/>
              </w:rPr>
              <w:t>一体化</w:t>
            </w:r>
          </w:p>
        </w:tc>
        <w:tc>
          <w:tcPr>
            <w:tcW w:type="dxa" w:w="2835"/>
          </w:tcPr>
          <w:p>
            <w:pPr>
              <w:spacing w:lineRule="exact" w:line="600"/>
              <w:jc w:val="center"/>
            </w:pPr>
            <w:r/>
            <w:r>
              <w:rPr>
                <w:rFonts w:ascii="仿宋_GB2312" w:hAnsi="仿宋_GB2312" w:eastAsia="仿宋_GB2312"/>
                <w:b w:val="0"/>
                <w:color w:val="000000"/>
                <w:sz w:val="32"/>
              </w:rPr>
              <w:t>枢纽</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（一）冷链技术</w:t>
      </w:r>
    </w:p>
    <w:p>
      <w:pPr>
        <w:spacing w:lineRule="exact" w:line="600" w:before="0" w:after="0"/>
        <w:ind w:firstLine="420"/>
        <w:jc w:val="both"/>
      </w:pPr>
      <w:r>
        <w:rPr>
          <w:rFonts w:ascii="仿宋_GB2312" w:hAnsi="仿宋_GB2312" w:eastAsia="仿宋_GB2312"/>
          <w:b w:val="0"/>
          <w:color w:val="000000"/>
          <w:sz w:val="32"/>
        </w:rPr>
        <w:t>食品冷链核心为速冻锁鲜（IQF）、多温区冷库、蓄冷与温控物联网。惠发、得利斯产线速冻与冷库保障预制菜鲜度；温控传感器与区块链溯源实现全程可视，降低断链损耗。技术焦点在节能制冷与断链预警。</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技术环节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价值</w:t>
            </w:r>
          </w:p>
        </w:tc>
      </w:tr>
      <w:tr>
        <w:tc>
          <w:tcPr>
            <w:tcW w:type="dxa" w:w="2835"/>
          </w:tcPr>
          <w:p>
            <w:pPr>
              <w:spacing w:lineRule="exact" w:line="600"/>
              <w:jc w:val="center"/>
            </w:pPr>
            <w:r/>
            <w:r>
              <w:rPr>
                <w:rFonts w:ascii="仿宋_GB2312" w:hAnsi="仿宋_GB2312" w:eastAsia="仿宋_GB2312"/>
                <w:b w:val="0"/>
                <w:color w:val="000000"/>
                <w:sz w:val="32"/>
              </w:rPr>
              <w:t>速冻IQF</w:t>
            </w:r>
          </w:p>
        </w:tc>
        <w:tc>
          <w:tcPr>
            <w:tcW w:type="dxa" w:w="3402"/>
          </w:tcPr>
          <w:p>
            <w:pPr>
              <w:spacing w:lineRule="exact" w:line="600"/>
              <w:jc w:val="center"/>
            </w:pPr>
            <w:r/>
            <w:r>
              <w:rPr>
                <w:rFonts w:ascii="仿宋_GB2312" w:hAnsi="仿宋_GB2312" w:eastAsia="仿宋_GB2312"/>
                <w:b w:val="0"/>
                <w:color w:val="000000"/>
                <w:sz w:val="32"/>
              </w:rPr>
              <w:t>锁鲜</w:t>
            </w:r>
          </w:p>
        </w:tc>
        <w:tc>
          <w:tcPr>
            <w:tcW w:type="dxa" w:w="2835"/>
          </w:tcPr>
          <w:p>
            <w:pPr>
              <w:spacing w:lineRule="exact" w:line="600"/>
              <w:jc w:val="center"/>
            </w:pPr>
            <w:r/>
            <w:r>
              <w:rPr>
                <w:rFonts w:ascii="仿宋_GB2312" w:hAnsi="仿宋_GB2312" w:eastAsia="仿宋_GB2312"/>
                <w:b w:val="0"/>
                <w:color w:val="000000"/>
                <w:sz w:val="32"/>
              </w:rPr>
              <w:t>鲜度</w:t>
            </w:r>
          </w:p>
        </w:tc>
      </w:tr>
      <w:tr>
        <w:tc>
          <w:tcPr>
            <w:tcW w:type="dxa" w:w="2835"/>
          </w:tcPr>
          <w:p>
            <w:pPr>
              <w:spacing w:lineRule="exact" w:line="600"/>
              <w:jc w:val="center"/>
            </w:pPr>
            <w:r/>
            <w:r>
              <w:rPr>
                <w:rFonts w:ascii="仿宋_GB2312" w:hAnsi="仿宋_GB2312" w:eastAsia="仿宋_GB2312"/>
                <w:b w:val="0"/>
                <w:color w:val="000000"/>
                <w:sz w:val="32"/>
              </w:rPr>
              <w:t>多温区</w:t>
            </w:r>
          </w:p>
        </w:tc>
        <w:tc>
          <w:tcPr>
            <w:tcW w:type="dxa" w:w="3402"/>
          </w:tcPr>
          <w:p>
            <w:pPr>
              <w:spacing w:lineRule="exact" w:line="600"/>
              <w:jc w:val="center"/>
            </w:pPr>
            <w:r/>
            <w:r>
              <w:rPr>
                <w:rFonts w:ascii="仿宋_GB2312" w:hAnsi="仿宋_GB2312" w:eastAsia="仿宋_GB2312"/>
                <w:b w:val="0"/>
                <w:color w:val="000000"/>
                <w:sz w:val="32"/>
              </w:rPr>
              <w:t>冷库</w:t>
            </w:r>
          </w:p>
        </w:tc>
        <w:tc>
          <w:tcPr>
            <w:tcW w:type="dxa" w:w="2835"/>
          </w:tcPr>
          <w:p>
            <w:pPr>
              <w:spacing w:lineRule="exact" w:line="600"/>
              <w:jc w:val="center"/>
            </w:pPr>
            <w:r/>
            <w:r>
              <w:rPr>
                <w:rFonts w:ascii="仿宋_GB2312" w:hAnsi="仿宋_GB2312" w:eastAsia="仿宋_GB2312"/>
                <w:b w:val="0"/>
                <w:color w:val="000000"/>
                <w:sz w:val="32"/>
              </w:rPr>
              <w:t>分类</w:t>
            </w:r>
          </w:p>
        </w:tc>
      </w:tr>
      <w:tr>
        <w:tc>
          <w:tcPr>
            <w:tcW w:type="dxa" w:w="2835"/>
          </w:tcPr>
          <w:p>
            <w:pPr>
              <w:spacing w:lineRule="exact" w:line="600"/>
              <w:jc w:val="center"/>
            </w:pPr>
            <w:r/>
            <w:r>
              <w:rPr>
                <w:rFonts w:ascii="仿宋_GB2312" w:hAnsi="仿宋_GB2312" w:eastAsia="仿宋_GB2312"/>
                <w:b w:val="0"/>
                <w:color w:val="000000"/>
                <w:sz w:val="32"/>
              </w:rPr>
              <w:t>物联网</w:t>
            </w:r>
          </w:p>
        </w:tc>
        <w:tc>
          <w:tcPr>
            <w:tcW w:type="dxa" w:w="3402"/>
          </w:tcPr>
          <w:p>
            <w:pPr>
              <w:spacing w:lineRule="exact" w:line="600"/>
              <w:jc w:val="center"/>
            </w:pPr>
            <w:r/>
            <w:r>
              <w:rPr>
                <w:rFonts w:ascii="仿宋_GB2312" w:hAnsi="仿宋_GB2312" w:eastAsia="仿宋_GB2312"/>
                <w:b w:val="0"/>
                <w:color w:val="000000"/>
                <w:sz w:val="32"/>
              </w:rPr>
              <w:t>温控</w:t>
            </w:r>
          </w:p>
        </w:tc>
        <w:tc>
          <w:tcPr>
            <w:tcW w:type="dxa" w:w="2835"/>
          </w:tcPr>
          <w:p>
            <w:pPr>
              <w:spacing w:lineRule="exact" w:line="600"/>
              <w:jc w:val="center"/>
            </w:pPr>
            <w:r/>
            <w:r>
              <w:rPr>
                <w:rFonts w:ascii="仿宋_GB2312" w:hAnsi="仿宋_GB2312" w:eastAsia="仿宋_GB2312"/>
                <w:b w:val="0"/>
                <w:color w:val="000000"/>
                <w:sz w:val="32"/>
              </w:rPr>
              <w:t>防断链</w:t>
            </w:r>
          </w:p>
        </w:tc>
      </w:tr>
      <w:tr>
        <w:tc>
          <w:tcPr>
            <w:tcW w:type="dxa" w:w="2835"/>
          </w:tcPr>
          <w:p>
            <w:pPr>
              <w:spacing w:lineRule="exact" w:line="600"/>
              <w:jc w:val="center"/>
            </w:pPr>
            <w:r/>
            <w:r>
              <w:rPr>
                <w:rFonts w:ascii="仿宋_GB2312" w:hAnsi="仿宋_GB2312" w:eastAsia="仿宋_GB2312"/>
                <w:b w:val="0"/>
                <w:color w:val="000000"/>
                <w:sz w:val="32"/>
              </w:rPr>
              <w:t>溯源</w:t>
            </w:r>
          </w:p>
        </w:tc>
        <w:tc>
          <w:tcPr>
            <w:tcW w:type="dxa" w:w="3402"/>
          </w:tcPr>
          <w:p>
            <w:pPr>
              <w:spacing w:lineRule="exact" w:line="600"/>
              <w:jc w:val="center"/>
            </w:pPr>
            <w:r/>
            <w:r>
              <w:rPr>
                <w:rFonts w:ascii="仿宋_GB2312" w:hAnsi="仿宋_GB2312" w:eastAsia="仿宋_GB2312"/>
                <w:b w:val="0"/>
                <w:color w:val="000000"/>
                <w:sz w:val="32"/>
              </w:rPr>
              <w:t>区块链</w:t>
            </w:r>
          </w:p>
        </w:tc>
        <w:tc>
          <w:tcPr>
            <w:tcW w:type="dxa" w:w="2835"/>
          </w:tcPr>
          <w:p>
            <w:pPr>
              <w:spacing w:lineRule="exact" w:line="600"/>
              <w:jc w:val="center"/>
            </w:pPr>
            <w:r/>
            <w:r>
              <w:rPr>
                <w:rFonts w:ascii="仿宋_GB2312" w:hAnsi="仿宋_GB2312" w:eastAsia="仿宋_GB2312"/>
                <w:b w:val="0"/>
                <w:color w:val="000000"/>
                <w:sz w:val="32"/>
              </w:rPr>
              <w:t>信任</w:t>
            </w:r>
          </w:p>
        </w:tc>
      </w:tr>
    </w:tbl>
    <w:p>
      <w:pPr>
        <w:spacing w:lineRule="exact" w:line="600" w:before="120" w:after="120"/>
        <w:ind w:firstLine="420"/>
        <w:jc w:val="left"/>
      </w:pPr>
      <w:r>
        <w:rPr>
          <w:rFonts w:ascii="楷体_GB2312" w:hAnsi="楷体_GB2312" w:eastAsia="楷体_GB2312"/>
          <w:b w:val="0"/>
          <w:color w:val="000000"/>
          <w:sz w:val="32"/>
        </w:rPr>
        <w:t>（二）出口合规技术</w:t>
      </w:r>
    </w:p>
    <w:p>
      <w:pPr>
        <w:spacing w:lineRule="exact" w:line="600" w:before="0" w:after="0"/>
        <w:ind w:firstLine="420"/>
        <w:jc w:val="both"/>
      </w:pPr>
      <w:r>
        <w:rPr>
          <w:rFonts w:ascii="仿宋_GB2312" w:hAnsi="仿宋_GB2312" w:eastAsia="仿宋_GB2312"/>
          <w:b w:val="0"/>
          <w:color w:val="000000"/>
          <w:sz w:val="32"/>
        </w:rPr>
        <w:t>出口需满足海外检疫、HACCP与标签规范，涉及冷链跨境不断链与单证数字化。诸城外贸等积累对日韩出口合规经验；行业推进电子检验检疫与跨境冷链追溯，提升通关效率与信任。</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出口技术</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价值</w:t>
            </w:r>
          </w:p>
        </w:tc>
      </w:tr>
      <w:tr>
        <w:tc>
          <w:tcPr>
            <w:tcW w:type="dxa" w:w="2835"/>
          </w:tcPr>
          <w:p>
            <w:pPr>
              <w:spacing w:lineRule="exact" w:line="600"/>
              <w:jc w:val="center"/>
            </w:pPr>
            <w:r/>
            <w:r>
              <w:rPr>
                <w:rFonts w:ascii="仿宋_GB2312" w:hAnsi="仿宋_GB2312" w:eastAsia="仿宋_GB2312"/>
                <w:b w:val="0"/>
                <w:color w:val="000000"/>
                <w:sz w:val="32"/>
              </w:rPr>
              <w:t>检疫</w:t>
            </w:r>
          </w:p>
        </w:tc>
        <w:tc>
          <w:tcPr>
            <w:tcW w:type="dxa" w:w="3402"/>
          </w:tcPr>
          <w:p>
            <w:pPr>
              <w:spacing w:lineRule="exact" w:line="600"/>
              <w:jc w:val="center"/>
            </w:pPr>
            <w:r/>
            <w:r>
              <w:rPr>
                <w:rFonts w:ascii="仿宋_GB2312" w:hAnsi="仿宋_GB2312" w:eastAsia="仿宋_GB2312"/>
                <w:b w:val="0"/>
                <w:color w:val="000000"/>
                <w:sz w:val="32"/>
              </w:rPr>
              <w:t>HACCP</w:t>
            </w:r>
          </w:p>
        </w:tc>
        <w:tc>
          <w:tcPr>
            <w:tcW w:type="dxa" w:w="2835"/>
          </w:tcPr>
          <w:p>
            <w:pPr>
              <w:spacing w:lineRule="exact" w:line="600"/>
              <w:jc w:val="center"/>
            </w:pPr>
            <w:r/>
            <w:r>
              <w:rPr>
                <w:rFonts w:ascii="仿宋_GB2312" w:hAnsi="仿宋_GB2312" w:eastAsia="仿宋_GB2312"/>
                <w:b w:val="0"/>
                <w:color w:val="000000"/>
                <w:sz w:val="32"/>
              </w:rPr>
              <w:t>合规</w:t>
            </w:r>
          </w:p>
        </w:tc>
      </w:tr>
      <w:tr>
        <w:tc>
          <w:tcPr>
            <w:tcW w:type="dxa" w:w="2835"/>
          </w:tcPr>
          <w:p>
            <w:pPr>
              <w:spacing w:lineRule="exact" w:line="600"/>
              <w:jc w:val="center"/>
            </w:pPr>
            <w:r/>
            <w:r>
              <w:rPr>
                <w:rFonts w:ascii="仿宋_GB2312" w:hAnsi="仿宋_GB2312" w:eastAsia="仿宋_GB2312"/>
                <w:b w:val="0"/>
                <w:color w:val="000000"/>
                <w:sz w:val="32"/>
              </w:rPr>
              <w:t>标签</w:t>
            </w:r>
          </w:p>
        </w:tc>
        <w:tc>
          <w:tcPr>
            <w:tcW w:type="dxa" w:w="3402"/>
          </w:tcPr>
          <w:p>
            <w:pPr>
              <w:spacing w:lineRule="exact" w:line="600"/>
              <w:jc w:val="center"/>
            </w:pPr>
            <w:r/>
            <w:r>
              <w:rPr>
                <w:rFonts w:ascii="仿宋_GB2312" w:hAnsi="仿宋_GB2312" w:eastAsia="仿宋_GB2312"/>
                <w:b w:val="0"/>
                <w:color w:val="000000"/>
                <w:sz w:val="32"/>
              </w:rPr>
              <w:t>规范</w:t>
            </w:r>
          </w:p>
        </w:tc>
        <w:tc>
          <w:tcPr>
            <w:tcW w:type="dxa" w:w="2835"/>
          </w:tcPr>
          <w:p>
            <w:pPr>
              <w:spacing w:lineRule="exact" w:line="600"/>
              <w:jc w:val="center"/>
            </w:pPr>
            <w:r/>
            <w:r>
              <w:rPr>
                <w:rFonts w:ascii="仿宋_GB2312" w:hAnsi="仿宋_GB2312" w:eastAsia="仿宋_GB2312"/>
                <w:b w:val="0"/>
                <w:color w:val="000000"/>
                <w:sz w:val="32"/>
              </w:rPr>
              <w:t>准入</w:t>
            </w:r>
          </w:p>
        </w:tc>
      </w:tr>
      <w:tr>
        <w:tc>
          <w:tcPr>
            <w:tcW w:type="dxa" w:w="2835"/>
          </w:tcPr>
          <w:p>
            <w:pPr>
              <w:spacing w:lineRule="exact" w:line="600"/>
              <w:jc w:val="center"/>
            </w:pPr>
            <w:r/>
            <w:r>
              <w:rPr>
                <w:rFonts w:ascii="仿宋_GB2312" w:hAnsi="仿宋_GB2312" w:eastAsia="仿宋_GB2312"/>
                <w:b w:val="0"/>
                <w:color w:val="000000"/>
                <w:sz w:val="32"/>
              </w:rPr>
              <w:t>跨境</w:t>
            </w:r>
          </w:p>
        </w:tc>
        <w:tc>
          <w:tcPr>
            <w:tcW w:type="dxa" w:w="3402"/>
          </w:tcPr>
          <w:p>
            <w:pPr>
              <w:spacing w:lineRule="exact" w:line="600"/>
              <w:jc w:val="center"/>
            </w:pPr>
            <w:r/>
            <w:r>
              <w:rPr>
                <w:rFonts w:ascii="仿宋_GB2312" w:hAnsi="仿宋_GB2312" w:eastAsia="仿宋_GB2312"/>
                <w:b w:val="0"/>
                <w:color w:val="000000"/>
                <w:sz w:val="32"/>
              </w:rPr>
              <w:t>不断链</w:t>
            </w:r>
          </w:p>
        </w:tc>
        <w:tc>
          <w:tcPr>
            <w:tcW w:type="dxa" w:w="2835"/>
          </w:tcPr>
          <w:p>
            <w:pPr>
              <w:spacing w:lineRule="exact" w:line="600"/>
              <w:jc w:val="center"/>
            </w:pPr>
            <w:r/>
            <w:r>
              <w:rPr>
                <w:rFonts w:ascii="仿宋_GB2312" w:hAnsi="仿宋_GB2312" w:eastAsia="仿宋_GB2312"/>
                <w:b w:val="0"/>
                <w:color w:val="000000"/>
                <w:sz w:val="32"/>
              </w:rPr>
              <w:t>品质</w:t>
            </w:r>
          </w:p>
        </w:tc>
      </w:tr>
      <w:tr>
        <w:tc>
          <w:tcPr>
            <w:tcW w:type="dxa" w:w="2835"/>
          </w:tcPr>
          <w:p>
            <w:pPr>
              <w:spacing w:lineRule="exact" w:line="600"/>
              <w:jc w:val="center"/>
            </w:pPr>
            <w:r/>
            <w:r>
              <w:rPr>
                <w:rFonts w:ascii="仿宋_GB2312" w:hAnsi="仿宋_GB2312" w:eastAsia="仿宋_GB2312"/>
                <w:b w:val="0"/>
                <w:color w:val="000000"/>
                <w:sz w:val="32"/>
              </w:rPr>
              <w:t>单证</w:t>
            </w:r>
          </w:p>
        </w:tc>
        <w:tc>
          <w:tcPr>
            <w:tcW w:type="dxa" w:w="3402"/>
          </w:tcPr>
          <w:p>
            <w:pPr>
              <w:spacing w:lineRule="exact" w:line="600"/>
              <w:jc w:val="center"/>
            </w:pPr>
            <w:r/>
            <w:r>
              <w:rPr>
                <w:rFonts w:ascii="仿宋_GB2312" w:hAnsi="仿宋_GB2312" w:eastAsia="仿宋_GB2312"/>
                <w:b w:val="0"/>
                <w:color w:val="000000"/>
                <w:sz w:val="32"/>
              </w:rPr>
              <w:t>电子化</w:t>
            </w:r>
          </w:p>
        </w:tc>
        <w:tc>
          <w:tcPr>
            <w:tcW w:type="dxa" w:w="2835"/>
          </w:tcPr>
          <w:p>
            <w:pPr>
              <w:spacing w:lineRule="exact" w:line="600"/>
              <w:jc w:val="center"/>
            </w:pPr>
            <w:r/>
            <w:r>
              <w:rPr>
                <w:rFonts w:ascii="仿宋_GB2312" w:hAnsi="仿宋_GB2312" w:eastAsia="仿宋_GB2312"/>
                <w:b w:val="0"/>
                <w:color w:val="000000"/>
                <w:sz w:val="32"/>
              </w:rPr>
              <w:t>提效</w:t>
            </w:r>
          </w:p>
        </w:tc>
      </w:tr>
    </w:tbl>
    <w:p>
      <w:pPr>
        <w:spacing w:lineRule="exact" w:line="600" w:before="120" w:after="120"/>
        <w:ind w:firstLine="420"/>
        <w:jc w:val="left"/>
      </w:pPr>
      <w:r>
        <w:rPr>
          <w:rFonts w:ascii="楷体_GB2312" w:hAnsi="楷体_GB2312" w:eastAsia="楷体_GB2312"/>
          <w:b w:val="0"/>
          <w:color w:val="000000"/>
          <w:sz w:val="32"/>
        </w:rPr>
        <w:t>（三）数智化平台</w:t>
      </w:r>
    </w:p>
    <w:p>
      <w:pPr>
        <w:spacing w:lineRule="exact" w:line="600" w:before="0" w:after="0"/>
        <w:ind w:firstLine="420"/>
        <w:jc w:val="both"/>
      </w:pPr>
      <w:r>
        <w:rPr>
          <w:rFonts w:ascii="仿宋_GB2312" w:hAnsi="仿宋_GB2312" w:eastAsia="仿宋_GB2312"/>
          <w:b w:val="0"/>
          <w:color w:val="000000"/>
          <w:sz w:val="32"/>
        </w:rPr>
        <w:t>冷链云平台整合订单、运力与温控，优化调度降低空驶与损耗；出口侧跨境电商与海外仓系统提升响应。诸城食品数字化基础支撑流通数智化，是提效降本抓手。通过大数据预测产销与库容，可削峰填谷、提升冷库满载率与车辆回程载率，直接改善盈利；平台沉淀的温控与溯源数据还能反哺金融风控，为供应链金融与保险定价提供依据。</w:t>
      </w:r>
    </w:p>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冷链成本以冷库能耗、冷藏运输、包材与人工为主，占预制菜流通成本比重高；出口另含报关、检疫、跨境冷链与汇率成本。能源价格波动直接推高冷库与运输费用，是流通环节盈利的主要变量。</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成本项</w:t>
            </w:r>
          </w:p>
        </w:tc>
        <w:tc>
          <w:tcPr>
            <w:tcW w:type="dxa" w:w="3402"/>
          </w:tcPr>
          <w:p>
            <w:pPr>
              <w:spacing w:lineRule="exact" w:line="600"/>
              <w:jc w:val="center"/>
            </w:pPr>
            <w:r/>
            <w:r>
              <w:rPr>
                <w:rFonts w:ascii="黑体" w:hAnsi="黑体" w:eastAsia="黑体"/>
                <w:b/>
                <w:color w:val="000000"/>
                <w:sz w:val="32"/>
              </w:rPr>
              <w:t>特征</w:t>
            </w:r>
          </w:p>
        </w:tc>
        <w:tc>
          <w:tcPr>
            <w:tcW w:type="dxa" w:w="2835"/>
          </w:tcPr>
          <w:p>
            <w:pPr>
              <w:spacing w:lineRule="exact" w:line="600"/>
              <w:jc w:val="center"/>
            </w:pPr>
            <w:r/>
            <w:r>
              <w:rPr>
                <w:rFonts w:ascii="黑体" w:hAnsi="黑体" w:eastAsia="黑体"/>
                <w:b/>
                <w:color w:val="000000"/>
                <w:sz w:val="32"/>
              </w:rPr>
              <w:t>影响</w:t>
            </w:r>
          </w:p>
        </w:tc>
      </w:tr>
      <w:tr>
        <w:tc>
          <w:tcPr>
            <w:tcW w:type="dxa" w:w="2835"/>
          </w:tcPr>
          <w:p>
            <w:pPr>
              <w:spacing w:lineRule="exact" w:line="600"/>
              <w:jc w:val="center"/>
            </w:pPr>
            <w:r/>
            <w:r>
              <w:rPr>
                <w:rFonts w:ascii="仿宋_GB2312" w:hAnsi="仿宋_GB2312" w:eastAsia="仿宋_GB2312"/>
                <w:b w:val="0"/>
                <w:color w:val="000000"/>
                <w:sz w:val="32"/>
              </w:rPr>
              <w:t>冷库能耗</w:t>
            </w:r>
          </w:p>
        </w:tc>
        <w:tc>
          <w:tcPr>
            <w:tcW w:type="dxa" w:w="3402"/>
          </w:tcPr>
          <w:p>
            <w:pPr>
              <w:spacing w:lineRule="exact" w:line="600"/>
              <w:jc w:val="center"/>
            </w:pPr>
            <w:r/>
            <w:r>
              <w:rPr>
                <w:rFonts w:ascii="仿宋_GB2312" w:hAnsi="仿宋_GB2312" w:eastAsia="仿宋_GB2312"/>
                <w:b w:val="0"/>
                <w:color w:val="000000"/>
                <w:sz w:val="32"/>
              </w:rPr>
              <w:t>高</w:t>
            </w:r>
          </w:p>
        </w:tc>
        <w:tc>
          <w:tcPr>
            <w:tcW w:type="dxa" w:w="2835"/>
          </w:tcPr>
          <w:p>
            <w:pPr>
              <w:spacing w:lineRule="exact" w:line="600"/>
              <w:jc w:val="center"/>
            </w:pPr>
            <w:r/>
            <w:r>
              <w:rPr>
                <w:rFonts w:ascii="仿宋_GB2312" w:hAnsi="仿宋_GB2312" w:eastAsia="仿宋_GB2312"/>
                <w:b w:val="0"/>
                <w:color w:val="000000"/>
                <w:sz w:val="32"/>
              </w:rPr>
              <w:t>电力</w:t>
            </w:r>
          </w:p>
        </w:tc>
      </w:tr>
      <w:tr>
        <w:tc>
          <w:tcPr>
            <w:tcW w:type="dxa" w:w="2835"/>
          </w:tcPr>
          <w:p>
            <w:pPr>
              <w:spacing w:lineRule="exact" w:line="600"/>
              <w:jc w:val="center"/>
            </w:pPr>
            <w:r/>
            <w:r>
              <w:rPr>
                <w:rFonts w:ascii="仿宋_GB2312" w:hAnsi="仿宋_GB2312" w:eastAsia="仿宋_GB2312"/>
                <w:b w:val="0"/>
                <w:color w:val="000000"/>
                <w:sz w:val="32"/>
              </w:rPr>
              <w:t>冷藏运输</w:t>
            </w:r>
          </w:p>
        </w:tc>
        <w:tc>
          <w:tcPr>
            <w:tcW w:type="dxa" w:w="3402"/>
          </w:tcPr>
          <w:p>
            <w:pPr>
              <w:spacing w:lineRule="exact" w:line="600"/>
              <w:jc w:val="center"/>
            </w:pPr>
            <w:r/>
            <w:r>
              <w:rPr>
                <w:rFonts w:ascii="仿宋_GB2312" w:hAnsi="仿宋_GB2312" w:eastAsia="仿宋_GB2312"/>
                <w:b w:val="0"/>
                <w:color w:val="000000"/>
                <w:sz w:val="32"/>
              </w:rPr>
              <w:t>高</w:t>
            </w:r>
          </w:p>
        </w:tc>
        <w:tc>
          <w:tcPr>
            <w:tcW w:type="dxa" w:w="2835"/>
          </w:tcPr>
          <w:p>
            <w:pPr>
              <w:spacing w:lineRule="exact" w:line="600"/>
              <w:jc w:val="center"/>
            </w:pPr>
            <w:r/>
            <w:r>
              <w:rPr>
                <w:rFonts w:ascii="仿宋_GB2312" w:hAnsi="仿宋_GB2312" w:eastAsia="仿宋_GB2312"/>
                <w:b w:val="0"/>
                <w:color w:val="000000"/>
                <w:sz w:val="32"/>
              </w:rPr>
              <w:t>油耗</w:t>
            </w:r>
          </w:p>
        </w:tc>
      </w:tr>
      <w:tr>
        <w:tc>
          <w:tcPr>
            <w:tcW w:type="dxa" w:w="2835"/>
          </w:tcPr>
          <w:p>
            <w:pPr>
              <w:spacing w:lineRule="exact" w:line="600"/>
              <w:jc w:val="center"/>
            </w:pPr>
            <w:r/>
            <w:r>
              <w:rPr>
                <w:rFonts w:ascii="仿宋_GB2312" w:hAnsi="仿宋_GB2312" w:eastAsia="仿宋_GB2312"/>
                <w:b w:val="0"/>
                <w:color w:val="000000"/>
                <w:sz w:val="32"/>
              </w:rPr>
              <w:t>包材</w:t>
            </w:r>
          </w:p>
        </w:tc>
        <w:tc>
          <w:tcPr>
            <w:tcW w:type="dxa" w:w="3402"/>
          </w:tcPr>
          <w:p>
            <w:pPr>
              <w:spacing w:lineRule="exact" w:line="600"/>
              <w:jc w:val="center"/>
            </w:pPr>
            <w:r/>
            <w:r>
              <w:rPr>
                <w:rFonts w:ascii="仿宋_GB2312" w:hAnsi="仿宋_GB2312" w:eastAsia="仿宋_GB2312"/>
                <w:b w:val="0"/>
                <w:color w:val="000000"/>
                <w:sz w:val="32"/>
              </w:rPr>
              <w:t>稳定</w:t>
            </w:r>
          </w:p>
        </w:tc>
        <w:tc>
          <w:tcPr>
            <w:tcW w:type="dxa" w:w="2835"/>
          </w:tcPr>
          <w:p>
            <w:pPr>
              <w:spacing w:lineRule="exact" w:line="600"/>
              <w:jc w:val="center"/>
            </w:pPr>
            <w:r/>
            <w:r>
              <w:rPr>
                <w:rFonts w:ascii="仿宋_GB2312" w:hAnsi="仿宋_GB2312" w:eastAsia="仿宋_GB2312"/>
                <w:b w:val="0"/>
                <w:color w:val="000000"/>
                <w:sz w:val="32"/>
              </w:rPr>
              <w:t>次要</w:t>
            </w:r>
          </w:p>
        </w:tc>
      </w:tr>
      <w:tr>
        <w:tc>
          <w:tcPr>
            <w:tcW w:type="dxa" w:w="2835"/>
          </w:tcPr>
          <w:p>
            <w:pPr>
              <w:spacing w:lineRule="exact" w:line="600"/>
              <w:jc w:val="center"/>
            </w:pPr>
            <w:r/>
            <w:r>
              <w:rPr>
                <w:rFonts w:ascii="仿宋_GB2312" w:hAnsi="仿宋_GB2312" w:eastAsia="仿宋_GB2312"/>
                <w:b w:val="0"/>
                <w:color w:val="000000"/>
                <w:sz w:val="32"/>
              </w:rPr>
              <w:t>出口</w:t>
            </w:r>
          </w:p>
        </w:tc>
        <w:tc>
          <w:tcPr>
            <w:tcW w:type="dxa" w:w="3402"/>
          </w:tcPr>
          <w:p>
            <w:pPr>
              <w:spacing w:lineRule="exact" w:line="600"/>
              <w:jc w:val="center"/>
            </w:pPr>
            <w:r/>
            <w:r>
              <w:rPr>
                <w:rFonts w:ascii="仿宋_GB2312" w:hAnsi="仿宋_GB2312" w:eastAsia="仿宋_GB2312"/>
                <w:b w:val="0"/>
                <w:color w:val="000000"/>
                <w:sz w:val="32"/>
              </w:rPr>
              <w:t>报关/汇率</w:t>
            </w:r>
          </w:p>
        </w:tc>
        <w:tc>
          <w:tcPr>
            <w:tcW w:type="dxa" w:w="2835"/>
          </w:tcPr>
          <w:p>
            <w:pPr>
              <w:spacing w:lineRule="exact" w:line="600"/>
              <w:jc w:val="center"/>
            </w:pPr>
            <w:r/>
            <w:r>
              <w:rPr>
                <w:rFonts w:ascii="仿宋_GB2312" w:hAnsi="仿宋_GB2312" w:eastAsia="仿宋_GB2312"/>
                <w:b w:val="0"/>
                <w:color w:val="000000"/>
                <w:sz w:val="32"/>
              </w:rPr>
              <w:t>附加</w:t>
            </w:r>
          </w:p>
        </w:tc>
      </w:tr>
    </w:tbl>
    <w:p>
      <w:pPr>
        <w:spacing w:lineRule="exact" w:line="600" w:before="120" w:after="120"/>
        <w:ind w:firstLine="420"/>
        <w:jc w:val="left"/>
      </w:pPr>
      <w:r>
        <w:rPr>
          <w:rFonts w:ascii="楷体_GB2312" w:hAnsi="楷体_GB2312" w:eastAsia="楷体_GB2312"/>
          <w:b w:val="0"/>
          <w:color w:val="000000"/>
          <w:sz w:val="32"/>
        </w:rPr>
        <w:t>（二）盈利水平</w:t>
      </w:r>
    </w:p>
    <w:p>
      <w:pPr>
        <w:spacing w:lineRule="exact" w:line="600" w:before="0" w:after="0"/>
        <w:ind w:firstLine="420"/>
        <w:jc w:val="both"/>
      </w:pPr>
      <w:r>
        <w:rPr>
          <w:rFonts w:ascii="仿宋_GB2312" w:hAnsi="仿宋_GB2312" w:eastAsia="仿宋_GB2312"/>
          <w:b w:val="0"/>
          <w:color w:val="000000"/>
          <w:sz w:val="32"/>
        </w:rPr>
        <w:t>自营冷链为龙头企业保障供应链而非独立利润中心，第三方冷链毛利受价格战与能源挤压；出口因合规门槛高、溢价较好但量受限。整体流通环节盈利薄，依赖规模与网络密度。龙头以「生产+流通」一体化提升综合盈利。以行业经验看，专业第三方冷链净利率常处于个位数低位，能源（电价）占冷库运营成本三成以上，运价随油价波动，因此规模化、满载率与多温区复用是盈利关键，中小冷链企业抗周期能力偏弱。</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盈利指标</w:t>
            </w:r>
          </w:p>
        </w:tc>
        <w:tc>
          <w:tcPr>
            <w:tcW w:type="dxa" w:w="3402"/>
          </w:tcPr>
          <w:p>
            <w:pPr>
              <w:spacing w:lineRule="exact" w:line="600"/>
              <w:jc w:val="center"/>
            </w:pPr>
            <w:r/>
            <w:r>
              <w:rPr>
                <w:rFonts w:ascii="黑体" w:hAnsi="黑体" w:eastAsia="黑体"/>
                <w:b/>
                <w:color w:val="000000"/>
                <w:sz w:val="32"/>
              </w:rPr>
              <w:t>特征</w:t>
            </w:r>
          </w:p>
        </w:tc>
        <w:tc>
          <w:tcPr>
            <w:tcW w:type="dxa" w:w="2835"/>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自营冷链</w:t>
            </w:r>
          </w:p>
        </w:tc>
        <w:tc>
          <w:tcPr>
            <w:tcW w:type="dxa" w:w="3402"/>
          </w:tcPr>
          <w:p>
            <w:pPr>
              <w:spacing w:lineRule="exact" w:line="600"/>
              <w:jc w:val="center"/>
            </w:pPr>
            <w:r/>
            <w:r>
              <w:rPr>
                <w:rFonts w:ascii="仿宋_GB2312" w:hAnsi="仿宋_GB2312" w:eastAsia="仿宋_GB2312"/>
                <w:b w:val="0"/>
                <w:color w:val="000000"/>
                <w:sz w:val="32"/>
              </w:rPr>
              <w:t>非独立利润</w:t>
            </w:r>
          </w:p>
        </w:tc>
        <w:tc>
          <w:tcPr>
            <w:tcW w:type="dxa" w:w="2835"/>
          </w:tcPr>
          <w:p>
            <w:pPr>
              <w:spacing w:lineRule="exact" w:line="600"/>
              <w:jc w:val="center"/>
            </w:pPr>
            <w:r/>
            <w:r>
              <w:rPr>
                <w:rFonts w:ascii="仿宋_GB2312" w:hAnsi="仿宋_GB2312" w:eastAsia="仿宋_GB2312"/>
                <w:b w:val="0"/>
                <w:color w:val="000000"/>
                <w:sz w:val="32"/>
              </w:rPr>
              <w:t>配套</w:t>
            </w:r>
          </w:p>
        </w:tc>
      </w:tr>
      <w:tr>
        <w:tc>
          <w:tcPr>
            <w:tcW w:type="dxa" w:w="2835"/>
          </w:tcPr>
          <w:p>
            <w:pPr>
              <w:spacing w:lineRule="exact" w:line="600"/>
              <w:jc w:val="center"/>
            </w:pPr>
            <w:r/>
            <w:r>
              <w:rPr>
                <w:rFonts w:ascii="仿宋_GB2312" w:hAnsi="仿宋_GB2312" w:eastAsia="仿宋_GB2312"/>
                <w:b w:val="0"/>
                <w:color w:val="000000"/>
                <w:sz w:val="32"/>
              </w:rPr>
              <w:t>三方</w:t>
            </w:r>
          </w:p>
        </w:tc>
        <w:tc>
          <w:tcPr>
            <w:tcW w:type="dxa" w:w="3402"/>
          </w:tcPr>
          <w:p>
            <w:pPr>
              <w:spacing w:lineRule="exact" w:line="600"/>
              <w:jc w:val="center"/>
            </w:pPr>
            <w:r/>
            <w:r>
              <w:rPr>
                <w:rFonts w:ascii="仿宋_GB2312" w:hAnsi="仿宋_GB2312" w:eastAsia="仿宋_GB2312"/>
                <w:b w:val="0"/>
                <w:color w:val="000000"/>
                <w:sz w:val="32"/>
              </w:rPr>
              <w:t>毛利薄</w:t>
            </w:r>
          </w:p>
        </w:tc>
        <w:tc>
          <w:tcPr>
            <w:tcW w:type="dxa" w:w="2835"/>
          </w:tcPr>
          <w:p>
            <w:pPr>
              <w:spacing w:lineRule="exact" w:line="600"/>
              <w:jc w:val="center"/>
            </w:pPr>
            <w:r/>
            <w:r>
              <w:rPr>
                <w:rFonts w:ascii="仿宋_GB2312" w:hAnsi="仿宋_GB2312" w:eastAsia="仿宋_GB2312"/>
                <w:b w:val="0"/>
                <w:color w:val="000000"/>
                <w:sz w:val="32"/>
              </w:rPr>
              <w:t>价格战</w:t>
            </w:r>
          </w:p>
        </w:tc>
      </w:tr>
      <w:tr>
        <w:tc>
          <w:tcPr>
            <w:tcW w:type="dxa" w:w="2835"/>
          </w:tcPr>
          <w:p>
            <w:pPr>
              <w:spacing w:lineRule="exact" w:line="600"/>
              <w:jc w:val="center"/>
            </w:pPr>
            <w:r/>
            <w:r>
              <w:rPr>
                <w:rFonts w:ascii="仿宋_GB2312" w:hAnsi="仿宋_GB2312" w:eastAsia="仿宋_GB2312"/>
                <w:b w:val="0"/>
                <w:color w:val="000000"/>
                <w:sz w:val="32"/>
              </w:rPr>
              <w:t>出口</w:t>
            </w:r>
          </w:p>
        </w:tc>
        <w:tc>
          <w:tcPr>
            <w:tcW w:type="dxa" w:w="3402"/>
          </w:tcPr>
          <w:p>
            <w:pPr>
              <w:spacing w:lineRule="exact" w:line="600"/>
              <w:jc w:val="center"/>
            </w:pPr>
            <w:r/>
            <w:r>
              <w:rPr>
                <w:rFonts w:ascii="仿宋_GB2312" w:hAnsi="仿宋_GB2312" w:eastAsia="仿宋_GB2312"/>
                <w:b w:val="0"/>
                <w:color w:val="000000"/>
                <w:sz w:val="32"/>
              </w:rPr>
              <w:t>溢价好</w:t>
            </w:r>
          </w:p>
        </w:tc>
        <w:tc>
          <w:tcPr>
            <w:tcW w:type="dxa" w:w="2835"/>
          </w:tcPr>
          <w:p>
            <w:pPr>
              <w:spacing w:lineRule="exact" w:line="600"/>
              <w:jc w:val="center"/>
            </w:pPr>
            <w:r/>
            <w:r>
              <w:rPr>
                <w:rFonts w:ascii="仿宋_GB2312" w:hAnsi="仿宋_GB2312" w:eastAsia="仿宋_GB2312"/>
                <w:b w:val="0"/>
                <w:color w:val="000000"/>
                <w:sz w:val="32"/>
              </w:rPr>
              <w:t>量限</w:t>
            </w:r>
          </w:p>
        </w:tc>
      </w:tr>
      <w:tr>
        <w:tc>
          <w:tcPr>
            <w:tcW w:type="dxa" w:w="2835"/>
          </w:tcPr>
          <w:p>
            <w:pPr>
              <w:spacing w:lineRule="exact" w:line="600"/>
              <w:jc w:val="center"/>
            </w:pPr>
            <w:r/>
            <w:r>
              <w:rPr>
                <w:rFonts w:ascii="仿宋_GB2312" w:hAnsi="仿宋_GB2312" w:eastAsia="仿宋_GB2312"/>
                <w:b w:val="0"/>
                <w:color w:val="000000"/>
                <w:sz w:val="32"/>
              </w:rPr>
              <w:t>一体化</w:t>
            </w:r>
          </w:p>
        </w:tc>
        <w:tc>
          <w:tcPr>
            <w:tcW w:type="dxa" w:w="3402"/>
          </w:tcPr>
          <w:p>
            <w:pPr>
              <w:spacing w:lineRule="exact" w:line="600"/>
              <w:jc w:val="center"/>
            </w:pPr>
            <w:r/>
            <w:r>
              <w:rPr>
                <w:rFonts w:ascii="仿宋_GB2312" w:hAnsi="仿宋_GB2312" w:eastAsia="仿宋_GB2312"/>
                <w:b w:val="0"/>
                <w:color w:val="000000"/>
                <w:sz w:val="32"/>
              </w:rPr>
              <w:t>综合</w:t>
            </w:r>
          </w:p>
        </w:tc>
        <w:tc>
          <w:tcPr>
            <w:tcW w:type="dxa" w:w="2835"/>
          </w:tcPr>
          <w:p>
            <w:pPr>
              <w:spacing w:lineRule="exact" w:line="600"/>
              <w:jc w:val="center"/>
            </w:pPr>
            <w:r/>
            <w:r>
              <w:rPr>
                <w:rFonts w:ascii="仿宋_GB2312" w:hAnsi="仿宋_GB2312" w:eastAsia="仿宋_GB2312"/>
                <w:b w:val="0"/>
                <w:color w:val="000000"/>
                <w:sz w:val="32"/>
              </w:rPr>
              <w:t>提盈利</w:t>
            </w:r>
          </w:p>
        </w:tc>
      </w:tr>
    </w:tbl>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诸城具备能源、冷库用地与港口近岸（青岛/日照）优势，山东农产品出口通道与检验检疫体系完备。政策上对冷链基建与农产品出口给予支持，要素供给对流通与出口形成背书。区位上，诸城距青岛港、日照港均在两小时陆运圈内，便于肉类与预制食品集港出口；本地高职院校与食品加工职教体系提供冷链运维与国际贸易人才，要素组合支撑集群「流通+开放」双枢纽持续扩容。叠加「一带一路」与RCEP通道红利，诸城冷链与出口的要素能级有望进一步跃升，为中小食品企业出海提供低成本、高时效的流通底座。</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预制菜爆发放大冷链需求；餐饮供应链外包与生鲜电商扩容；RCEP降税与跨境冷链完善打开出口增量；山东出口第一大省地位赋能。诸城「双上市+最大肉丸基地」产能为冷链与出口提供稳定货源，机遇明确。</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机遇</w:t>
            </w:r>
          </w:p>
        </w:tc>
        <w:tc>
          <w:tcPr>
            <w:tcW w:type="dxa" w:w="3402"/>
          </w:tcPr>
          <w:p>
            <w:pPr>
              <w:spacing w:lineRule="exact" w:line="600"/>
              <w:jc w:val="center"/>
            </w:pPr>
            <w:r/>
            <w:r>
              <w:rPr>
                <w:rFonts w:ascii="黑体" w:hAnsi="黑体" w:eastAsia="黑体"/>
                <w:b/>
                <w:color w:val="000000"/>
                <w:sz w:val="32"/>
              </w:rPr>
              <w:t>驱动</w:t>
            </w:r>
          </w:p>
        </w:tc>
        <w:tc>
          <w:tcPr>
            <w:tcW w:type="dxa" w:w="3118"/>
          </w:tcPr>
          <w:p>
            <w:pPr>
              <w:spacing w:lineRule="exact" w:line="600"/>
              <w:jc w:val="center"/>
            </w:pPr>
            <w:r/>
            <w:r>
              <w:rPr>
                <w:rFonts w:ascii="黑体" w:hAnsi="黑体" w:eastAsia="黑体"/>
                <w:b/>
                <w:color w:val="000000"/>
                <w:sz w:val="32"/>
              </w:rPr>
              <w:t>量化</w:t>
            </w:r>
          </w:p>
        </w:tc>
      </w:tr>
      <w:tr>
        <w:tc>
          <w:tcPr>
            <w:tcW w:type="dxa" w:w="2551"/>
          </w:tcPr>
          <w:p>
            <w:pPr>
              <w:spacing w:lineRule="exact" w:line="600"/>
              <w:jc w:val="center"/>
            </w:pPr>
            <w:r/>
            <w:r>
              <w:rPr>
                <w:rFonts w:ascii="仿宋_GB2312" w:hAnsi="仿宋_GB2312" w:eastAsia="仿宋_GB2312"/>
                <w:b w:val="0"/>
                <w:color w:val="000000"/>
                <w:sz w:val="32"/>
              </w:rPr>
              <w:t>预制菜</w:t>
            </w:r>
          </w:p>
        </w:tc>
        <w:tc>
          <w:tcPr>
            <w:tcW w:type="dxa" w:w="3402"/>
          </w:tcPr>
          <w:p>
            <w:pPr>
              <w:spacing w:lineRule="exact" w:line="600"/>
              <w:jc w:val="center"/>
            </w:pPr>
            <w:r/>
            <w:r>
              <w:rPr>
                <w:rFonts w:ascii="仿宋_GB2312" w:hAnsi="仿宋_GB2312" w:eastAsia="仿宋_GB2312"/>
                <w:b w:val="0"/>
                <w:color w:val="000000"/>
                <w:sz w:val="32"/>
              </w:rPr>
              <w:t>冷链需求</w:t>
            </w:r>
          </w:p>
        </w:tc>
        <w:tc>
          <w:tcPr>
            <w:tcW w:type="dxa" w:w="3118"/>
          </w:tcPr>
          <w:p>
            <w:pPr>
              <w:spacing w:lineRule="exact" w:line="600"/>
              <w:jc w:val="center"/>
            </w:pPr>
            <w:r/>
            <w:r>
              <w:rPr>
                <w:rFonts w:ascii="仿宋_GB2312" w:hAnsi="仿宋_GB2312" w:eastAsia="仿宋_GB2312"/>
                <w:b w:val="0"/>
                <w:color w:val="000000"/>
                <w:sz w:val="32"/>
              </w:rPr>
              <w:t>放大</w:t>
            </w:r>
          </w:p>
        </w:tc>
      </w:tr>
      <w:tr>
        <w:tc>
          <w:tcPr>
            <w:tcW w:type="dxa" w:w="2551"/>
          </w:tcPr>
          <w:p>
            <w:pPr>
              <w:spacing w:lineRule="exact" w:line="600"/>
              <w:jc w:val="center"/>
            </w:pPr>
            <w:r/>
            <w:r>
              <w:rPr>
                <w:rFonts w:ascii="仿宋_GB2312" w:hAnsi="仿宋_GB2312" w:eastAsia="仿宋_GB2312"/>
                <w:b w:val="0"/>
                <w:color w:val="000000"/>
                <w:sz w:val="32"/>
              </w:rPr>
              <w:t>供应链</w:t>
            </w:r>
          </w:p>
        </w:tc>
        <w:tc>
          <w:tcPr>
            <w:tcW w:type="dxa" w:w="3402"/>
          </w:tcPr>
          <w:p>
            <w:pPr>
              <w:spacing w:lineRule="exact" w:line="600"/>
              <w:jc w:val="center"/>
            </w:pPr>
            <w:r/>
            <w:r>
              <w:rPr>
                <w:rFonts w:ascii="仿宋_GB2312" w:hAnsi="仿宋_GB2312" w:eastAsia="仿宋_GB2312"/>
                <w:b w:val="0"/>
                <w:color w:val="000000"/>
                <w:sz w:val="32"/>
              </w:rPr>
              <w:t>外包</w:t>
            </w:r>
          </w:p>
        </w:tc>
        <w:tc>
          <w:tcPr>
            <w:tcW w:type="dxa" w:w="3118"/>
          </w:tcPr>
          <w:p>
            <w:pPr>
              <w:spacing w:lineRule="exact" w:line="600"/>
              <w:jc w:val="center"/>
            </w:pPr>
            <w:r/>
            <w:r>
              <w:rPr>
                <w:rFonts w:ascii="仿宋_GB2312" w:hAnsi="仿宋_GB2312" w:eastAsia="仿宋_GB2312"/>
                <w:b w:val="0"/>
                <w:color w:val="000000"/>
                <w:sz w:val="32"/>
              </w:rPr>
              <w:t>扩容</w:t>
            </w:r>
          </w:p>
        </w:tc>
      </w:tr>
      <w:tr>
        <w:tc>
          <w:tcPr>
            <w:tcW w:type="dxa" w:w="2551"/>
          </w:tcPr>
          <w:p>
            <w:pPr>
              <w:spacing w:lineRule="exact" w:line="600"/>
              <w:jc w:val="center"/>
            </w:pPr>
            <w:r/>
            <w:r>
              <w:rPr>
                <w:rFonts w:ascii="仿宋_GB2312" w:hAnsi="仿宋_GB2312" w:eastAsia="仿宋_GB2312"/>
                <w:b w:val="0"/>
                <w:color w:val="000000"/>
                <w:sz w:val="32"/>
              </w:rPr>
              <w:t>RCEP</w:t>
            </w:r>
          </w:p>
        </w:tc>
        <w:tc>
          <w:tcPr>
            <w:tcW w:type="dxa" w:w="3402"/>
          </w:tcPr>
          <w:p>
            <w:pPr>
              <w:spacing w:lineRule="exact" w:line="600"/>
              <w:jc w:val="center"/>
            </w:pPr>
            <w:r/>
            <w:r>
              <w:rPr>
                <w:rFonts w:ascii="仿宋_GB2312" w:hAnsi="仿宋_GB2312" w:eastAsia="仿宋_GB2312"/>
                <w:b w:val="0"/>
                <w:color w:val="000000"/>
                <w:sz w:val="32"/>
              </w:rPr>
              <w:t>降税</w:t>
            </w:r>
          </w:p>
        </w:tc>
        <w:tc>
          <w:tcPr>
            <w:tcW w:type="dxa" w:w="3118"/>
          </w:tcPr>
          <w:p>
            <w:pPr>
              <w:spacing w:lineRule="exact" w:line="600"/>
              <w:jc w:val="center"/>
            </w:pPr>
            <w:r/>
            <w:r>
              <w:rPr>
                <w:rFonts w:ascii="仿宋_GB2312" w:hAnsi="仿宋_GB2312" w:eastAsia="仿宋_GB2312"/>
                <w:b w:val="0"/>
                <w:color w:val="000000"/>
                <w:sz w:val="32"/>
              </w:rPr>
              <w:t>出口</w:t>
            </w:r>
          </w:p>
        </w:tc>
      </w:tr>
      <w:tr>
        <w:tc>
          <w:tcPr>
            <w:tcW w:type="dxa" w:w="2551"/>
          </w:tcPr>
          <w:p>
            <w:pPr>
              <w:spacing w:lineRule="exact" w:line="600"/>
              <w:jc w:val="center"/>
            </w:pPr>
            <w:r/>
            <w:r>
              <w:rPr>
                <w:rFonts w:ascii="仿宋_GB2312" w:hAnsi="仿宋_GB2312" w:eastAsia="仿宋_GB2312"/>
                <w:b w:val="0"/>
                <w:color w:val="000000"/>
                <w:sz w:val="32"/>
              </w:rPr>
              <w:t>山东</w:t>
            </w:r>
          </w:p>
        </w:tc>
        <w:tc>
          <w:tcPr>
            <w:tcW w:type="dxa" w:w="3402"/>
          </w:tcPr>
          <w:p>
            <w:pPr>
              <w:spacing w:lineRule="exact" w:line="600"/>
              <w:jc w:val="center"/>
            </w:pPr>
            <w:r/>
            <w:r>
              <w:rPr>
                <w:rFonts w:ascii="仿宋_GB2312" w:hAnsi="仿宋_GB2312" w:eastAsia="仿宋_GB2312"/>
                <w:b w:val="0"/>
                <w:color w:val="000000"/>
                <w:sz w:val="32"/>
              </w:rPr>
              <w:t>出口第一</w:t>
            </w:r>
          </w:p>
        </w:tc>
        <w:tc>
          <w:tcPr>
            <w:tcW w:type="dxa" w:w="3118"/>
          </w:tcPr>
          <w:p>
            <w:pPr>
              <w:spacing w:lineRule="exact" w:line="600"/>
              <w:jc w:val="center"/>
            </w:pPr>
            <w:r/>
            <w:r>
              <w:rPr>
                <w:rFonts w:ascii="仿宋_GB2312" w:hAnsi="仿宋_GB2312" w:eastAsia="仿宋_GB2312"/>
                <w:b w:val="0"/>
                <w:color w:val="000000"/>
                <w:sz w:val="32"/>
              </w:rPr>
              <w:t>赋能</w:t>
            </w:r>
          </w:p>
        </w:tc>
      </w:tr>
    </w:tbl>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一是冷链能耗与配送成本高、利润薄；二是跨境合规与检疫门槛高；三是高峰期冷库运力紧张；四是汇率与贸易摩擦扰动出口。中小冷链与外贸企业抗压能力弱，需平台与政策兜底。此外，预制菜与冷冻食品出口面临目的地国技术性贸易壁垒升级（农残、添加剂、标签多语种要求），合规迭代成本高；国内冷链运力在春节、电商大促等峰值期阶段性紧张，亦考验集群调度与协同能力，需以共享平台与弹性运力对冲。</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挑战</w:t>
            </w:r>
          </w:p>
        </w:tc>
        <w:tc>
          <w:tcPr>
            <w:tcW w:type="dxa" w:w="3402"/>
          </w:tcPr>
          <w:p>
            <w:pPr>
              <w:spacing w:lineRule="exact" w:line="600"/>
              <w:jc w:val="center"/>
            </w:pPr>
            <w:r/>
            <w:r>
              <w:rPr>
                <w:rFonts w:ascii="黑体" w:hAnsi="黑体" w:eastAsia="黑体"/>
                <w:b/>
                <w:color w:val="000000"/>
                <w:sz w:val="32"/>
              </w:rPr>
              <w:t>表现</w:t>
            </w:r>
          </w:p>
        </w:tc>
        <w:tc>
          <w:tcPr>
            <w:tcW w:type="dxa" w:w="3118"/>
          </w:tcPr>
          <w:p>
            <w:pPr>
              <w:spacing w:lineRule="exact" w:line="600"/>
              <w:jc w:val="center"/>
            </w:pPr>
            <w:r/>
            <w:r>
              <w:rPr>
                <w:rFonts w:ascii="黑体" w:hAnsi="黑体" w:eastAsia="黑体"/>
                <w:b/>
                <w:color w:val="000000"/>
                <w:sz w:val="32"/>
              </w:rPr>
              <w:t>影响</w:t>
            </w:r>
          </w:p>
        </w:tc>
      </w:tr>
      <w:tr>
        <w:tc>
          <w:tcPr>
            <w:tcW w:type="dxa" w:w="2551"/>
          </w:tcPr>
          <w:p>
            <w:pPr>
              <w:spacing w:lineRule="exact" w:line="600"/>
              <w:jc w:val="center"/>
            </w:pPr>
            <w:r/>
            <w:r>
              <w:rPr>
                <w:rFonts w:ascii="仿宋_GB2312" w:hAnsi="仿宋_GB2312" w:eastAsia="仿宋_GB2312"/>
                <w:b w:val="0"/>
                <w:color w:val="000000"/>
                <w:sz w:val="32"/>
              </w:rPr>
              <w:t>成本高</w:t>
            </w:r>
          </w:p>
        </w:tc>
        <w:tc>
          <w:tcPr>
            <w:tcW w:type="dxa" w:w="3402"/>
          </w:tcPr>
          <w:p>
            <w:pPr>
              <w:spacing w:lineRule="exact" w:line="600"/>
              <w:jc w:val="center"/>
            </w:pPr>
            <w:r/>
            <w:r>
              <w:rPr>
                <w:rFonts w:ascii="仿宋_GB2312" w:hAnsi="仿宋_GB2312" w:eastAsia="仿宋_GB2312"/>
                <w:b w:val="0"/>
                <w:color w:val="000000"/>
                <w:sz w:val="32"/>
              </w:rPr>
              <w:t>能耗/配送</w:t>
            </w:r>
          </w:p>
        </w:tc>
        <w:tc>
          <w:tcPr>
            <w:tcW w:type="dxa" w:w="3118"/>
          </w:tcPr>
          <w:p>
            <w:pPr>
              <w:spacing w:lineRule="exact" w:line="600"/>
              <w:jc w:val="center"/>
            </w:pPr>
            <w:r/>
            <w:r>
              <w:rPr>
                <w:rFonts w:ascii="仿宋_GB2312" w:hAnsi="仿宋_GB2312" w:eastAsia="仿宋_GB2312"/>
                <w:b w:val="0"/>
                <w:color w:val="000000"/>
                <w:sz w:val="32"/>
              </w:rPr>
              <w:t>薄利</w:t>
            </w:r>
          </w:p>
        </w:tc>
      </w:tr>
      <w:tr>
        <w:tc>
          <w:tcPr>
            <w:tcW w:type="dxa" w:w="2551"/>
          </w:tcPr>
          <w:p>
            <w:pPr>
              <w:spacing w:lineRule="exact" w:line="600"/>
              <w:jc w:val="center"/>
            </w:pPr>
            <w:r/>
            <w:r>
              <w:rPr>
                <w:rFonts w:ascii="仿宋_GB2312" w:hAnsi="仿宋_GB2312" w:eastAsia="仿宋_GB2312"/>
                <w:b w:val="0"/>
                <w:color w:val="000000"/>
                <w:sz w:val="32"/>
              </w:rPr>
              <w:t>合规</w:t>
            </w:r>
          </w:p>
        </w:tc>
        <w:tc>
          <w:tcPr>
            <w:tcW w:type="dxa" w:w="3402"/>
          </w:tcPr>
          <w:p>
            <w:pPr>
              <w:spacing w:lineRule="exact" w:line="600"/>
              <w:jc w:val="center"/>
            </w:pPr>
            <w:r/>
            <w:r>
              <w:rPr>
                <w:rFonts w:ascii="仿宋_GB2312" w:hAnsi="仿宋_GB2312" w:eastAsia="仿宋_GB2312"/>
                <w:b w:val="0"/>
                <w:color w:val="000000"/>
                <w:sz w:val="32"/>
              </w:rPr>
              <w:t>检疫</w:t>
            </w:r>
          </w:p>
        </w:tc>
        <w:tc>
          <w:tcPr>
            <w:tcW w:type="dxa" w:w="3118"/>
          </w:tcPr>
          <w:p>
            <w:pPr>
              <w:spacing w:lineRule="exact" w:line="600"/>
              <w:jc w:val="center"/>
            </w:pPr>
            <w:r/>
            <w:r>
              <w:rPr>
                <w:rFonts w:ascii="仿宋_GB2312" w:hAnsi="仿宋_GB2312" w:eastAsia="仿宋_GB2312"/>
                <w:b w:val="0"/>
                <w:color w:val="000000"/>
                <w:sz w:val="32"/>
              </w:rPr>
              <w:t>门槛</w:t>
            </w:r>
          </w:p>
        </w:tc>
      </w:tr>
      <w:tr>
        <w:tc>
          <w:tcPr>
            <w:tcW w:type="dxa" w:w="2551"/>
          </w:tcPr>
          <w:p>
            <w:pPr>
              <w:spacing w:lineRule="exact" w:line="600"/>
              <w:jc w:val="center"/>
            </w:pPr>
            <w:r/>
            <w:r>
              <w:rPr>
                <w:rFonts w:ascii="仿宋_GB2312" w:hAnsi="仿宋_GB2312" w:eastAsia="仿宋_GB2312"/>
                <w:b w:val="0"/>
                <w:color w:val="000000"/>
                <w:sz w:val="32"/>
              </w:rPr>
              <w:t>运力</w:t>
            </w:r>
          </w:p>
        </w:tc>
        <w:tc>
          <w:tcPr>
            <w:tcW w:type="dxa" w:w="3402"/>
          </w:tcPr>
          <w:p>
            <w:pPr>
              <w:spacing w:lineRule="exact" w:line="600"/>
              <w:jc w:val="center"/>
            </w:pPr>
            <w:r/>
            <w:r>
              <w:rPr>
                <w:rFonts w:ascii="仿宋_GB2312" w:hAnsi="仿宋_GB2312" w:eastAsia="仿宋_GB2312"/>
                <w:b w:val="0"/>
                <w:color w:val="000000"/>
                <w:sz w:val="32"/>
              </w:rPr>
              <w:t>高峰紧</w:t>
            </w:r>
          </w:p>
        </w:tc>
        <w:tc>
          <w:tcPr>
            <w:tcW w:type="dxa" w:w="3118"/>
          </w:tcPr>
          <w:p>
            <w:pPr>
              <w:spacing w:lineRule="exact" w:line="600"/>
              <w:jc w:val="center"/>
            </w:pPr>
            <w:r/>
            <w:r>
              <w:rPr>
                <w:rFonts w:ascii="仿宋_GB2312" w:hAnsi="仿宋_GB2312" w:eastAsia="仿宋_GB2312"/>
                <w:b w:val="0"/>
                <w:color w:val="000000"/>
                <w:sz w:val="32"/>
              </w:rPr>
              <w:t>瓶颈</w:t>
            </w:r>
          </w:p>
        </w:tc>
      </w:tr>
      <w:tr>
        <w:tc>
          <w:tcPr>
            <w:tcW w:type="dxa" w:w="2551"/>
          </w:tcPr>
          <w:p>
            <w:pPr>
              <w:spacing w:lineRule="exact" w:line="600"/>
              <w:jc w:val="center"/>
            </w:pPr>
            <w:r/>
            <w:r>
              <w:rPr>
                <w:rFonts w:ascii="仿宋_GB2312" w:hAnsi="仿宋_GB2312" w:eastAsia="仿宋_GB2312"/>
                <w:b w:val="0"/>
                <w:color w:val="000000"/>
                <w:sz w:val="32"/>
              </w:rPr>
              <w:t>汇率</w:t>
            </w:r>
          </w:p>
        </w:tc>
        <w:tc>
          <w:tcPr>
            <w:tcW w:type="dxa" w:w="3402"/>
          </w:tcPr>
          <w:p>
            <w:pPr>
              <w:spacing w:lineRule="exact" w:line="600"/>
              <w:jc w:val="center"/>
            </w:pPr>
            <w:r/>
            <w:r>
              <w:rPr>
                <w:rFonts w:ascii="仿宋_GB2312" w:hAnsi="仿宋_GB2312" w:eastAsia="仿宋_GB2312"/>
                <w:b w:val="0"/>
                <w:color w:val="000000"/>
                <w:sz w:val="32"/>
              </w:rPr>
              <w:t>贸易</w:t>
            </w:r>
          </w:p>
        </w:tc>
        <w:tc>
          <w:tcPr>
            <w:tcW w:type="dxa" w:w="3118"/>
          </w:tcPr>
          <w:p>
            <w:pPr>
              <w:spacing w:lineRule="exact" w:line="600"/>
              <w:jc w:val="center"/>
            </w:pPr>
            <w:r/>
            <w:r>
              <w:rPr>
                <w:rFonts w:ascii="仿宋_GB2312" w:hAnsi="仿宋_GB2312" w:eastAsia="仿宋_GB2312"/>
                <w:b w:val="0"/>
                <w:color w:val="000000"/>
                <w:sz w:val="32"/>
              </w:rPr>
              <w:t>扰动</w:t>
            </w:r>
          </w:p>
        </w:tc>
      </w:tr>
    </w:tbl>
    <w:p>
      <w:pPr>
        <w:spacing w:lineRule="exact" w:line="600" w:before="120" w:after="120"/>
        <w:ind w:firstLine="420"/>
        <w:jc w:val="left"/>
      </w:pPr>
      <w:r>
        <w:rPr>
          <w:rFonts w:ascii="楷体_GB2312" w:hAnsi="楷体_GB2312" w:eastAsia="楷体_GB2312"/>
          <w:b w:val="0"/>
          <w:color w:val="000000"/>
          <w:sz w:val="32"/>
        </w:rPr>
        <w:t>（三）风险因素</w:t>
      </w:r>
    </w:p>
    <w:p>
      <w:pPr>
        <w:spacing w:lineRule="exact" w:line="600" w:before="0" w:after="0"/>
        <w:ind w:firstLine="420"/>
        <w:jc w:val="both"/>
      </w:pPr>
      <w:r>
        <w:rPr>
          <w:rFonts w:ascii="仿宋_GB2312" w:hAnsi="仿宋_GB2312" w:eastAsia="仿宋_GB2312"/>
          <w:b w:val="0"/>
          <w:color w:val="000000"/>
          <w:sz w:val="32"/>
        </w:rPr>
        <w:t>风险包括：冷链断链质量与食安风险、跨境政策与汇率风险、大客户账期与集中风险、能源价格风险。建议以全程溯源、海外仓分散、客户多元与套期缓释。此外，预制菜舆情与「预制菜」标签争议可能波及冷链与出口需求预期，需以透明溯源与标准合规稳定下游信心；极端天气与季节性高峰亦考验冷库与运力弹性，应建立应急调度与多点仓储预案。</w:t>
      </w:r>
    </w:p>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（一）冷链网络共享</w:t>
      </w:r>
    </w:p>
    <w:p>
      <w:pPr>
        <w:spacing w:lineRule="exact" w:line="600" w:before="0" w:after="0"/>
        <w:ind w:firstLine="420"/>
        <w:jc w:val="both"/>
      </w:pPr>
      <w:r>
        <w:rPr>
          <w:rFonts w:ascii="仿宋_GB2312" w:hAnsi="仿宋_GB2312" w:eastAsia="仿宋_GB2312"/>
          <w:b w:val="0"/>
          <w:color w:val="000000"/>
          <w:sz w:val="32"/>
        </w:rPr>
        <w:t>路径为建区域冷链集配中心与共享冷库，提升三方渗透率、平抑高峰缺口。诸城可依托食品公共平台整合冷库与运力，以「自营+共享」降低中小企流通成本，支撑集群扩容。</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升级方向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价值</w:t>
            </w:r>
          </w:p>
        </w:tc>
      </w:tr>
      <w:tr>
        <w:tc>
          <w:tcPr>
            <w:tcW w:type="dxa" w:w="2835"/>
          </w:tcPr>
          <w:p>
            <w:pPr>
              <w:spacing w:lineRule="exact" w:line="600"/>
              <w:jc w:val="center"/>
            </w:pPr>
            <w:r/>
            <w:r>
              <w:rPr>
                <w:rFonts w:ascii="仿宋_GB2312" w:hAnsi="仿宋_GB2312" w:eastAsia="仿宋_GB2312"/>
                <w:b w:val="0"/>
                <w:color w:val="000000"/>
                <w:sz w:val="32"/>
              </w:rPr>
              <w:t>集配中心</w:t>
            </w:r>
          </w:p>
        </w:tc>
        <w:tc>
          <w:tcPr>
            <w:tcW w:type="dxa" w:w="3402"/>
          </w:tcPr>
          <w:p>
            <w:pPr>
              <w:spacing w:lineRule="exact" w:line="600"/>
              <w:jc w:val="center"/>
            </w:pPr>
            <w:r/>
            <w:r>
              <w:rPr>
                <w:rFonts w:ascii="仿宋_GB2312" w:hAnsi="仿宋_GB2312" w:eastAsia="仿宋_GB2312"/>
                <w:b w:val="0"/>
                <w:color w:val="000000"/>
                <w:sz w:val="32"/>
              </w:rPr>
              <w:t>区域</w:t>
            </w:r>
          </w:p>
        </w:tc>
        <w:tc>
          <w:tcPr>
            <w:tcW w:type="dxa" w:w="2835"/>
          </w:tcPr>
          <w:p>
            <w:pPr>
              <w:spacing w:lineRule="exact" w:line="600"/>
              <w:jc w:val="center"/>
            </w:pPr>
            <w:r/>
            <w:r>
              <w:rPr>
                <w:rFonts w:ascii="仿宋_GB2312" w:hAnsi="仿宋_GB2312" w:eastAsia="仿宋_GB2312"/>
                <w:b w:val="0"/>
                <w:color w:val="000000"/>
                <w:sz w:val="32"/>
              </w:rPr>
              <w:t>补短板</w:t>
            </w:r>
          </w:p>
        </w:tc>
      </w:tr>
      <w:tr>
        <w:tc>
          <w:tcPr>
            <w:tcW w:type="dxa" w:w="2835"/>
          </w:tcPr>
          <w:p>
            <w:pPr>
              <w:spacing w:lineRule="exact" w:line="600"/>
              <w:jc w:val="center"/>
            </w:pPr>
            <w:r/>
            <w:r>
              <w:rPr>
                <w:rFonts w:ascii="仿宋_GB2312" w:hAnsi="仿宋_GB2312" w:eastAsia="仿宋_GB2312"/>
                <w:b w:val="0"/>
                <w:color w:val="000000"/>
                <w:sz w:val="32"/>
              </w:rPr>
              <w:t>共享冷库</w:t>
            </w:r>
          </w:p>
        </w:tc>
        <w:tc>
          <w:tcPr>
            <w:tcW w:type="dxa" w:w="3402"/>
          </w:tcPr>
          <w:p>
            <w:pPr>
              <w:spacing w:lineRule="exact" w:line="600"/>
              <w:jc w:val="center"/>
            </w:pPr>
            <w:r/>
            <w:r>
              <w:rPr>
                <w:rFonts w:ascii="仿宋_GB2312" w:hAnsi="仿宋_GB2312" w:eastAsia="仿宋_GB2312"/>
                <w:b w:val="0"/>
                <w:color w:val="000000"/>
                <w:sz w:val="32"/>
              </w:rPr>
              <w:t>整合</w:t>
            </w:r>
          </w:p>
        </w:tc>
        <w:tc>
          <w:tcPr>
            <w:tcW w:type="dxa" w:w="2835"/>
          </w:tcPr>
          <w:p>
            <w:pPr>
              <w:spacing w:lineRule="exact" w:line="600"/>
              <w:jc w:val="center"/>
            </w:pPr>
            <w:r/>
            <w:r>
              <w:rPr>
                <w:rFonts w:ascii="仿宋_GB2312" w:hAnsi="仿宋_GB2312" w:eastAsia="仿宋_GB2312"/>
                <w:b w:val="0"/>
                <w:color w:val="000000"/>
                <w:sz w:val="32"/>
              </w:rPr>
              <w:t>降本</w:t>
            </w:r>
          </w:p>
        </w:tc>
      </w:tr>
      <w:tr>
        <w:tc>
          <w:tcPr>
            <w:tcW w:type="dxa" w:w="2835"/>
          </w:tcPr>
          <w:p>
            <w:pPr>
              <w:spacing w:lineRule="exact" w:line="600"/>
              <w:jc w:val="center"/>
            </w:pPr>
            <w:r/>
            <w:r>
              <w:rPr>
                <w:rFonts w:ascii="仿宋_GB2312" w:hAnsi="仿宋_GB2312" w:eastAsia="仿宋_GB2312"/>
                <w:b w:val="0"/>
                <w:color w:val="000000"/>
                <w:sz w:val="32"/>
              </w:rPr>
              <w:t>三方</w:t>
            </w:r>
          </w:p>
        </w:tc>
        <w:tc>
          <w:tcPr>
            <w:tcW w:type="dxa" w:w="3402"/>
          </w:tcPr>
          <w:p>
            <w:pPr>
              <w:spacing w:lineRule="exact" w:line="600"/>
              <w:jc w:val="center"/>
            </w:pPr>
            <w:r/>
            <w:r>
              <w:rPr>
                <w:rFonts w:ascii="仿宋_GB2312" w:hAnsi="仿宋_GB2312" w:eastAsia="仿宋_GB2312"/>
                <w:b w:val="0"/>
                <w:color w:val="000000"/>
                <w:sz w:val="32"/>
              </w:rPr>
              <w:t>提升</w:t>
            </w:r>
          </w:p>
        </w:tc>
        <w:tc>
          <w:tcPr>
            <w:tcW w:type="dxa" w:w="2835"/>
          </w:tcPr>
          <w:p>
            <w:pPr>
              <w:spacing w:lineRule="exact" w:line="600"/>
              <w:jc w:val="center"/>
            </w:pPr>
            <w:r/>
            <w:r>
              <w:rPr>
                <w:rFonts w:ascii="仿宋_GB2312" w:hAnsi="仿宋_GB2312" w:eastAsia="仿宋_GB2312"/>
                <w:b w:val="0"/>
                <w:color w:val="000000"/>
                <w:sz w:val="32"/>
              </w:rPr>
              <w:t>渗透</w:t>
            </w:r>
          </w:p>
        </w:tc>
      </w:tr>
      <w:tr>
        <w:tc>
          <w:tcPr>
            <w:tcW w:type="dxa" w:w="2835"/>
          </w:tcPr>
          <w:p>
            <w:pPr>
              <w:spacing w:lineRule="exact" w:line="600"/>
              <w:jc w:val="center"/>
            </w:pPr>
            <w:r/>
            <w:r>
              <w:rPr>
                <w:rFonts w:ascii="仿宋_GB2312" w:hAnsi="仿宋_GB2312" w:eastAsia="仿宋_GB2312"/>
                <w:b w:val="0"/>
                <w:color w:val="000000"/>
                <w:sz w:val="32"/>
              </w:rPr>
              <w:t>平台</w:t>
            </w:r>
          </w:p>
        </w:tc>
        <w:tc>
          <w:tcPr>
            <w:tcW w:type="dxa" w:w="3402"/>
          </w:tcPr>
          <w:p>
            <w:pPr>
              <w:spacing w:lineRule="exact" w:line="600"/>
              <w:jc w:val="center"/>
            </w:pPr>
            <w:r/>
            <w:r>
              <w:rPr>
                <w:rFonts w:ascii="仿宋_GB2312" w:hAnsi="仿宋_GB2312" w:eastAsia="仿宋_GB2312"/>
                <w:b w:val="0"/>
                <w:color w:val="000000"/>
                <w:sz w:val="32"/>
              </w:rPr>
              <w:t>公共</w:t>
            </w:r>
          </w:p>
        </w:tc>
        <w:tc>
          <w:tcPr>
            <w:tcW w:type="dxa" w:w="2835"/>
          </w:tcPr>
          <w:p>
            <w:pPr>
              <w:spacing w:lineRule="exact" w:line="600"/>
              <w:jc w:val="center"/>
            </w:pPr>
            <w:r/>
            <w:r>
              <w:rPr>
                <w:rFonts w:ascii="仿宋_GB2312" w:hAnsi="仿宋_GB2312" w:eastAsia="仿宋_GB2312"/>
                <w:b w:val="0"/>
                <w:color w:val="000000"/>
                <w:sz w:val="32"/>
              </w:rPr>
              <w:t>支撑</w:t>
            </w:r>
          </w:p>
        </w:tc>
      </w:tr>
    </w:tbl>
    <w:p>
      <w:pPr>
        <w:spacing w:lineRule="exact" w:line="600" w:before="120" w:after="120"/>
        <w:ind w:firstLine="420"/>
        <w:jc w:val="left"/>
      </w:pPr>
      <w:r>
        <w:rPr>
          <w:rFonts w:ascii="楷体_GB2312" w:hAnsi="楷体_GB2312" w:eastAsia="楷体_GB2312"/>
          <w:b w:val="0"/>
          <w:color w:val="000000"/>
          <w:sz w:val="32"/>
        </w:rPr>
        <w:t>（二）出口市场多元</w:t>
      </w:r>
    </w:p>
    <w:p>
      <w:pPr>
        <w:spacing w:lineRule="exact" w:line="600" w:before="0" w:after="0"/>
        <w:ind w:firstLine="420"/>
        <w:jc w:val="both"/>
      </w:pPr>
      <w:r>
        <w:rPr>
          <w:rFonts w:ascii="仿宋_GB2312" w:hAnsi="仿宋_GB2312" w:eastAsia="仿宋_GB2312"/>
          <w:b w:val="0"/>
          <w:color w:val="000000"/>
          <w:sz w:val="32"/>
        </w:rPr>
        <w:t>巩固日韩近岸优势，拓展RCEP东南亚与跨境电商，分散单一市场风险。以合规能力（检疫、标签、跨境冷链）构建壁垒，借山东出口通道扩大诸城食品全球份额。</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路径</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目标</w:t>
            </w:r>
          </w:p>
        </w:tc>
      </w:tr>
      <w:tr>
        <w:tc>
          <w:tcPr>
            <w:tcW w:type="dxa" w:w="2835"/>
          </w:tcPr>
          <w:p>
            <w:pPr>
              <w:spacing w:lineRule="exact" w:line="600"/>
              <w:jc w:val="center"/>
            </w:pPr>
            <w:r/>
            <w:r>
              <w:rPr>
                <w:rFonts w:ascii="仿宋_GB2312" w:hAnsi="仿宋_GB2312" w:eastAsia="仿宋_GB2312"/>
                <w:b w:val="0"/>
                <w:color w:val="000000"/>
                <w:sz w:val="32"/>
              </w:rPr>
              <w:t>日韩</w:t>
            </w:r>
          </w:p>
        </w:tc>
        <w:tc>
          <w:tcPr>
            <w:tcW w:type="dxa" w:w="3402"/>
          </w:tcPr>
          <w:p>
            <w:pPr>
              <w:spacing w:lineRule="exact" w:line="600"/>
              <w:jc w:val="center"/>
            </w:pPr>
            <w:r/>
            <w:r>
              <w:rPr>
                <w:rFonts w:ascii="仿宋_GB2312" w:hAnsi="仿宋_GB2312" w:eastAsia="仿宋_GB2312"/>
                <w:b w:val="0"/>
                <w:color w:val="000000"/>
                <w:sz w:val="32"/>
              </w:rPr>
              <w:t>近岸</w:t>
            </w:r>
          </w:p>
        </w:tc>
        <w:tc>
          <w:tcPr>
            <w:tcW w:type="dxa" w:w="2835"/>
          </w:tcPr>
          <w:p>
            <w:pPr>
              <w:spacing w:lineRule="exact" w:line="600"/>
              <w:jc w:val="center"/>
            </w:pPr>
            <w:r/>
            <w:r>
              <w:rPr>
                <w:rFonts w:ascii="仿宋_GB2312" w:hAnsi="仿宋_GB2312" w:eastAsia="仿宋_GB2312"/>
                <w:b w:val="0"/>
                <w:color w:val="000000"/>
                <w:sz w:val="32"/>
              </w:rPr>
              <w:t>巩固</w:t>
            </w:r>
          </w:p>
        </w:tc>
      </w:tr>
      <w:tr>
        <w:tc>
          <w:tcPr>
            <w:tcW w:type="dxa" w:w="2835"/>
          </w:tcPr>
          <w:p>
            <w:pPr>
              <w:spacing w:lineRule="exact" w:line="600"/>
              <w:jc w:val="center"/>
            </w:pPr>
            <w:r/>
            <w:r>
              <w:rPr>
                <w:rFonts w:ascii="仿宋_GB2312" w:hAnsi="仿宋_GB2312" w:eastAsia="仿宋_GB2312"/>
                <w:b w:val="0"/>
                <w:color w:val="000000"/>
                <w:sz w:val="32"/>
              </w:rPr>
              <w:t>东南亚</w:t>
            </w:r>
          </w:p>
        </w:tc>
        <w:tc>
          <w:tcPr>
            <w:tcW w:type="dxa" w:w="3402"/>
          </w:tcPr>
          <w:p>
            <w:pPr>
              <w:spacing w:lineRule="exact" w:line="600"/>
              <w:jc w:val="center"/>
            </w:pPr>
            <w:r/>
            <w:r>
              <w:rPr>
                <w:rFonts w:ascii="仿宋_GB2312" w:hAnsi="仿宋_GB2312" w:eastAsia="仿宋_GB2312"/>
                <w:b w:val="0"/>
                <w:color w:val="000000"/>
                <w:sz w:val="32"/>
              </w:rPr>
              <w:t>RCEP</w:t>
            </w:r>
          </w:p>
        </w:tc>
        <w:tc>
          <w:tcPr>
            <w:tcW w:type="dxa" w:w="2835"/>
          </w:tcPr>
          <w:p>
            <w:pPr>
              <w:spacing w:lineRule="exact" w:line="600"/>
              <w:jc w:val="center"/>
            </w:pPr>
            <w:r/>
            <w:r>
              <w:rPr>
                <w:rFonts w:ascii="仿宋_GB2312" w:hAnsi="仿宋_GB2312" w:eastAsia="仿宋_GB2312"/>
                <w:b w:val="0"/>
                <w:color w:val="000000"/>
                <w:sz w:val="32"/>
              </w:rPr>
              <w:t>拓展</w:t>
            </w:r>
          </w:p>
        </w:tc>
      </w:tr>
      <w:tr>
        <w:tc>
          <w:tcPr>
            <w:tcW w:type="dxa" w:w="2835"/>
          </w:tcPr>
          <w:p>
            <w:pPr>
              <w:spacing w:lineRule="exact" w:line="600"/>
              <w:jc w:val="center"/>
            </w:pPr>
            <w:r/>
            <w:r>
              <w:rPr>
                <w:rFonts w:ascii="仿宋_GB2312" w:hAnsi="仿宋_GB2312" w:eastAsia="仿宋_GB2312"/>
                <w:b w:val="0"/>
                <w:color w:val="000000"/>
                <w:sz w:val="32"/>
              </w:rPr>
              <w:t>跨境</w:t>
            </w:r>
          </w:p>
        </w:tc>
        <w:tc>
          <w:tcPr>
            <w:tcW w:type="dxa" w:w="3402"/>
          </w:tcPr>
          <w:p>
            <w:pPr>
              <w:spacing w:lineRule="exact" w:line="600"/>
              <w:jc w:val="center"/>
            </w:pPr>
            <w:r/>
            <w:r>
              <w:rPr>
                <w:rFonts w:ascii="仿宋_GB2312" w:hAnsi="仿宋_GB2312" w:eastAsia="仿宋_GB2312"/>
                <w:b w:val="0"/>
                <w:color w:val="000000"/>
                <w:sz w:val="32"/>
              </w:rPr>
              <w:t>电商</w:t>
            </w:r>
          </w:p>
        </w:tc>
        <w:tc>
          <w:tcPr>
            <w:tcW w:type="dxa" w:w="2835"/>
          </w:tcPr>
          <w:p>
            <w:pPr>
              <w:spacing w:lineRule="exact" w:line="600"/>
              <w:jc w:val="center"/>
            </w:pPr>
            <w:r/>
            <w:r>
              <w:rPr>
                <w:rFonts w:ascii="仿宋_GB2312" w:hAnsi="仿宋_GB2312" w:eastAsia="仿宋_GB2312"/>
                <w:b w:val="0"/>
                <w:color w:val="000000"/>
                <w:sz w:val="32"/>
              </w:rPr>
              <w:t>增量</w:t>
            </w:r>
          </w:p>
        </w:tc>
      </w:tr>
      <w:tr>
        <w:tc>
          <w:tcPr>
            <w:tcW w:type="dxa" w:w="2835"/>
          </w:tcPr>
          <w:p>
            <w:pPr>
              <w:spacing w:lineRule="exact" w:line="600"/>
              <w:jc w:val="center"/>
            </w:pPr>
            <w:r/>
            <w:r>
              <w:rPr>
                <w:rFonts w:ascii="仿宋_GB2312" w:hAnsi="仿宋_GB2312" w:eastAsia="仿宋_GB2312"/>
                <w:b w:val="0"/>
                <w:color w:val="000000"/>
                <w:sz w:val="32"/>
              </w:rPr>
              <w:t>合规</w:t>
            </w:r>
          </w:p>
        </w:tc>
        <w:tc>
          <w:tcPr>
            <w:tcW w:type="dxa" w:w="3402"/>
          </w:tcPr>
          <w:p>
            <w:pPr>
              <w:spacing w:lineRule="exact" w:line="600"/>
              <w:jc w:val="center"/>
            </w:pPr>
            <w:r/>
            <w:r>
              <w:rPr>
                <w:rFonts w:ascii="仿宋_GB2312" w:hAnsi="仿宋_GB2312" w:eastAsia="仿宋_GB2312"/>
                <w:b w:val="0"/>
                <w:color w:val="000000"/>
                <w:sz w:val="32"/>
              </w:rPr>
              <w:t>壁垒</w:t>
            </w:r>
          </w:p>
        </w:tc>
        <w:tc>
          <w:tcPr>
            <w:tcW w:type="dxa" w:w="2835"/>
          </w:tcPr>
          <w:p>
            <w:pPr>
              <w:spacing w:lineRule="exact" w:line="600"/>
              <w:jc w:val="center"/>
            </w:pPr>
            <w:r/>
            <w:r>
              <w:rPr>
                <w:rFonts w:ascii="仿宋_GB2312" w:hAnsi="仿宋_GB2312" w:eastAsia="仿宋_GB2312"/>
                <w:b w:val="0"/>
                <w:color w:val="000000"/>
                <w:sz w:val="32"/>
              </w:rPr>
              <w:t>份额</w:t>
            </w:r>
          </w:p>
        </w:tc>
      </w:tr>
    </w:tbl>
    <w:p>
      <w:pPr>
        <w:spacing w:lineRule="exact" w:line="600" w:before="120" w:after="120"/>
        <w:ind w:firstLine="420"/>
        <w:jc w:val="left"/>
      </w:pPr>
      <w:r>
        <w:rPr>
          <w:rFonts w:ascii="楷体_GB2312" w:hAnsi="楷体_GB2312" w:eastAsia="楷体_GB2312"/>
          <w:b w:val="0"/>
          <w:color w:val="000000"/>
          <w:sz w:val="32"/>
        </w:rPr>
        <w:t>（三）数智与绿色流通</w:t>
      </w:r>
    </w:p>
    <w:p>
      <w:pPr>
        <w:spacing w:lineRule="exact" w:line="600" w:before="0" w:after="0"/>
        <w:ind w:firstLine="420"/>
        <w:jc w:val="both"/>
      </w:pPr>
      <w:r>
        <w:rPr>
          <w:rFonts w:ascii="仿宋_GB2312" w:hAnsi="仿宋_GB2312" w:eastAsia="仿宋_GB2312"/>
          <w:b w:val="0"/>
          <w:color w:val="000000"/>
          <w:sz w:val="32"/>
        </w:rPr>
        <w:t>以冷链云平台与区块链溯源提效降损，推进节能制冷与绿色包材，契合双碳与食安。数智化是流通环节降本与信任升级的核心。诸城可依托食品产业数字化基础，建设覆盖「冷库—运输—终端」的温控数据中台，实现断链自动预警与能耗优化；推广可循环保温箱与降解包材降低一次性耗材，响应绿色流通导向，提升出口与品牌溢价。</w:t>
      </w:r>
    </w:p>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（一）冷链基建融资</w:t>
      </w:r>
    </w:p>
    <w:p>
      <w:pPr>
        <w:spacing w:lineRule="exact" w:line="600" w:before="0" w:after="0"/>
        <w:ind w:firstLine="420"/>
        <w:jc w:val="both"/>
      </w:pPr>
      <w:r>
        <w:rPr>
          <w:rFonts w:ascii="仿宋_GB2312" w:hAnsi="仿宋_GB2312" w:eastAsia="仿宋_GB2312"/>
          <w:b w:val="0"/>
          <w:color w:val="000000"/>
          <w:sz w:val="32"/>
        </w:rPr>
        <w:t>区域冷库、集配中心与冷藏车队建设需重资产投入，适合项目贷款、基础设施REITs、绿色金融与专项债配套。龙头企业可授信自建；中小企业借冷链融资租赁与政银担降低门槛。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方式</w:t>
            </w:r>
          </w:p>
        </w:tc>
      </w:tr>
      <w:tr>
        <w:tc>
          <w:tcPr>
            <w:tcW w:type="dxa" w:w="2835"/>
          </w:tcPr>
          <w:p>
            <w:pPr>
              <w:spacing w:lineRule="exact" w:line="600"/>
              <w:jc w:val="center"/>
            </w:pPr>
            <w:r/>
            <w:r>
              <w:rPr>
                <w:rFonts w:ascii="仿宋_GB2312" w:hAnsi="仿宋_GB2312" w:eastAsia="仿宋_GB2312"/>
                <w:b w:val="0"/>
                <w:color w:val="000000"/>
                <w:sz w:val="32"/>
              </w:rPr>
              <w:t>冷库</w:t>
            </w:r>
          </w:p>
        </w:tc>
        <w:tc>
          <w:tcPr>
            <w:tcW w:type="dxa" w:w="3402"/>
          </w:tcPr>
          <w:p>
            <w:pPr>
              <w:spacing w:lineRule="exact" w:line="600"/>
              <w:jc w:val="center"/>
            </w:pPr>
            <w:r/>
            <w:r>
              <w:rPr>
                <w:rFonts w:ascii="仿宋_GB2312" w:hAnsi="仿宋_GB2312" w:eastAsia="仿宋_GB2312"/>
                <w:b w:val="0"/>
                <w:color w:val="000000"/>
                <w:sz w:val="32"/>
              </w:rPr>
              <w:t>集配中心</w:t>
            </w:r>
          </w:p>
        </w:tc>
        <w:tc>
          <w:tcPr>
            <w:tcW w:type="dxa" w:w="2835"/>
          </w:tcPr>
          <w:p>
            <w:pPr>
              <w:spacing w:lineRule="exact" w:line="600"/>
              <w:jc w:val="center"/>
            </w:pPr>
            <w:r/>
            <w:r>
              <w:rPr>
                <w:rFonts w:ascii="仿宋_GB2312" w:hAnsi="仿宋_GB2312" w:eastAsia="仿宋_GB2312"/>
                <w:b w:val="0"/>
                <w:color w:val="000000"/>
                <w:sz w:val="32"/>
              </w:rPr>
              <w:t>项目贷</w:t>
            </w:r>
          </w:p>
        </w:tc>
      </w:tr>
      <w:tr>
        <w:tc>
          <w:tcPr>
            <w:tcW w:type="dxa" w:w="2835"/>
          </w:tcPr>
          <w:p>
            <w:pPr>
              <w:spacing w:lineRule="exact" w:line="600"/>
              <w:jc w:val="center"/>
            </w:pPr>
            <w:r/>
            <w:r>
              <w:rPr>
                <w:rFonts w:ascii="仿宋_GB2312" w:hAnsi="仿宋_GB2312" w:eastAsia="仿宋_GB2312"/>
                <w:b w:val="0"/>
                <w:color w:val="000000"/>
                <w:sz w:val="32"/>
              </w:rPr>
              <w:t>车队</w:t>
            </w:r>
          </w:p>
        </w:tc>
        <w:tc>
          <w:tcPr>
            <w:tcW w:type="dxa" w:w="3402"/>
          </w:tcPr>
          <w:p>
            <w:pPr>
              <w:spacing w:lineRule="exact" w:line="600"/>
              <w:jc w:val="center"/>
            </w:pPr>
            <w:r/>
            <w:r>
              <w:rPr>
                <w:rFonts w:ascii="仿宋_GB2312" w:hAnsi="仿宋_GB2312" w:eastAsia="仿宋_GB2312"/>
                <w:b w:val="0"/>
                <w:color w:val="000000"/>
                <w:sz w:val="32"/>
              </w:rPr>
              <w:t>冷藏车</w:t>
            </w:r>
          </w:p>
        </w:tc>
        <w:tc>
          <w:tcPr>
            <w:tcW w:type="dxa" w:w="2835"/>
          </w:tcPr>
          <w:p>
            <w:pPr>
              <w:spacing w:lineRule="exact" w:line="600"/>
              <w:jc w:val="center"/>
            </w:pPr>
            <w:r/>
            <w:r>
              <w:rPr>
                <w:rFonts w:ascii="仿宋_GB2312" w:hAnsi="仿宋_GB2312" w:eastAsia="仿宋_GB2312"/>
                <w:b w:val="0"/>
                <w:color w:val="000000"/>
                <w:sz w:val="32"/>
              </w:rPr>
              <w:t>融资租赁</w:t>
            </w:r>
          </w:p>
        </w:tc>
      </w:tr>
      <w:tr>
        <w:tc>
          <w:tcPr>
            <w:tcW w:type="dxa" w:w="2835"/>
          </w:tcPr>
          <w:p>
            <w:pPr>
              <w:spacing w:lineRule="exact" w:line="600"/>
              <w:jc w:val="center"/>
            </w:pPr>
            <w:r/>
            <w:r>
              <w:rPr>
                <w:rFonts w:ascii="仿宋_GB2312" w:hAnsi="仿宋_GB2312" w:eastAsia="仿宋_GB2312"/>
                <w:b w:val="0"/>
                <w:color w:val="000000"/>
                <w:sz w:val="32"/>
              </w:rPr>
              <w:t>绿色</w:t>
            </w:r>
          </w:p>
        </w:tc>
        <w:tc>
          <w:tcPr>
            <w:tcW w:type="dxa" w:w="3402"/>
          </w:tcPr>
          <w:p>
            <w:pPr>
              <w:spacing w:lineRule="exact" w:line="600"/>
              <w:jc w:val="center"/>
            </w:pPr>
            <w:r/>
            <w:r>
              <w:rPr>
                <w:rFonts w:ascii="仿宋_GB2312" w:hAnsi="仿宋_GB2312" w:eastAsia="仿宋_GB2312"/>
                <w:b w:val="0"/>
                <w:color w:val="000000"/>
                <w:sz w:val="32"/>
              </w:rPr>
              <w:t>节能</w:t>
            </w:r>
          </w:p>
        </w:tc>
        <w:tc>
          <w:tcPr>
            <w:tcW w:type="dxa" w:w="2835"/>
          </w:tcPr>
          <w:p>
            <w:pPr>
              <w:spacing w:lineRule="exact" w:line="600"/>
              <w:jc w:val="center"/>
            </w:pPr>
            <w:r/>
            <w:r>
              <w:rPr>
                <w:rFonts w:ascii="仿宋_GB2312" w:hAnsi="仿宋_GB2312" w:eastAsia="仿宋_GB2312"/>
                <w:b w:val="0"/>
                <w:color w:val="000000"/>
                <w:sz w:val="32"/>
              </w:rPr>
              <w:t>绿色金融</w:t>
            </w:r>
          </w:p>
        </w:tc>
      </w:tr>
      <w:tr>
        <w:tc>
          <w:tcPr>
            <w:tcW w:type="dxa" w:w="2835"/>
          </w:tcPr>
          <w:p>
            <w:pPr>
              <w:spacing w:lineRule="exact" w:line="600"/>
              <w:jc w:val="center"/>
            </w:pPr>
            <w:r/>
            <w:r>
              <w:rPr>
                <w:rFonts w:ascii="仿宋_GB2312" w:hAnsi="仿宋_GB2312" w:eastAsia="仿宋_GB2312"/>
                <w:b w:val="0"/>
                <w:color w:val="000000"/>
                <w:sz w:val="32"/>
              </w:rPr>
              <w:t>中小</w:t>
            </w:r>
          </w:p>
        </w:tc>
        <w:tc>
          <w:tcPr>
            <w:tcW w:type="dxa" w:w="3402"/>
          </w:tcPr>
          <w:p>
            <w:pPr>
              <w:spacing w:lineRule="exact" w:line="600"/>
              <w:jc w:val="center"/>
            </w:pPr>
            <w:r/>
            <w:r>
              <w:rPr>
                <w:rFonts w:ascii="仿宋_GB2312" w:hAnsi="仿宋_GB2312" w:eastAsia="仿宋_GB2312"/>
                <w:b w:val="0"/>
                <w:color w:val="000000"/>
                <w:sz w:val="32"/>
              </w:rPr>
              <w:t>门槛</w:t>
            </w:r>
          </w:p>
        </w:tc>
        <w:tc>
          <w:tcPr>
            <w:tcW w:type="dxa" w:w="2835"/>
          </w:tcPr>
          <w:p>
            <w:pPr>
              <w:spacing w:lineRule="exact" w:line="600"/>
              <w:jc w:val="center"/>
            </w:pPr>
            <w:r/>
            <w:r>
              <w:rPr>
                <w:rFonts w:ascii="仿宋_GB2312" w:hAnsi="仿宋_GB2312" w:eastAsia="仿宋_GB2312"/>
                <w:b w:val="0"/>
                <w:color w:val="000000"/>
                <w:sz w:val="32"/>
              </w:rPr>
              <w:t>政银担</w:t>
            </w:r>
          </w:p>
        </w:tc>
      </w:tr>
    </w:tbl>
    <w:p>
      <w:pPr>
        <w:spacing w:lineRule="exact" w:line="600" w:before="120" w:after="120"/>
        <w:ind w:firstLine="420"/>
        <w:jc w:val="left"/>
      </w:pPr>
      <w:r>
        <w:rPr>
          <w:rFonts w:ascii="楷体_GB2312" w:hAnsi="楷体_GB2312" w:eastAsia="楷体_GB2312"/>
          <w:b w:val="0"/>
          <w:color w:val="000000"/>
          <w:sz w:val="32"/>
        </w:rPr>
        <w:t>（二）出口与供应链金融</w:t>
      </w:r>
    </w:p>
    <w:p>
      <w:pPr>
        <w:spacing w:lineRule="exact" w:line="600" w:before="0" w:after="0"/>
        <w:ind w:firstLine="420"/>
        <w:jc w:val="both"/>
      </w:pPr>
      <w:r>
        <w:rPr>
          <w:rFonts w:ascii="仿宋_GB2312" w:hAnsi="仿宋_GB2312" w:eastAsia="仿宋_GB2312"/>
          <w:b w:val="0"/>
          <w:color w:val="000000"/>
          <w:sz w:val="32"/>
        </w:rPr>
        <w:t>出口备货、海外仓与跨境冷链需流动资金，适合出口信贷、信用证融资、应收账款与存货质押。RCEP跨境结算便利化降低汇率风险；龙头可借助供应链金融赋能配套外贸企业。</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出口</w:t>
            </w:r>
          </w:p>
        </w:tc>
        <w:tc>
          <w:tcPr>
            <w:tcW w:type="dxa" w:w="3402"/>
          </w:tcPr>
          <w:p>
            <w:pPr>
              <w:spacing w:lineRule="exact" w:line="600"/>
              <w:jc w:val="center"/>
            </w:pPr>
            <w:r/>
            <w:r>
              <w:rPr>
                <w:rFonts w:ascii="仿宋_GB2312" w:hAnsi="仿宋_GB2312" w:eastAsia="仿宋_GB2312"/>
                <w:b w:val="0"/>
                <w:color w:val="000000"/>
                <w:sz w:val="32"/>
              </w:rPr>
              <w:t>备货/海外仓</w:t>
            </w:r>
          </w:p>
        </w:tc>
        <w:tc>
          <w:tcPr>
            <w:tcW w:type="dxa" w:w="2835"/>
          </w:tcPr>
          <w:p>
            <w:pPr>
              <w:spacing w:lineRule="exact" w:line="600"/>
              <w:jc w:val="center"/>
            </w:pPr>
            <w:r/>
            <w:r>
              <w:rPr>
                <w:rFonts w:ascii="仿宋_GB2312" w:hAnsi="仿宋_GB2312" w:eastAsia="仿宋_GB2312"/>
                <w:b w:val="0"/>
                <w:color w:val="000000"/>
                <w:sz w:val="32"/>
              </w:rPr>
              <w:t>出口信贷</w:t>
            </w:r>
          </w:p>
        </w:tc>
      </w:tr>
      <w:tr>
        <w:tc>
          <w:tcPr>
            <w:tcW w:type="dxa" w:w="2835"/>
          </w:tcPr>
          <w:p>
            <w:pPr>
              <w:spacing w:lineRule="exact" w:line="600"/>
              <w:jc w:val="center"/>
            </w:pPr>
            <w:r/>
            <w:r>
              <w:rPr>
                <w:rFonts w:ascii="仿宋_GB2312" w:hAnsi="仿宋_GB2312" w:eastAsia="仿宋_GB2312"/>
                <w:b w:val="0"/>
                <w:color w:val="000000"/>
                <w:sz w:val="32"/>
              </w:rPr>
              <w:t>跨境</w:t>
            </w:r>
          </w:p>
        </w:tc>
        <w:tc>
          <w:tcPr>
            <w:tcW w:type="dxa" w:w="3402"/>
          </w:tcPr>
          <w:p>
            <w:pPr>
              <w:spacing w:lineRule="exact" w:line="600"/>
              <w:jc w:val="center"/>
            </w:pPr>
            <w:r/>
            <w:r>
              <w:rPr>
                <w:rFonts w:ascii="仿宋_GB2312" w:hAnsi="仿宋_GB2312" w:eastAsia="仿宋_GB2312"/>
                <w:b w:val="0"/>
                <w:color w:val="000000"/>
                <w:sz w:val="32"/>
              </w:rPr>
              <w:t>冷链</w:t>
            </w:r>
          </w:p>
        </w:tc>
        <w:tc>
          <w:tcPr>
            <w:tcW w:type="dxa" w:w="2835"/>
          </w:tcPr>
          <w:p>
            <w:pPr>
              <w:spacing w:lineRule="exact" w:line="600"/>
              <w:jc w:val="center"/>
            </w:pPr>
            <w:r/>
            <w:r>
              <w:rPr>
                <w:rFonts w:ascii="仿宋_GB2312" w:hAnsi="仿宋_GB2312" w:eastAsia="仿宋_GB2312"/>
                <w:b w:val="0"/>
                <w:color w:val="000000"/>
                <w:sz w:val="32"/>
              </w:rPr>
              <w:t>信用证</w:t>
            </w:r>
          </w:p>
        </w:tc>
      </w:tr>
      <w:tr>
        <w:tc>
          <w:tcPr>
            <w:tcW w:type="dxa" w:w="2835"/>
          </w:tcPr>
          <w:p>
            <w:pPr>
              <w:spacing w:lineRule="exact" w:line="600"/>
              <w:jc w:val="center"/>
            </w:pPr>
            <w:r/>
            <w:r>
              <w:rPr>
                <w:rFonts w:ascii="仿宋_GB2312" w:hAnsi="仿宋_GB2312" w:eastAsia="仿宋_GB2312"/>
                <w:b w:val="0"/>
                <w:color w:val="000000"/>
                <w:sz w:val="32"/>
              </w:rPr>
              <w:t>应收</w:t>
            </w:r>
          </w:p>
        </w:tc>
        <w:tc>
          <w:tcPr>
            <w:tcW w:type="dxa" w:w="3402"/>
          </w:tcPr>
          <w:p>
            <w:pPr>
              <w:spacing w:lineRule="exact" w:line="600"/>
              <w:jc w:val="center"/>
            </w:pPr>
            <w:r/>
            <w:r>
              <w:rPr>
                <w:rFonts w:ascii="仿宋_GB2312" w:hAnsi="仿宋_GB2312" w:eastAsia="仿宋_GB2312"/>
                <w:b w:val="0"/>
                <w:color w:val="000000"/>
                <w:sz w:val="32"/>
              </w:rPr>
              <w:t>账款</w:t>
            </w:r>
          </w:p>
        </w:tc>
        <w:tc>
          <w:tcPr>
            <w:tcW w:type="dxa" w:w="2835"/>
          </w:tcPr>
          <w:p>
            <w:pPr>
              <w:spacing w:lineRule="exact" w:line="600"/>
              <w:jc w:val="center"/>
            </w:pPr>
            <w:r/>
            <w:r>
              <w:rPr>
                <w:rFonts w:ascii="仿宋_GB2312" w:hAnsi="仿宋_GB2312" w:eastAsia="仿宋_GB2312"/>
                <w:b w:val="0"/>
                <w:color w:val="000000"/>
                <w:sz w:val="32"/>
              </w:rPr>
              <w:t>质押</w:t>
            </w:r>
          </w:p>
        </w:tc>
      </w:tr>
      <w:tr>
        <w:tc>
          <w:tcPr>
            <w:tcW w:type="dxa" w:w="2835"/>
          </w:tcPr>
          <w:p>
            <w:pPr>
              <w:spacing w:lineRule="exact" w:line="600"/>
              <w:jc w:val="center"/>
            </w:pPr>
            <w:r/>
            <w:r>
              <w:rPr>
                <w:rFonts w:ascii="仿宋_GB2312" w:hAnsi="仿宋_GB2312" w:eastAsia="仿宋_GB2312"/>
                <w:b w:val="0"/>
                <w:color w:val="000000"/>
                <w:sz w:val="32"/>
              </w:rPr>
              <w:t>存货</w:t>
            </w:r>
          </w:p>
        </w:tc>
        <w:tc>
          <w:tcPr>
            <w:tcW w:type="dxa" w:w="3402"/>
          </w:tcPr>
          <w:p>
            <w:pPr>
              <w:spacing w:lineRule="exact" w:line="600"/>
              <w:jc w:val="center"/>
            </w:pPr>
            <w:r/>
            <w:r>
              <w:rPr>
                <w:rFonts w:ascii="仿宋_GB2312" w:hAnsi="仿宋_GB2312" w:eastAsia="仿宋_GB2312"/>
                <w:b w:val="0"/>
                <w:color w:val="000000"/>
                <w:sz w:val="32"/>
              </w:rPr>
              <w:t>质押</w:t>
            </w:r>
          </w:p>
        </w:tc>
        <w:tc>
          <w:tcPr>
            <w:tcW w:type="dxa" w:w="2835"/>
          </w:tcPr>
          <w:p>
            <w:pPr>
              <w:spacing w:lineRule="exact" w:line="600"/>
              <w:jc w:val="center"/>
            </w:pPr>
            <w:r/>
            <w:r>
              <w:rPr>
                <w:rFonts w:ascii="仿宋_GB2312" w:hAnsi="仿宋_GB2312" w:eastAsia="仿宋_GB2312"/>
                <w:b w:val="0"/>
                <w:color w:val="000000"/>
                <w:sz w:val="32"/>
              </w:rPr>
              <w:t>流动</w:t>
            </w:r>
          </w:p>
        </w:tc>
      </w:tr>
    </w:tbl>
    <w:p>
      <w:pPr>
        <w:spacing w:lineRule="exact" w:line="600" w:before="120" w:after="120"/>
        <w:ind w:firstLine="420"/>
        <w:jc w:val="left"/>
      </w:pPr>
      <w:r>
        <w:rPr>
          <w:rFonts w:ascii="楷体_GB2312" w:hAnsi="楷体_GB2312" w:eastAsia="楷体_GB2312"/>
          <w:b w:val="0"/>
          <w:color w:val="000000"/>
          <w:sz w:val="32"/>
        </w:rPr>
        <w:t>（三）数智化改造</w:t>
      </w:r>
    </w:p>
    <w:p>
      <w:pPr>
        <w:spacing w:lineRule="exact" w:line="600" w:before="0" w:after="0"/>
        <w:ind w:firstLine="420"/>
        <w:jc w:val="both"/>
      </w:pPr>
      <w:r>
        <w:rPr>
          <w:rFonts w:ascii="仿宋_GB2312" w:hAnsi="仿宋_GB2312" w:eastAsia="仿宋_GB2312"/>
          <w:b w:val="0"/>
          <w:color w:val="000000"/>
          <w:sz w:val="32"/>
        </w:rPr>
        <w:t>冷链云平台、温控物联网与溯源系统建设符合数字农业导向，适合数字化转型贷款与知识产权质押。中小企业以轻资产借助平台服务与数据融资缓解资金压力。</w:t>
      </w:r>
    </w:p>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得利斯股份有限公司（002330）：诸城食品冷链与流通链主之一，建立覆盖经销与直销的冷链配送网络，服务餐饮供应链与商超电商，保障低温肉制品与预制菜鲜度与时效。2023年营收30.92亿元。来源：2023年年报、诸城市公开报道。</w:t>
      </w:r>
    </w:p>
    <w:p>
      <w:pPr>
        <w:spacing w:lineRule="exact" w:line="600" w:before="0" w:after="0"/>
        <w:ind w:firstLine="420"/>
        <w:jc w:val="both"/>
      </w:pPr>
      <w:r>
        <w:rPr>
          <w:rFonts w:ascii="仿宋_GB2312" w:hAnsi="仿宋_GB2312" w:eastAsia="仿宋_GB2312"/>
          <w:b w:val="0"/>
          <w:color w:val="000000"/>
          <w:sz w:val="32"/>
        </w:rPr>
        <w:t>惠发食品股份有限公司（603536）：诸城预制菜与速冻调理龙头，自建冷链配送网络支撑丸制品（2023年收入5.15亿元）与预制菜全国分销；2023年营收19.97亿元。来源：2023年年报。</w:t>
      </w:r>
    </w:p>
    <w:p>
      <w:pPr>
        <w:spacing w:lineRule="exact" w:line="600" w:before="0" w:after="0"/>
        <w:ind w:firstLine="420"/>
        <w:jc w:val="both"/>
      </w:pPr>
      <w:r>
        <w:rPr>
          <w:rFonts w:ascii="仿宋_GB2312" w:hAnsi="仿宋_GB2312" w:eastAsia="仿宋_GB2312"/>
          <w:b w:val="0"/>
          <w:color w:val="000000"/>
          <w:sz w:val="32"/>
        </w:rPr>
        <w:t>诸城外贸有限责任公司：诸城大型肉鸡全产业链与出口企业，具备鸡肉及加工食品出口报关、海外渠道与跨境冷链经验，是集群出口枢纽。注：公开财务口径有限（简报标注「待核」），以集群共性研判其出口与冷链能力。来源：诸城市企业信息（公开资料有限）。</w:t>
      </w:r>
    </w:p>
    <w:p>
      <w:pPr>
        <w:spacing w:lineRule="exact" w:line="600" w:before="0" w:after="0"/>
        <w:jc w:val="left"/>
      </w:pPr>
      <w:r>
        <w:rPr>
          <w:rFonts w:ascii="仿宋_GB2312" w:hAnsi="仿宋_GB2312" w:eastAsia="仿宋_GB2312"/>
          <w:b w:val="0"/>
          <w:color w:val="000000"/>
          <w:sz w:val="28"/>
        </w:rPr>
        <w:t>主要数据来源：诸城市人民政府官网：预制菜与冷链产业公开报道；山东省商务厅：农产品出口全国第一公开数据；山东省农业农村厅：农产品与冷链流通相关数据；得利斯股份有限公司（002330）2023年年度报告；惠发食品股份有限公司（603536）2023年年度报告；国家发改委：《「十四五」冷链物流发展规划》；行业研究：中国冷链物流与农产品出口市场规模</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