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山东潍坊昌邑市(海洋精细化工)特色产业集群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化工下游制品行业深度分析报告</w:t>
      </w:r>
    </w:p>
    <w:p>
      <w:pPr>
        <w:spacing w:lineRule="exact" w:line="600" w:before="0" w:after="0"/>
        <w:jc w:val="left"/>
      </w:pPr>
      <w:r>
        <w:rPr>
          <w:rFonts w:ascii="仿宋_GB2312" w:hAnsi="仿宋_GB2312" w:eastAsia="仿宋_GB2312"/>
          <w:b w:val="0"/>
          <w:color w:val="000000"/>
          <w:sz w:val="28"/>
        </w:rPr>
        <w:t>本份报告聚焦昌邑海洋精细化工的下游制品环节，以医药中间体、化工下游终端制品为代表，数据来源于昌邑市政府文件、潍坊市生态环境局环评批复、汉兴医药公开资料及行业媒体等，数据截至2024年。该环节以汉兴医药（医药中间体）、丽晶药业、天宇药业等为代表，部分企业具体营收为公开资料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昌邑海洋精细化工下游制品以医药中间体、原料药及化工终端制品为主，是产业集群向价值链终端跃升的关键环节。代表企业山东汉兴医药科技有限公司成立于2005年7月，占地26万余平方米，注册资本5500万元，是以生产医药中间体为主的省级高新技术企业，产品涵盖乙醛酸、DL-对羟基苯甘氨酸、苯海因、头孢中间体、氟苯尼考中间体、心血管类中间体等，现有综合产能可年产乙醛酸12000吨、DL-对羟基苯甘氨酸6000吨、苯海因4000吨，预计年销售额约3亿元（来源：汉兴医药官网）。2021年汉兴医药原料药及关键中间体绿色智能产业化项目获批，建设多西环素、对甲砜基苯甲醛等6套装置，总投资4.26亿元、其中环保投资1.10亿元（占比25.89%）（来源：潍坊市生态环境局）。下营园区新型医药产业园已落户汉兴医药、丽晶药业、天宇药业、奥通药业等12家新型医药企业，海洋化工下游制品正从中间体向原料药、制剂延伸，凸显绿色化、智能化特征。</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汉兴医药占地</w:t>
            </w:r>
          </w:p>
        </w:tc>
        <w:tc>
          <w:tcPr>
            <w:tcW w:type="dxa" w:w="2835"/>
          </w:tcPr>
          <w:p>
            <w:pPr>
              <w:spacing w:lineRule="exact" w:line="600"/>
              <w:jc w:val="center"/>
            </w:pPr>
            <w:r/>
            <w:r>
              <w:rPr>
                <w:rFonts w:ascii="仿宋_GB2312" w:hAnsi="仿宋_GB2312" w:eastAsia="仿宋_GB2312"/>
                <w:b w:val="0"/>
                <w:color w:val="000000"/>
                <w:sz w:val="32"/>
              </w:rPr>
              <w:t>26万余平方米</w:t>
            </w:r>
          </w:p>
        </w:tc>
        <w:tc>
          <w:tcPr>
            <w:tcW w:type="dxa" w:w="3118"/>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汉兴医药注册资本</w:t>
            </w:r>
          </w:p>
        </w:tc>
        <w:tc>
          <w:tcPr>
            <w:tcW w:type="dxa" w:w="2835"/>
          </w:tcPr>
          <w:p>
            <w:pPr>
              <w:spacing w:lineRule="exact" w:line="600"/>
              <w:jc w:val="center"/>
            </w:pPr>
            <w:r/>
            <w:r>
              <w:rPr>
                <w:rFonts w:ascii="仿宋_GB2312" w:hAnsi="仿宋_GB2312" w:eastAsia="仿宋_GB2312"/>
                <w:b w:val="0"/>
                <w:color w:val="000000"/>
                <w:sz w:val="32"/>
              </w:rPr>
              <w:t>5500万元</w:t>
            </w:r>
          </w:p>
        </w:tc>
        <w:tc>
          <w:tcPr>
            <w:tcW w:type="dxa" w:w="3118"/>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乙醛酸产能</w:t>
            </w:r>
          </w:p>
        </w:tc>
        <w:tc>
          <w:tcPr>
            <w:tcW w:type="dxa" w:w="2835"/>
          </w:tcPr>
          <w:p>
            <w:pPr>
              <w:spacing w:lineRule="exact" w:line="600"/>
              <w:jc w:val="center"/>
            </w:pPr>
            <w:r/>
            <w:r>
              <w:rPr>
                <w:rFonts w:ascii="仿宋_GB2312" w:hAnsi="仿宋_GB2312" w:eastAsia="仿宋_GB2312"/>
                <w:b w:val="0"/>
                <w:color w:val="000000"/>
                <w:sz w:val="32"/>
              </w:rPr>
              <w:t>12000吨/年</w:t>
            </w:r>
          </w:p>
        </w:tc>
        <w:tc>
          <w:tcPr>
            <w:tcW w:type="dxa" w:w="3118"/>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DL-对羟基苯甘氨酸产能</w:t>
            </w:r>
          </w:p>
        </w:tc>
        <w:tc>
          <w:tcPr>
            <w:tcW w:type="dxa" w:w="2835"/>
          </w:tcPr>
          <w:p>
            <w:pPr>
              <w:spacing w:lineRule="exact" w:line="600"/>
              <w:jc w:val="center"/>
            </w:pPr>
            <w:r/>
            <w:r>
              <w:rPr>
                <w:rFonts w:ascii="仿宋_GB2312" w:hAnsi="仿宋_GB2312" w:eastAsia="仿宋_GB2312"/>
                <w:b w:val="0"/>
                <w:color w:val="000000"/>
                <w:sz w:val="32"/>
              </w:rPr>
              <w:t>6000吨/年</w:t>
            </w:r>
          </w:p>
        </w:tc>
        <w:tc>
          <w:tcPr>
            <w:tcW w:type="dxa" w:w="3118"/>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苯海因产能</w:t>
            </w:r>
          </w:p>
        </w:tc>
        <w:tc>
          <w:tcPr>
            <w:tcW w:type="dxa" w:w="2835"/>
          </w:tcPr>
          <w:p>
            <w:pPr>
              <w:spacing w:lineRule="exact" w:line="600"/>
              <w:jc w:val="center"/>
            </w:pPr>
            <w:r/>
            <w:r>
              <w:rPr>
                <w:rFonts w:ascii="仿宋_GB2312" w:hAnsi="仿宋_GB2312" w:eastAsia="仿宋_GB2312"/>
                <w:b w:val="0"/>
                <w:color w:val="000000"/>
                <w:sz w:val="32"/>
              </w:rPr>
              <w:t>4000吨/年</w:t>
            </w:r>
          </w:p>
        </w:tc>
        <w:tc>
          <w:tcPr>
            <w:tcW w:type="dxa" w:w="3118"/>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预计年销售额</w:t>
            </w:r>
          </w:p>
        </w:tc>
        <w:tc>
          <w:tcPr>
            <w:tcW w:type="dxa" w:w="2835"/>
          </w:tcPr>
          <w:p>
            <w:pPr>
              <w:spacing w:lineRule="exact" w:line="600"/>
              <w:jc w:val="center"/>
            </w:pPr>
            <w:r/>
            <w:r>
              <w:rPr>
                <w:rFonts w:ascii="仿宋_GB2312" w:hAnsi="仿宋_GB2312" w:eastAsia="仿宋_GB2312"/>
                <w:b w:val="0"/>
                <w:color w:val="000000"/>
                <w:sz w:val="32"/>
              </w:rPr>
              <w:t>约3亿元</w:t>
            </w:r>
          </w:p>
        </w:tc>
        <w:tc>
          <w:tcPr>
            <w:tcW w:type="dxa" w:w="3118"/>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2021绿色智能项目总投资</w:t>
            </w:r>
          </w:p>
        </w:tc>
        <w:tc>
          <w:tcPr>
            <w:tcW w:type="dxa" w:w="2835"/>
          </w:tcPr>
          <w:p>
            <w:pPr>
              <w:spacing w:lineRule="exact" w:line="600"/>
              <w:jc w:val="center"/>
            </w:pPr>
            <w:r/>
            <w:r>
              <w:rPr>
                <w:rFonts w:ascii="仿宋_GB2312" w:hAnsi="仿宋_GB2312" w:eastAsia="仿宋_GB2312"/>
                <w:b w:val="0"/>
                <w:color w:val="000000"/>
                <w:sz w:val="32"/>
              </w:rPr>
              <w:t>4.26亿元(环保1.10亿/占25.89%)</w:t>
            </w:r>
          </w:p>
        </w:tc>
        <w:tc>
          <w:tcPr>
            <w:tcW w:type="dxa" w:w="3118"/>
          </w:tcPr>
          <w:p>
            <w:pPr>
              <w:spacing w:lineRule="exact" w:line="600"/>
              <w:jc w:val="center"/>
            </w:pPr>
            <w:r/>
            <w:r>
              <w:rPr>
                <w:rFonts w:ascii="仿宋_GB2312" w:hAnsi="仿宋_GB2312" w:eastAsia="仿宋_GB2312"/>
                <w:b w:val="0"/>
                <w:color w:val="000000"/>
                <w:sz w:val="32"/>
              </w:rPr>
              <w:t>潍坊市生态环境局</w:t>
            </w:r>
          </w:p>
        </w:tc>
      </w:tr>
      <w:tr>
        <w:tc>
          <w:tcPr>
            <w:tcW w:type="dxa" w:w="2835"/>
          </w:tcPr>
          <w:p>
            <w:pPr>
              <w:spacing w:lineRule="exact" w:line="600"/>
              <w:jc w:val="center"/>
            </w:pPr>
            <w:r/>
            <w:r>
              <w:rPr>
                <w:rFonts w:ascii="仿宋_GB2312" w:hAnsi="仿宋_GB2312" w:eastAsia="仿宋_GB2312"/>
                <w:b w:val="0"/>
                <w:color w:val="000000"/>
                <w:sz w:val="32"/>
              </w:rPr>
              <w:t>下营新型医药企业</w:t>
            </w:r>
          </w:p>
        </w:tc>
        <w:tc>
          <w:tcPr>
            <w:tcW w:type="dxa" w:w="2835"/>
          </w:tcPr>
          <w:p>
            <w:pPr>
              <w:spacing w:lineRule="exact" w:line="600"/>
              <w:jc w:val="center"/>
            </w:pPr>
            <w:r/>
            <w:r>
              <w:rPr>
                <w:rFonts w:ascii="仿宋_GB2312" w:hAnsi="仿宋_GB2312" w:eastAsia="仿宋_GB2312"/>
                <w:b w:val="0"/>
                <w:color w:val="000000"/>
                <w:sz w:val="32"/>
              </w:rPr>
              <w:t>12家</w:t>
            </w:r>
          </w:p>
        </w:tc>
        <w:tc>
          <w:tcPr>
            <w:tcW w:type="dxa" w:w="3118"/>
          </w:tcPr>
          <w:p>
            <w:pPr>
              <w:spacing w:lineRule="exact" w:line="600"/>
              <w:jc w:val="center"/>
            </w:pPr>
            <w:r/>
            <w:r>
              <w:rPr>
                <w:rFonts w:ascii="仿宋_GB2312" w:hAnsi="仿宋_GB2312" w:eastAsia="仿宋_GB2312"/>
                <w:b w:val="0"/>
                <w:color w:val="000000"/>
                <w:sz w:val="32"/>
              </w:rPr>
              <w:t>中国化工报</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（一）政策导向与健康产业机遇</w:t>
      </w:r>
    </w:p>
    <w:p>
      <w:pPr>
        <w:spacing w:lineRule="exact" w:line="600" w:before="0" w:after="0"/>
        <w:ind w:firstLine="420"/>
        <w:jc w:val="both"/>
      </w:pPr>
      <w:r>
        <w:rPr>
          <w:rFonts w:ascii="仿宋_GB2312" w:hAnsi="仿宋_GB2312" w:eastAsia="仿宋_GB2312"/>
          <w:b w:val="0"/>
          <w:color w:val="000000"/>
          <w:sz w:val="32"/>
        </w:rPr>
        <w:t>医药中间体及化工下游制品受国家医药产业政策、环保政策双重影响。《「十四五」医药工业发展规划》鼓励原料药及关键中间体绿色化、集约化发展。山东省将医养健康列为「十强产业」，潍坊确立医养健康「一区两带五中心」布局，昌邑处于沿潍河东部医养产业隆起带（来源：昌邑市政府文件）。海洋化工下游制品（医药中间体）契合「医药强省」与绿色低碳导向。</w:t>
      </w:r>
    </w:p>
    <w:p>
      <w:pPr>
        <w:spacing w:lineRule="exact" w:line="600" w:before="120" w:after="120"/>
        <w:ind w:firstLine="420"/>
        <w:jc w:val="left"/>
      </w:pPr>
      <w:r>
        <w:rPr>
          <w:rFonts w:ascii="楷体_GB2312" w:hAnsi="楷体_GB2312" w:eastAsia="楷体_GB2312"/>
          <w:b w:val="0"/>
          <w:color w:val="000000"/>
          <w:sz w:val="32"/>
        </w:rPr>
        <w:t>（二）区域产业基础</w:t>
      </w:r>
    </w:p>
    <w:p>
      <w:pPr>
        <w:spacing w:lineRule="exact" w:line="600" w:before="0" w:after="0"/>
        <w:ind w:firstLine="420"/>
        <w:jc w:val="both"/>
      </w:pPr>
      <w:r>
        <w:rPr>
          <w:rFonts w:ascii="仿宋_GB2312" w:hAnsi="仿宋_GB2312" w:eastAsia="仿宋_GB2312"/>
          <w:b w:val="0"/>
          <w:color w:val="000000"/>
          <w:sz w:val="32"/>
        </w:rPr>
        <w:t>昌邑下营化工产业园以汉兴医药为龙头的新医药产业链，与海天生物（盐化工）、亚星新材料（高端新材料）、金典化工（精细化工）协同。新型医药产业园已落户汉兴医药、丽晶药业、天宇药业、奥通药业等12家新型医药企业（来源：中国化工报）。依托园区卤水衍生物（溴素等）作为高端医药中间体关键原料，形成「海洋资源—中间体—原料药」的特色路径。</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下营新型医药企业</w:t>
            </w:r>
          </w:p>
        </w:tc>
        <w:tc>
          <w:tcPr>
            <w:tcW w:type="dxa" w:w="2835"/>
          </w:tcPr>
          <w:p>
            <w:pPr>
              <w:spacing w:lineRule="exact" w:line="600"/>
              <w:jc w:val="center"/>
            </w:pPr>
            <w:r/>
            <w:r>
              <w:rPr>
                <w:rFonts w:ascii="仿宋_GB2312" w:hAnsi="仿宋_GB2312" w:eastAsia="仿宋_GB2312"/>
                <w:b w:val="0"/>
                <w:color w:val="000000"/>
                <w:sz w:val="32"/>
              </w:rPr>
              <w:t>12家</w:t>
            </w:r>
          </w:p>
        </w:tc>
        <w:tc>
          <w:tcPr>
            <w:tcW w:type="dxa" w:w="2835"/>
          </w:tcPr>
          <w:p>
            <w:pPr>
              <w:spacing w:lineRule="exact" w:line="600"/>
              <w:jc w:val="center"/>
            </w:pPr>
            <w:r/>
            <w:r>
              <w:rPr>
                <w:rFonts w:ascii="仿宋_GB2312" w:hAnsi="仿宋_GB2312" w:eastAsia="仿宋_GB2312"/>
                <w:b w:val="0"/>
                <w:color w:val="000000"/>
                <w:sz w:val="32"/>
              </w:rPr>
              <w:t>中国化工报</w:t>
            </w:r>
          </w:p>
        </w:tc>
      </w:tr>
      <w:tr>
        <w:tc>
          <w:tcPr>
            <w:tcW w:type="dxa" w:w="2835"/>
          </w:tcPr>
          <w:p>
            <w:pPr>
              <w:spacing w:lineRule="exact" w:line="600"/>
              <w:jc w:val="center"/>
            </w:pPr>
            <w:r/>
            <w:r>
              <w:rPr>
                <w:rFonts w:ascii="仿宋_GB2312" w:hAnsi="仿宋_GB2312" w:eastAsia="仿宋_GB2312"/>
                <w:b w:val="0"/>
                <w:color w:val="000000"/>
                <w:sz w:val="32"/>
              </w:rPr>
              <w:t>汉兴医药成立时间</w:t>
            </w:r>
          </w:p>
        </w:tc>
        <w:tc>
          <w:tcPr>
            <w:tcW w:type="dxa" w:w="2835"/>
          </w:tcPr>
          <w:p>
            <w:pPr>
              <w:spacing w:lineRule="exact" w:line="600"/>
              <w:jc w:val="center"/>
            </w:pPr>
            <w:r/>
            <w:r>
              <w:rPr>
                <w:rFonts w:ascii="仿宋_GB2312" w:hAnsi="仿宋_GB2312" w:eastAsia="仿宋_GB2312"/>
                <w:b w:val="0"/>
                <w:color w:val="000000"/>
                <w:sz w:val="32"/>
              </w:rPr>
              <w:t>2005年7月</w:t>
            </w:r>
          </w:p>
        </w:tc>
        <w:tc>
          <w:tcPr>
            <w:tcW w:type="dxa" w:w="2835"/>
          </w:tcPr>
          <w:p>
            <w:pPr>
              <w:spacing w:lineRule="exact" w:line="600"/>
              <w:jc w:val="center"/>
            </w:pPr>
            <w:r/>
            <w:r>
              <w:rPr>
                <w:rFonts w:ascii="仿宋_GB2312" w:hAnsi="仿宋_GB2312" w:eastAsia="仿宋_GB2312"/>
                <w:b w:val="0"/>
                <w:color w:val="000000"/>
                <w:sz w:val="32"/>
              </w:rPr>
              <w:t>汉兴官网</w:t>
            </w:r>
          </w:p>
        </w:tc>
      </w:tr>
      <w:tr>
        <w:tc>
          <w:tcPr>
            <w:tcW w:type="dxa" w:w="2835"/>
          </w:tcPr>
          <w:p>
            <w:pPr>
              <w:spacing w:lineRule="exact" w:line="600"/>
              <w:jc w:val="center"/>
            </w:pPr>
            <w:r/>
            <w:r>
              <w:rPr>
                <w:rFonts w:ascii="仿宋_GB2312" w:hAnsi="仿宋_GB2312" w:eastAsia="仿宋_GB2312"/>
                <w:b w:val="0"/>
                <w:color w:val="000000"/>
                <w:sz w:val="32"/>
              </w:rPr>
              <w:t>汉兴医药占地</w:t>
            </w:r>
          </w:p>
        </w:tc>
        <w:tc>
          <w:tcPr>
            <w:tcW w:type="dxa" w:w="2835"/>
          </w:tcPr>
          <w:p>
            <w:pPr>
              <w:spacing w:lineRule="exact" w:line="600"/>
              <w:jc w:val="center"/>
            </w:pPr>
            <w:r/>
            <w:r>
              <w:rPr>
                <w:rFonts w:ascii="仿宋_GB2312" w:hAnsi="仿宋_GB2312" w:eastAsia="仿宋_GB2312"/>
                <w:b w:val="0"/>
                <w:color w:val="000000"/>
                <w:sz w:val="32"/>
              </w:rPr>
              <w:t>26万余平方米</w:t>
            </w:r>
          </w:p>
        </w:tc>
        <w:tc>
          <w:tcPr>
            <w:tcW w:type="dxa" w:w="2835"/>
          </w:tcPr>
          <w:p>
            <w:pPr>
              <w:spacing w:lineRule="exact" w:line="600"/>
              <w:jc w:val="center"/>
            </w:pPr>
            <w:r/>
            <w:r>
              <w:rPr>
                <w:rFonts w:ascii="仿宋_GB2312" w:hAnsi="仿宋_GB2312" w:eastAsia="仿宋_GB2312"/>
                <w:b w:val="0"/>
                <w:color w:val="000000"/>
                <w:sz w:val="32"/>
              </w:rPr>
              <w:t>汉兴官网/化工网</w:t>
            </w:r>
          </w:p>
        </w:tc>
      </w:tr>
      <w:tr>
        <w:tc>
          <w:tcPr>
            <w:tcW w:type="dxa" w:w="2835"/>
          </w:tcPr>
          <w:p>
            <w:pPr>
              <w:spacing w:lineRule="exact" w:line="600"/>
              <w:jc w:val="center"/>
            </w:pPr>
            <w:r/>
            <w:r>
              <w:rPr>
                <w:rFonts w:ascii="仿宋_GB2312" w:hAnsi="仿宋_GB2312" w:eastAsia="仿宋_GB2312"/>
                <w:b w:val="0"/>
                <w:color w:val="000000"/>
                <w:sz w:val="32"/>
              </w:rPr>
              <w:t>汉兴医药注册资本</w:t>
            </w:r>
          </w:p>
        </w:tc>
        <w:tc>
          <w:tcPr>
            <w:tcW w:type="dxa" w:w="2835"/>
          </w:tcPr>
          <w:p>
            <w:pPr>
              <w:spacing w:lineRule="exact" w:line="600"/>
              <w:jc w:val="center"/>
            </w:pPr>
            <w:r/>
            <w:r>
              <w:rPr>
                <w:rFonts w:ascii="仿宋_GB2312" w:hAnsi="仿宋_GB2312" w:eastAsia="仿宋_GB2312"/>
                <w:b w:val="0"/>
                <w:color w:val="000000"/>
                <w:sz w:val="32"/>
              </w:rPr>
              <w:t>5500万元</w:t>
            </w:r>
          </w:p>
        </w:tc>
        <w:tc>
          <w:tcPr>
            <w:tcW w:type="dxa" w:w="2835"/>
          </w:tcPr>
          <w:p>
            <w:pPr>
              <w:spacing w:lineRule="exact" w:line="600"/>
              <w:jc w:val="center"/>
            </w:pPr>
            <w:r/>
            <w:r>
              <w:rPr>
                <w:rFonts w:ascii="仿宋_GB2312" w:hAnsi="仿宋_GB2312" w:eastAsia="仿宋_GB2312"/>
                <w:b w:val="0"/>
                <w:color w:val="000000"/>
                <w:sz w:val="32"/>
              </w:rPr>
              <w:t>汉兴官网</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（一）上游中间体原料</w:t>
      </w:r>
    </w:p>
    <w:p>
      <w:pPr>
        <w:spacing w:lineRule="exact" w:line="600" w:before="0" w:after="0"/>
        <w:ind w:firstLine="420"/>
        <w:jc w:val="both"/>
      </w:pPr>
      <w:r>
        <w:rPr>
          <w:rFonts w:ascii="仿宋_GB2312" w:hAnsi="仿宋_GB2312" w:eastAsia="仿宋_GB2312"/>
          <w:b w:val="0"/>
          <w:color w:val="000000"/>
          <w:sz w:val="32"/>
        </w:rPr>
        <w:t>化工下游制品的上游为海洋化工中间体，如乙醛酸、对羟基苯甘氨酸、苯海因等，以及溴系衍生物。汉兴医药现有产品相互衔接，已形成完整综合产业链：以乙醛酸、DL-对羟基苯甘氨酸、苯海因为核心，延伸至头孢类、心血管类、氟苯尼考类中间体（来源：汉兴官网）。园区内氨水、硫酸等原料就地配套，降低生产成本。</w:t>
      </w:r>
    </w:p>
    <w:p>
      <w:pPr>
        <w:spacing w:lineRule="exact" w:line="600" w:before="120" w:after="120"/>
        <w:ind w:firstLine="420"/>
        <w:jc w:val="left"/>
      </w:pPr>
      <w:r>
        <w:rPr>
          <w:rFonts w:ascii="楷体_GB2312" w:hAnsi="楷体_GB2312" w:eastAsia="楷体_GB2312"/>
          <w:b w:val="0"/>
          <w:color w:val="000000"/>
          <w:sz w:val="32"/>
        </w:rPr>
        <w:t>（二）中游医药中间体与原料药</w:t>
      </w:r>
    </w:p>
    <w:p>
      <w:pPr>
        <w:spacing w:lineRule="exact" w:line="600" w:before="0" w:after="0"/>
        <w:ind w:firstLine="420"/>
        <w:jc w:val="both"/>
      </w:pPr>
      <w:r>
        <w:rPr>
          <w:rFonts w:ascii="仿宋_GB2312" w:hAnsi="仿宋_GB2312" w:eastAsia="仿宋_GB2312"/>
          <w:b w:val="0"/>
          <w:color w:val="000000"/>
          <w:sz w:val="32"/>
        </w:rPr>
        <w:t>汉兴医药以自主成熟技术工艺生产DL-对羟基苯甘氨酸、对羟基苯海因、乙二醛、乙醛酸等，产品层次化、体系化。2021年绿色智能产业化项目新建6套装置：3000吨/年 多西环素、3000吨/年 对甲砜基苯甲醛、500吨/年 L-2-氨基丁酰胺盐酸盐、200吨/年 杂螺环酮盐酸盐、1000吨/年 丝氨醇、300吨/年 4,6-二氯-5-氟嘧啶（来源：潍坊市生态环境局环评批复）。项目由中间体向原料药升级。</w:t>
      </w:r>
    </w:p>
    <w:p>
      <w:pPr>
        <w:spacing w:lineRule="exact" w:line="600" w:before="120" w:after="120"/>
        <w:ind w:firstLine="420"/>
        <w:jc w:val="left"/>
      </w:pPr>
      <w:r>
        <w:rPr>
          <w:rFonts w:ascii="楷体_GB2312" w:hAnsi="楷体_GB2312" w:eastAsia="楷体_GB2312"/>
          <w:b w:val="0"/>
          <w:color w:val="000000"/>
          <w:sz w:val="32"/>
        </w:rPr>
        <w:t>（三）下游制剂与终端</w:t>
      </w:r>
    </w:p>
    <w:p>
      <w:pPr>
        <w:spacing w:lineRule="exact" w:line="600" w:before="0" w:after="0"/>
        <w:ind w:firstLine="420"/>
        <w:jc w:val="both"/>
      </w:pPr>
      <w:r>
        <w:rPr>
          <w:rFonts w:ascii="仿宋_GB2312" w:hAnsi="仿宋_GB2312" w:eastAsia="仿宋_GB2312"/>
          <w:b w:val="0"/>
          <w:color w:val="000000"/>
          <w:sz w:val="32"/>
        </w:rPr>
        <w:t>以阿莫西林为代表的羟氨苄青霉素是世界公认优秀抗生素，下游连接制剂与终端用药。昌邑生物医药中间体产业研发生产能力强，重点龙头还包括山东丽晶药业、昌邑天宇药业、山东龙晟源新材料、山东康利莱医疗器材（一次性输液器、注射器）等（来源：昌邑市政府文件），形成中间体—原料药—医疗器械的多元下游格局。</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产品</w:t>
            </w:r>
          </w:p>
        </w:tc>
        <w:tc>
          <w:tcPr>
            <w:tcW w:type="dxa" w:w="2835"/>
          </w:tcPr>
          <w:p>
            <w:pPr>
              <w:spacing w:lineRule="exact" w:line="600"/>
              <w:jc w:val="center"/>
            </w:pPr>
            <w:r/>
            <w:r>
              <w:rPr>
                <w:rFonts w:ascii="黑体" w:hAnsi="黑体" w:eastAsia="黑体"/>
                <w:b/>
                <w:color w:val="000000"/>
                <w:sz w:val="32"/>
              </w:rPr>
              <w:t>代表企业</w:t>
            </w:r>
          </w:p>
        </w:tc>
      </w:tr>
      <w:tr>
        <w:tc>
          <w:tcPr>
            <w:tcW w:type="dxa" w:w="2268"/>
          </w:tcPr>
          <w:p>
            <w:pPr>
              <w:spacing w:lineRule="exact" w:line="600"/>
              <w:jc w:val="center"/>
            </w:pPr>
            <w:r/>
            <w:r>
              <w:rPr>
                <w:rFonts w:ascii="仿宋_GB2312" w:hAnsi="仿宋_GB2312" w:eastAsia="仿宋_GB2312"/>
                <w:b w:val="0"/>
                <w:color w:val="000000"/>
                <w:sz w:val="32"/>
              </w:rPr>
              <w:t>上游中间体</w:t>
            </w:r>
          </w:p>
        </w:tc>
        <w:tc>
          <w:tcPr>
            <w:tcW w:type="dxa" w:w="2835"/>
          </w:tcPr>
          <w:p>
            <w:pPr>
              <w:spacing w:lineRule="exact" w:line="600"/>
              <w:jc w:val="center"/>
            </w:pPr>
            <w:r/>
            <w:r>
              <w:rPr>
                <w:rFonts w:ascii="仿宋_GB2312" w:hAnsi="仿宋_GB2312" w:eastAsia="仿宋_GB2312"/>
                <w:b w:val="0"/>
                <w:color w:val="000000"/>
                <w:sz w:val="32"/>
              </w:rPr>
              <w:t>乙醛酸、对羟基苯甘氨酸、苯海因</w:t>
            </w:r>
          </w:p>
        </w:tc>
        <w:tc>
          <w:tcPr>
            <w:tcW w:type="dxa" w:w="2835"/>
          </w:tcPr>
          <w:p>
            <w:pPr>
              <w:spacing w:lineRule="exact" w:line="600"/>
              <w:jc w:val="center"/>
            </w:pPr>
            <w:r/>
            <w:r>
              <w:rPr>
                <w:rFonts w:ascii="仿宋_GB2312" w:hAnsi="仿宋_GB2312" w:eastAsia="仿宋_GB2312"/>
                <w:b w:val="0"/>
                <w:color w:val="000000"/>
                <w:sz w:val="32"/>
              </w:rPr>
              <w:t>汉兴医药</w:t>
            </w:r>
          </w:p>
        </w:tc>
      </w:tr>
      <w:tr>
        <w:tc>
          <w:tcPr>
            <w:tcW w:type="dxa" w:w="2268"/>
          </w:tcPr>
          <w:p>
            <w:pPr>
              <w:spacing w:lineRule="exact" w:line="600"/>
              <w:jc w:val="center"/>
            </w:pPr>
            <w:r/>
            <w:r>
              <w:rPr>
                <w:rFonts w:ascii="仿宋_GB2312" w:hAnsi="仿宋_GB2312" w:eastAsia="仿宋_GB2312"/>
                <w:b w:val="0"/>
                <w:color w:val="000000"/>
                <w:sz w:val="32"/>
              </w:rPr>
              <w:t>中游原料药</w:t>
            </w:r>
          </w:p>
        </w:tc>
        <w:tc>
          <w:tcPr>
            <w:tcW w:type="dxa" w:w="2835"/>
          </w:tcPr>
          <w:p>
            <w:pPr>
              <w:spacing w:lineRule="exact" w:line="600"/>
              <w:jc w:val="center"/>
            </w:pPr>
            <w:r/>
            <w:r>
              <w:rPr>
                <w:rFonts w:ascii="仿宋_GB2312" w:hAnsi="仿宋_GB2312" w:eastAsia="仿宋_GB2312"/>
                <w:b w:val="0"/>
                <w:color w:val="000000"/>
                <w:sz w:val="32"/>
              </w:rPr>
              <w:t>多西环素、对甲砜基苯甲醛等</w:t>
            </w:r>
          </w:p>
        </w:tc>
        <w:tc>
          <w:tcPr>
            <w:tcW w:type="dxa" w:w="2835"/>
          </w:tcPr>
          <w:p>
            <w:pPr>
              <w:spacing w:lineRule="exact" w:line="600"/>
              <w:jc w:val="center"/>
            </w:pPr>
            <w:r/>
            <w:r>
              <w:rPr>
                <w:rFonts w:ascii="仿宋_GB2312" w:hAnsi="仿宋_GB2312" w:eastAsia="仿宋_GB2312"/>
                <w:b w:val="0"/>
                <w:color w:val="000000"/>
                <w:sz w:val="32"/>
              </w:rPr>
              <w:t>汉兴医药（2021项目）</w:t>
            </w:r>
          </w:p>
        </w:tc>
      </w:tr>
      <w:tr>
        <w:tc>
          <w:tcPr>
            <w:tcW w:type="dxa" w:w="2268"/>
          </w:tcPr>
          <w:p>
            <w:pPr>
              <w:spacing w:lineRule="exact" w:line="600"/>
              <w:jc w:val="center"/>
            </w:pPr>
            <w:r/>
            <w:r>
              <w:rPr>
                <w:rFonts w:ascii="仿宋_GB2312" w:hAnsi="仿宋_GB2312" w:eastAsia="仿宋_GB2312"/>
                <w:b w:val="0"/>
                <w:color w:val="000000"/>
                <w:sz w:val="32"/>
              </w:rPr>
              <w:t>下游制剂/器械</w:t>
            </w:r>
          </w:p>
        </w:tc>
        <w:tc>
          <w:tcPr>
            <w:tcW w:type="dxa" w:w="2835"/>
          </w:tcPr>
          <w:p>
            <w:pPr>
              <w:spacing w:lineRule="exact" w:line="600"/>
              <w:jc w:val="center"/>
            </w:pPr>
            <w:r/>
            <w:r>
              <w:rPr>
                <w:rFonts w:ascii="仿宋_GB2312" w:hAnsi="仿宋_GB2312" w:eastAsia="仿宋_GB2312"/>
                <w:b w:val="0"/>
                <w:color w:val="000000"/>
                <w:sz w:val="32"/>
              </w:rPr>
              <w:t>阿莫西林制剂、输液器</w:t>
            </w:r>
          </w:p>
        </w:tc>
        <w:tc>
          <w:tcPr>
            <w:tcW w:type="dxa" w:w="2835"/>
          </w:tcPr>
          <w:p>
            <w:pPr>
              <w:spacing w:lineRule="exact" w:line="600"/>
              <w:jc w:val="center"/>
            </w:pPr>
            <w:r/>
            <w:r>
              <w:rPr>
                <w:rFonts w:ascii="仿宋_GB2312" w:hAnsi="仿宋_GB2312" w:eastAsia="仿宋_GB2312"/>
                <w:b w:val="0"/>
                <w:color w:val="000000"/>
                <w:sz w:val="32"/>
              </w:rPr>
              <w:t>丽晶、天宇、康利莱</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（一）医药中间体市场</w:t>
      </w:r>
    </w:p>
    <w:p>
      <w:pPr>
        <w:spacing w:lineRule="exact" w:line="600" w:before="0" w:after="0"/>
        <w:ind w:firstLine="420"/>
        <w:jc w:val="both"/>
      </w:pPr>
      <w:r>
        <w:rPr>
          <w:rFonts w:ascii="仿宋_GB2312" w:hAnsi="仿宋_GB2312" w:eastAsia="仿宋_GB2312"/>
          <w:b w:val="0"/>
          <w:color w:val="000000"/>
          <w:sz w:val="32"/>
        </w:rPr>
        <w:t>医药中间体是原料药的上游，全球原料药及中间体市场稳步增长，中国是全球最大原料药生产国与出口国。汉兴医药现有综合产能可年产乙醛酸12000吨、DL-对羟基苯甘氨酸6000吨、苯海因4000吨，预计年销售额约3亿元（来源：汉兴官网）。其头孢中间体、氟苯尼考中间体、心血管类中间体具有市场话语权且处于供不应求状态（来源：昌邑市政府文件）。</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医药中间体行业竞争激烈但细分壁垒高，汉兴医药依托清华校友资本与产学研网络、两项省级鉴定技术成果建立优势。其产品以「产能最大、品质最优、成本最低、信誉最好」为经营理念（来源：汉兴官网）。园区12家医药企业形成集聚，但与浙江、江苏等医药强省相比，昌邑在制剂与终端品牌上仍有提升空间。</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产品</w:t>
            </w:r>
          </w:p>
        </w:tc>
        <w:tc>
          <w:tcPr>
            <w:tcW w:type="dxa" w:w="2268"/>
          </w:tcPr>
          <w:p>
            <w:pPr>
              <w:spacing w:lineRule="exact" w:line="600"/>
              <w:jc w:val="center"/>
            </w:pPr>
            <w:r/>
            <w:r>
              <w:rPr>
                <w:rFonts w:ascii="黑体" w:hAnsi="黑体" w:eastAsia="黑体"/>
                <w:b/>
                <w:color w:val="000000"/>
                <w:sz w:val="32"/>
              </w:rPr>
              <w:t>产能</w:t>
            </w:r>
          </w:p>
        </w:tc>
        <w:tc>
          <w:tcPr>
            <w:tcW w:type="dxa" w:w="2835"/>
          </w:tcPr>
          <w:p>
            <w:pPr>
              <w:spacing w:lineRule="exact" w:line="600"/>
              <w:jc w:val="center"/>
            </w:pPr>
            <w:r/>
            <w:r>
              <w:rPr>
                <w:rFonts w:ascii="黑体" w:hAnsi="黑体" w:eastAsia="黑体"/>
                <w:b/>
                <w:color w:val="000000"/>
                <w:sz w:val="32"/>
              </w:rPr>
              <w:t>市场判断</w:t>
            </w:r>
          </w:p>
        </w:tc>
      </w:tr>
      <w:tr>
        <w:tc>
          <w:tcPr>
            <w:tcW w:type="dxa" w:w="2835"/>
          </w:tcPr>
          <w:p>
            <w:pPr>
              <w:spacing w:lineRule="exact" w:line="600"/>
              <w:jc w:val="center"/>
            </w:pPr>
            <w:r/>
            <w:r>
              <w:rPr>
                <w:rFonts w:ascii="仿宋_GB2312" w:hAnsi="仿宋_GB2312" w:eastAsia="仿宋_GB2312"/>
                <w:b w:val="0"/>
                <w:color w:val="000000"/>
                <w:sz w:val="32"/>
              </w:rPr>
              <w:t>乙醛酸</w:t>
            </w:r>
          </w:p>
        </w:tc>
        <w:tc>
          <w:tcPr>
            <w:tcW w:type="dxa" w:w="2268"/>
          </w:tcPr>
          <w:p>
            <w:pPr>
              <w:spacing w:lineRule="exact" w:line="600"/>
              <w:jc w:val="center"/>
            </w:pPr>
            <w:r/>
            <w:r>
              <w:rPr>
                <w:rFonts w:ascii="仿宋_GB2312" w:hAnsi="仿宋_GB2312" w:eastAsia="仿宋_GB2312"/>
                <w:b w:val="0"/>
                <w:color w:val="000000"/>
                <w:sz w:val="32"/>
              </w:rPr>
              <w:t>12000吨/年</w:t>
            </w:r>
          </w:p>
        </w:tc>
        <w:tc>
          <w:tcPr>
            <w:tcW w:type="dxa" w:w="2835"/>
          </w:tcPr>
          <w:p>
            <w:pPr>
              <w:spacing w:lineRule="exact" w:line="600"/>
              <w:jc w:val="center"/>
            </w:pPr>
            <w:r/>
            <w:r>
              <w:rPr>
                <w:rFonts w:ascii="仿宋_GB2312" w:hAnsi="仿宋_GB2312" w:eastAsia="仿宋_GB2312"/>
                <w:b w:val="0"/>
                <w:color w:val="000000"/>
                <w:sz w:val="32"/>
              </w:rPr>
              <w:t>综合产能大</w:t>
            </w:r>
          </w:p>
        </w:tc>
      </w:tr>
      <w:tr>
        <w:tc>
          <w:tcPr>
            <w:tcW w:type="dxa" w:w="2835"/>
          </w:tcPr>
          <w:p>
            <w:pPr>
              <w:spacing w:lineRule="exact" w:line="600"/>
              <w:jc w:val="center"/>
            </w:pPr>
            <w:r/>
            <w:r>
              <w:rPr>
                <w:rFonts w:ascii="仿宋_GB2312" w:hAnsi="仿宋_GB2312" w:eastAsia="仿宋_GB2312"/>
                <w:b w:val="0"/>
                <w:color w:val="000000"/>
                <w:sz w:val="32"/>
              </w:rPr>
              <w:t>DL-对羟基苯甘氨酸</w:t>
            </w:r>
          </w:p>
        </w:tc>
        <w:tc>
          <w:tcPr>
            <w:tcW w:type="dxa" w:w="2268"/>
          </w:tcPr>
          <w:p>
            <w:pPr>
              <w:spacing w:lineRule="exact" w:line="600"/>
              <w:jc w:val="center"/>
            </w:pPr>
            <w:r/>
            <w:r>
              <w:rPr>
                <w:rFonts w:ascii="仿宋_GB2312" w:hAnsi="仿宋_GB2312" w:eastAsia="仿宋_GB2312"/>
                <w:b w:val="0"/>
                <w:color w:val="000000"/>
                <w:sz w:val="32"/>
              </w:rPr>
              <w:t>6000吨/年</w:t>
            </w:r>
          </w:p>
        </w:tc>
        <w:tc>
          <w:tcPr>
            <w:tcW w:type="dxa" w:w="2835"/>
          </w:tcPr>
          <w:p>
            <w:pPr>
              <w:spacing w:lineRule="exact" w:line="600"/>
              <w:jc w:val="center"/>
            </w:pPr>
            <w:r/>
            <w:r>
              <w:rPr>
                <w:rFonts w:ascii="仿宋_GB2312" w:hAnsi="仿宋_GB2312" w:eastAsia="仿宋_GB2312"/>
                <w:b w:val="0"/>
                <w:color w:val="000000"/>
                <w:sz w:val="32"/>
              </w:rPr>
              <w:t>供不应求</w:t>
            </w:r>
          </w:p>
        </w:tc>
      </w:tr>
      <w:tr>
        <w:tc>
          <w:tcPr>
            <w:tcW w:type="dxa" w:w="2835"/>
          </w:tcPr>
          <w:p>
            <w:pPr>
              <w:spacing w:lineRule="exact" w:line="600"/>
              <w:jc w:val="center"/>
            </w:pPr>
            <w:r/>
            <w:r>
              <w:rPr>
                <w:rFonts w:ascii="仿宋_GB2312" w:hAnsi="仿宋_GB2312" w:eastAsia="仿宋_GB2312"/>
                <w:b w:val="0"/>
                <w:color w:val="000000"/>
                <w:sz w:val="32"/>
              </w:rPr>
              <w:t>苯海因</w:t>
            </w:r>
          </w:p>
        </w:tc>
        <w:tc>
          <w:tcPr>
            <w:tcW w:type="dxa" w:w="2268"/>
          </w:tcPr>
          <w:p>
            <w:pPr>
              <w:spacing w:lineRule="exact" w:line="600"/>
              <w:jc w:val="center"/>
            </w:pPr>
            <w:r/>
            <w:r>
              <w:rPr>
                <w:rFonts w:ascii="仿宋_GB2312" w:hAnsi="仿宋_GB2312" w:eastAsia="仿宋_GB2312"/>
                <w:b w:val="0"/>
                <w:color w:val="000000"/>
                <w:sz w:val="32"/>
              </w:rPr>
              <w:t>4000吨/年</w:t>
            </w:r>
          </w:p>
        </w:tc>
        <w:tc>
          <w:tcPr>
            <w:tcW w:type="dxa" w:w="2835"/>
          </w:tcPr>
          <w:p>
            <w:pPr>
              <w:spacing w:lineRule="exact" w:line="600"/>
              <w:jc w:val="center"/>
            </w:pPr>
            <w:r/>
            <w:r>
              <w:rPr>
                <w:rFonts w:ascii="仿宋_GB2312" w:hAnsi="仿宋_GB2312" w:eastAsia="仿宋_GB2312"/>
                <w:b w:val="0"/>
                <w:color w:val="000000"/>
                <w:sz w:val="32"/>
              </w:rPr>
              <w:t>话语权强</w:t>
            </w:r>
          </w:p>
        </w:tc>
      </w:tr>
      <w:tr>
        <w:tc>
          <w:tcPr>
            <w:tcW w:type="dxa" w:w="2835"/>
          </w:tcPr>
          <w:p>
            <w:pPr>
              <w:spacing w:lineRule="exact" w:line="600"/>
              <w:jc w:val="center"/>
            </w:pPr>
            <w:r/>
            <w:r>
              <w:rPr>
                <w:rFonts w:ascii="仿宋_GB2312" w:hAnsi="仿宋_GB2312" w:eastAsia="仿宋_GB2312"/>
                <w:b w:val="0"/>
                <w:color w:val="000000"/>
                <w:sz w:val="32"/>
              </w:rPr>
              <w:t>预计年销售额</w:t>
            </w:r>
          </w:p>
        </w:tc>
        <w:tc>
          <w:tcPr>
            <w:tcW w:type="dxa" w:w="2268"/>
          </w:tcPr>
          <w:p>
            <w:pPr>
              <w:spacing w:lineRule="exact" w:line="600"/>
              <w:jc w:val="center"/>
            </w:pPr>
            <w:r/>
            <w:r>
              <w:rPr>
                <w:rFonts w:ascii="仿宋_GB2312" w:hAnsi="仿宋_GB2312" w:eastAsia="仿宋_GB2312"/>
                <w:b w:val="0"/>
                <w:color w:val="000000"/>
                <w:sz w:val="32"/>
              </w:rPr>
              <w:t>约3亿元</w:t>
            </w:r>
          </w:p>
        </w:tc>
        <w:tc>
          <w:tcPr>
            <w:tcW w:type="dxa" w:w="2835"/>
          </w:tcPr>
          <w:p>
            <w:pPr>
              <w:spacing w:lineRule="exact" w:line="600"/>
              <w:jc w:val="center"/>
            </w:pPr>
            <w:r/>
            <w:r>
              <w:rPr>
                <w:rFonts w:ascii="仿宋_GB2312" w:hAnsi="仿宋_GB2312" w:eastAsia="仿宋_GB2312"/>
                <w:b w:val="0"/>
                <w:color w:val="000000"/>
                <w:sz w:val="32"/>
              </w:rPr>
              <w:t>汉兴医药</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（一）集群组织与医药产业园</w:t>
      </w:r>
    </w:p>
    <w:p>
      <w:pPr>
        <w:spacing w:lineRule="exact" w:line="600" w:before="0" w:after="0"/>
        <w:ind w:firstLine="420"/>
        <w:jc w:val="both"/>
      </w:pPr>
      <w:r>
        <w:rPr>
          <w:rFonts w:ascii="仿宋_GB2312" w:hAnsi="仿宋_GB2312" w:eastAsia="仿宋_GB2312"/>
          <w:b w:val="0"/>
          <w:color w:val="000000"/>
          <w:sz w:val="32"/>
        </w:rPr>
        <w:t>下营化工产业园新型医药产业园按产业集聚、链条发展思路，构建药物生产、研发试验基地，已落户汉兴医药、丽晶药业、天宇药业、奥通药业等12家新型医药企业（来源：中国化工报）。昌邑通过「链主+配套」模式，以汉兴医药为医药链主，吸引上下游配套，形成海洋化工下游制品集群。</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汉兴医药为省级高新技术企业、以医药中间体为主的股份制企业，员工260余人，大专以上科技人员占22%、中高级技术职称占12%（来源：汉兴官网）。丽晶药业、天宇药业、奥通药业等为骨干。山东康利莱医疗器材生产一次性输液器、注射器及胃管、氧气面罩等高端医疗器械，延伸下游制品边界。</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企业</w:t>
            </w:r>
          </w:p>
        </w:tc>
        <w:tc>
          <w:tcPr>
            <w:tcW w:type="dxa" w:w="2268"/>
          </w:tcPr>
          <w:p>
            <w:pPr>
              <w:spacing w:lineRule="exact" w:line="600"/>
              <w:jc w:val="center"/>
            </w:pPr>
            <w:r/>
            <w:r>
              <w:rPr>
                <w:rFonts w:ascii="黑体" w:hAnsi="黑体" w:eastAsia="黑体"/>
                <w:b/>
                <w:color w:val="000000"/>
                <w:sz w:val="32"/>
              </w:rPr>
              <w:t>角色</w:t>
            </w:r>
          </w:p>
        </w:tc>
        <w:tc>
          <w:tcPr>
            <w:tcW w:type="dxa" w:w="2835"/>
          </w:tcPr>
          <w:p>
            <w:pPr>
              <w:spacing w:lineRule="exact" w:line="600"/>
              <w:jc w:val="center"/>
            </w:pPr>
            <w:r/>
            <w:r>
              <w:rPr>
                <w:rFonts w:ascii="黑体" w:hAnsi="黑体" w:eastAsia="黑体"/>
                <w:b/>
                <w:color w:val="000000"/>
                <w:sz w:val="32"/>
              </w:rPr>
              <w:t>核心产品</w:t>
            </w:r>
          </w:p>
        </w:tc>
      </w:tr>
      <w:tr>
        <w:tc>
          <w:tcPr>
            <w:tcW w:type="dxa" w:w="2268"/>
          </w:tcPr>
          <w:p>
            <w:pPr>
              <w:spacing w:lineRule="exact" w:line="600"/>
              <w:jc w:val="center"/>
            </w:pPr>
            <w:r/>
            <w:r>
              <w:rPr>
                <w:rFonts w:ascii="仿宋_GB2312" w:hAnsi="仿宋_GB2312" w:eastAsia="仿宋_GB2312"/>
                <w:b w:val="0"/>
                <w:color w:val="000000"/>
                <w:sz w:val="32"/>
              </w:rPr>
              <w:t>汉兴医药</w:t>
            </w:r>
          </w:p>
        </w:tc>
        <w:tc>
          <w:tcPr>
            <w:tcW w:type="dxa" w:w="2268"/>
          </w:tcPr>
          <w:p>
            <w:pPr>
              <w:spacing w:lineRule="exact" w:line="600"/>
              <w:jc w:val="center"/>
            </w:pPr>
            <w:r/>
            <w:r>
              <w:rPr>
                <w:rFonts w:ascii="仿宋_GB2312" w:hAnsi="仿宋_GB2312" w:eastAsia="仿宋_GB2312"/>
                <w:b w:val="0"/>
                <w:color w:val="000000"/>
                <w:sz w:val="32"/>
              </w:rPr>
              <w:t>新医药链主</w:t>
            </w:r>
          </w:p>
        </w:tc>
        <w:tc>
          <w:tcPr>
            <w:tcW w:type="dxa" w:w="2835"/>
          </w:tcPr>
          <w:p>
            <w:pPr>
              <w:spacing w:lineRule="exact" w:line="600"/>
              <w:jc w:val="center"/>
            </w:pPr>
            <w:r/>
            <w:r>
              <w:rPr>
                <w:rFonts w:ascii="仿宋_GB2312" w:hAnsi="仿宋_GB2312" w:eastAsia="仿宋_GB2312"/>
                <w:b w:val="0"/>
                <w:color w:val="000000"/>
                <w:sz w:val="32"/>
              </w:rPr>
              <w:t>医药中间体/原料药</w:t>
            </w:r>
          </w:p>
        </w:tc>
      </w:tr>
      <w:tr>
        <w:tc>
          <w:tcPr>
            <w:tcW w:type="dxa" w:w="2268"/>
          </w:tcPr>
          <w:p>
            <w:pPr>
              <w:spacing w:lineRule="exact" w:line="600"/>
              <w:jc w:val="center"/>
            </w:pPr>
            <w:r/>
            <w:r>
              <w:rPr>
                <w:rFonts w:ascii="仿宋_GB2312" w:hAnsi="仿宋_GB2312" w:eastAsia="仿宋_GB2312"/>
                <w:b w:val="0"/>
                <w:color w:val="000000"/>
                <w:sz w:val="32"/>
              </w:rPr>
              <w:t>丽晶药业</w:t>
            </w:r>
          </w:p>
        </w:tc>
        <w:tc>
          <w:tcPr>
            <w:tcW w:type="dxa" w:w="2268"/>
          </w:tcPr>
          <w:p>
            <w:pPr>
              <w:spacing w:lineRule="exact" w:line="600"/>
              <w:jc w:val="center"/>
            </w:pPr>
            <w:r/>
            <w:r>
              <w:rPr>
                <w:rFonts w:ascii="仿宋_GB2312" w:hAnsi="仿宋_GB2312" w:eastAsia="仿宋_GB2312"/>
                <w:b w:val="0"/>
                <w:color w:val="000000"/>
                <w:sz w:val="32"/>
              </w:rPr>
              <w:t>骨干</w:t>
            </w:r>
          </w:p>
        </w:tc>
        <w:tc>
          <w:tcPr>
            <w:tcW w:type="dxa" w:w="2835"/>
          </w:tcPr>
          <w:p>
            <w:pPr>
              <w:spacing w:lineRule="exact" w:line="600"/>
              <w:jc w:val="center"/>
            </w:pPr>
            <w:r/>
            <w:r>
              <w:rPr>
                <w:rFonts w:ascii="仿宋_GB2312" w:hAnsi="仿宋_GB2312" w:eastAsia="仿宋_GB2312"/>
                <w:b w:val="0"/>
                <w:color w:val="000000"/>
                <w:sz w:val="32"/>
              </w:rPr>
              <w:t>化学药/制剂</w:t>
            </w:r>
          </w:p>
        </w:tc>
      </w:tr>
      <w:tr>
        <w:tc>
          <w:tcPr>
            <w:tcW w:type="dxa" w:w="2268"/>
          </w:tcPr>
          <w:p>
            <w:pPr>
              <w:spacing w:lineRule="exact" w:line="600"/>
              <w:jc w:val="center"/>
            </w:pPr>
            <w:r/>
            <w:r>
              <w:rPr>
                <w:rFonts w:ascii="仿宋_GB2312" w:hAnsi="仿宋_GB2312" w:eastAsia="仿宋_GB2312"/>
                <w:b w:val="0"/>
                <w:color w:val="000000"/>
                <w:sz w:val="32"/>
              </w:rPr>
              <w:t>天宇药业</w:t>
            </w:r>
          </w:p>
        </w:tc>
        <w:tc>
          <w:tcPr>
            <w:tcW w:type="dxa" w:w="2268"/>
          </w:tcPr>
          <w:p>
            <w:pPr>
              <w:spacing w:lineRule="exact" w:line="600"/>
              <w:jc w:val="center"/>
            </w:pPr>
            <w:r/>
            <w:r>
              <w:rPr>
                <w:rFonts w:ascii="仿宋_GB2312" w:hAnsi="仿宋_GB2312" w:eastAsia="仿宋_GB2312"/>
                <w:b w:val="0"/>
                <w:color w:val="000000"/>
                <w:sz w:val="32"/>
              </w:rPr>
              <w:t>骨干</w:t>
            </w:r>
          </w:p>
        </w:tc>
        <w:tc>
          <w:tcPr>
            <w:tcW w:type="dxa" w:w="2835"/>
          </w:tcPr>
          <w:p>
            <w:pPr>
              <w:spacing w:lineRule="exact" w:line="600"/>
              <w:jc w:val="center"/>
            </w:pPr>
            <w:r/>
            <w:r>
              <w:rPr>
                <w:rFonts w:ascii="仿宋_GB2312" w:hAnsi="仿宋_GB2312" w:eastAsia="仿宋_GB2312"/>
                <w:b w:val="0"/>
                <w:color w:val="000000"/>
                <w:sz w:val="32"/>
              </w:rPr>
              <w:t>医药中间体</w:t>
            </w:r>
          </w:p>
        </w:tc>
      </w:tr>
      <w:tr>
        <w:tc>
          <w:tcPr>
            <w:tcW w:type="dxa" w:w="2268"/>
          </w:tcPr>
          <w:p>
            <w:pPr>
              <w:spacing w:lineRule="exact" w:line="600"/>
              <w:jc w:val="center"/>
            </w:pPr>
            <w:r/>
            <w:r>
              <w:rPr>
                <w:rFonts w:ascii="仿宋_GB2312" w:hAnsi="仿宋_GB2312" w:eastAsia="仿宋_GB2312"/>
                <w:b w:val="0"/>
                <w:color w:val="000000"/>
                <w:sz w:val="32"/>
              </w:rPr>
              <w:t>康利莱医疗</w:t>
            </w:r>
          </w:p>
        </w:tc>
        <w:tc>
          <w:tcPr>
            <w:tcW w:type="dxa" w:w="2268"/>
          </w:tcPr>
          <w:p>
            <w:pPr>
              <w:spacing w:lineRule="exact" w:line="600"/>
              <w:jc w:val="center"/>
            </w:pPr>
            <w:r/>
            <w:r>
              <w:rPr>
                <w:rFonts w:ascii="仿宋_GB2312" w:hAnsi="仿宋_GB2312" w:eastAsia="仿宋_GB2312"/>
                <w:b w:val="0"/>
                <w:color w:val="000000"/>
                <w:sz w:val="32"/>
              </w:rPr>
              <w:t>下游器械</w:t>
            </w:r>
          </w:p>
        </w:tc>
        <w:tc>
          <w:tcPr>
            <w:tcW w:type="dxa" w:w="2835"/>
          </w:tcPr>
          <w:p>
            <w:pPr>
              <w:spacing w:lineRule="exact" w:line="600"/>
              <w:jc w:val="center"/>
            </w:pPr>
            <w:r/>
            <w:r>
              <w:rPr>
                <w:rFonts w:ascii="仿宋_GB2312" w:hAnsi="仿宋_GB2312" w:eastAsia="仿宋_GB2312"/>
                <w:b w:val="0"/>
                <w:color w:val="000000"/>
                <w:sz w:val="32"/>
              </w:rPr>
              <w:t>输液器、注射器</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（一）工艺技术与产学研</w:t>
      </w:r>
    </w:p>
    <w:p>
      <w:pPr>
        <w:spacing w:lineRule="exact" w:line="600" w:before="0" w:after="0"/>
        <w:ind w:firstLine="420"/>
        <w:jc w:val="both"/>
      </w:pPr>
      <w:r>
        <w:rPr>
          <w:rFonts w:ascii="仿宋_GB2312" w:hAnsi="仿宋_GB2312" w:eastAsia="仿宋_GB2312"/>
          <w:b w:val="0"/>
          <w:color w:val="000000"/>
          <w:sz w:val="32"/>
        </w:rPr>
        <w:t>汉兴医药依托中科院大连化物所、浙江大学、山东大学等高校院所实现科技成果产业转化（来源：中国化工报）。公司已有两项技术成果通过省级鉴定并获科技进步奖，厂房布局科学、设备先进、工艺优化。以自主成熟工艺生产多类中间体，并推行GMP管理模式，产品质量产量居同行领先水平。</w:t>
      </w:r>
    </w:p>
    <w:p>
      <w:pPr>
        <w:spacing w:lineRule="exact" w:line="600" w:before="120" w:after="120"/>
        <w:ind w:firstLine="420"/>
        <w:jc w:val="left"/>
      </w:pPr>
      <w:r>
        <w:rPr>
          <w:rFonts w:ascii="楷体_GB2312" w:hAnsi="楷体_GB2312" w:eastAsia="楷体_GB2312"/>
          <w:b w:val="0"/>
          <w:color w:val="000000"/>
          <w:sz w:val="32"/>
        </w:rPr>
        <w:t>（二）绿色智能产业化</w:t>
      </w:r>
    </w:p>
    <w:p>
      <w:pPr>
        <w:spacing w:lineRule="exact" w:line="600" w:before="0" w:after="0"/>
        <w:ind w:firstLine="420"/>
        <w:jc w:val="both"/>
      </w:pPr>
      <w:r>
        <w:rPr>
          <w:rFonts w:ascii="仿宋_GB2312" w:hAnsi="仿宋_GB2312" w:eastAsia="仿宋_GB2312"/>
          <w:b w:val="0"/>
          <w:color w:val="000000"/>
          <w:sz w:val="32"/>
        </w:rPr>
        <w:t>2021年汉兴医药原料药及关键中间体绿色智能产业化项目总投资4.26亿元，其中环保投资1.10亿元、占比25.89%，配套危废焚烧炉、RTO废气处理、2500m³/d污水处理站（来源：潍坊市生态环境局）。公司对厂区全面监控、废水废气在线监测、危险工艺配自控设施，将绿色安全生产列为KPI，体现行业技术升级方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项目/平台</w:t>
            </w:r>
          </w:p>
        </w:tc>
        <w:tc>
          <w:tcPr>
            <w:tcW w:type="dxa" w:w="2835"/>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效果</w:t>
            </w:r>
          </w:p>
        </w:tc>
      </w:tr>
      <w:tr>
        <w:tc>
          <w:tcPr>
            <w:tcW w:type="dxa" w:w="2268"/>
          </w:tcPr>
          <w:p>
            <w:pPr>
              <w:spacing w:lineRule="exact" w:line="600"/>
              <w:jc w:val="center"/>
            </w:pPr>
            <w:r/>
            <w:r>
              <w:rPr>
                <w:rFonts w:ascii="仿宋_GB2312" w:hAnsi="仿宋_GB2312" w:eastAsia="仿宋_GB2312"/>
                <w:b w:val="0"/>
                <w:color w:val="000000"/>
                <w:sz w:val="32"/>
              </w:rPr>
              <w:t>产学研合作</w:t>
            </w:r>
          </w:p>
        </w:tc>
        <w:tc>
          <w:tcPr>
            <w:tcW w:type="dxa" w:w="2835"/>
          </w:tcPr>
          <w:p>
            <w:pPr>
              <w:spacing w:lineRule="exact" w:line="600"/>
              <w:jc w:val="center"/>
            </w:pPr>
            <w:r/>
            <w:r>
              <w:rPr>
                <w:rFonts w:ascii="仿宋_GB2312" w:hAnsi="仿宋_GB2312" w:eastAsia="仿宋_GB2312"/>
                <w:b w:val="0"/>
                <w:color w:val="000000"/>
                <w:sz w:val="32"/>
              </w:rPr>
              <w:t>中科院大连化物所等</w:t>
            </w:r>
          </w:p>
        </w:tc>
        <w:tc>
          <w:tcPr>
            <w:tcW w:type="dxa" w:w="2835"/>
          </w:tcPr>
          <w:p>
            <w:pPr>
              <w:spacing w:lineRule="exact" w:line="600"/>
              <w:jc w:val="center"/>
            </w:pPr>
            <w:r/>
            <w:r>
              <w:rPr>
                <w:rFonts w:ascii="仿宋_GB2312" w:hAnsi="仿宋_GB2312" w:eastAsia="仿宋_GB2312"/>
                <w:b w:val="0"/>
                <w:color w:val="000000"/>
                <w:sz w:val="32"/>
              </w:rPr>
              <w:t>成果产业转化</w:t>
            </w:r>
          </w:p>
        </w:tc>
      </w:tr>
      <w:tr>
        <w:tc>
          <w:tcPr>
            <w:tcW w:type="dxa" w:w="2268"/>
          </w:tcPr>
          <w:p>
            <w:pPr>
              <w:spacing w:lineRule="exact" w:line="600"/>
              <w:jc w:val="center"/>
            </w:pPr>
            <w:r/>
            <w:r>
              <w:rPr>
                <w:rFonts w:ascii="仿宋_GB2312" w:hAnsi="仿宋_GB2312" w:eastAsia="仿宋_GB2312"/>
                <w:b w:val="0"/>
                <w:color w:val="000000"/>
                <w:sz w:val="32"/>
              </w:rPr>
              <w:t>绿色智能项目</w:t>
            </w:r>
          </w:p>
        </w:tc>
        <w:tc>
          <w:tcPr>
            <w:tcW w:type="dxa" w:w="2835"/>
          </w:tcPr>
          <w:p>
            <w:pPr>
              <w:spacing w:lineRule="exact" w:line="600"/>
              <w:jc w:val="center"/>
            </w:pPr>
            <w:r/>
            <w:r>
              <w:rPr>
                <w:rFonts w:ascii="仿宋_GB2312" w:hAnsi="仿宋_GB2312" w:eastAsia="仿宋_GB2312"/>
                <w:b w:val="0"/>
                <w:color w:val="000000"/>
                <w:sz w:val="32"/>
              </w:rPr>
              <w:t>总投资4.26亿元</w:t>
            </w:r>
          </w:p>
        </w:tc>
        <w:tc>
          <w:tcPr>
            <w:tcW w:type="dxa" w:w="2835"/>
          </w:tcPr>
          <w:p>
            <w:pPr>
              <w:spacing w:lineRule="exact" w:line="600"/>
              <w:jc w:val="center"/>
            </w:pPr>
            <w:r/>
            <w:r>
              <w:rPr>
                <w:rFonts w:ascii="仿宋_GB2312" w:hAnsi="仿宋_GB2312" w:eastAsia="仿宋_GB2312"/>
                <w:b w:val="0"/>
                <w:color w:val="000000"/>
                <w:sz w:val="32"/>
              </w:rPr>
              <w:t>6套装置升级</w:t>
            </w:r>
          </w:p>
        </w:tc>
      </w:tr>
      <w:tr>
        <w:tc>
          <w:tcPr>
            <w:tcW w:type="dxa" w:w="2268"/>
          </w:tcPr>
          <w:p>
            <w:pPr>
              <w:spacing w:lineRule="exact" w:line="600"/>
              <w:jc w:val="center"/>
            </w:pPr>
            <w:r/>
            <w:r>
              <w:rPr>
                <w:rFonts w:ascii="仿宋_GB2312" w:hAnsi="仿宋_GB2312" w:eastAsia="仿宋_GB2312"/>
                <w:b w:val="0"/>
                <w:color w:val="000000"/>
                <w:sz w:val="32"/>
              </w:rPr>
              <w:t>环保投入</w:t>
            </w:r>
          </w:p>
        </w:tc>
        <w:tc>
          <w:tcPr>
            <w:tcW w:type="dxa" w:w="2835"/>
          </w:tcPr>
          <w:p>
            <w:pPr>
              <w:spacing w:lineRule="exact" w:line="600"/>
              <w:jc w:val="center"/>
            </w:pPr>
            <w:r/>
            <w:r>
              <w:rPr>
                <w:rFonts w:ascii="仿宋_GB2312" w:hAnsi="仿宋_GB2312" w:eastAsia="仿宋_GB2312"/>
                <w:b w:val="0"/>
                <w:color w:val="000000"/>
                <w:sz w:val="32"/>
              </w:rPr>
              <w:t>1.10亿元/占25.89%</w:t>
            </w:r>
          </w:p>
        </w:tc>
        <w:tc>
          <w:tcPr>
            <w:tcW w:type="dxa" w:w="2835"/>
          </w:tcPr>
          <w:p>
            <w:pPr>
              <w:spacing w:lineRule="exact" w:line="600"/>
              <w:jc w:val="center"/>
            </w:pPr>
            <w:r/>
            <w:r>
              <w:rPr>
                <w:rFonts w:ascii="仿宋_GB2312" w:hAnsi="仿宋_GB2312" w:eastAsia="仿宋_GB2312"/>
                <w:b w:val="0"/>
                <w:color w:val="000000"/>
                <w:sz w:val="32"/>
              </w:rPr>
              <w:t>达标排放、绿色生产</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（一）成本与盈利</w:t>
      </w:r>
    </w:p>
    <w:p>
      <w:pPr>
        <w:spacing w:lineRule="exact" w:line="600" w:before="0" w:after="0"/>
        <w:ind w:firstLine="420"/>
        <w:jc w:val="both"/>
      </w:pPr>
      <w:r>
        <w:rPr>
          <w:rFonts w:ascii="仿宋_GB2312" w:hAnsi="仿宋_GB2312" w:eastAsia="仿宋_GB2312"/>
          <w:b w:val="0"/>
          <w:color w:val="000000"/>
          <w:sz w:val="32"/>
        </w:rPr>
        <w:t>医药中间体成本以化工原料、环保治理、研发为主。汉兴医药园区内原料就地配套降低采购成本；但环保投资占比高（25.89%）推升固定成本。公司预计年销售额约3亿元、创利约2000余万元，并以每年10%速度拓展市场（来源：汉兴官网）。高壁垒中间体盈利能力优于基础化工，但受原料药价周期影响。</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下营化工产业园「九通一平」、集中环保设施（RTO、污水站）为下游制品企业提供合规保障（来源：中国化工报、环评批复）。昌邑化学原料与卤水资源丰富，毗邻港口利于出口。政府技改与环保政策支持企业升级，要素环境总体有利。</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要素</w:t>
            </w:r>
          </w:p>
        </w:tc>
        <w:tc>
          <w:tcPr>
            <w:tcW w:type="dxa" w:w="3402"/>
          </w:tcPr>
          <w:p>
            <w:pPr>
              <w:spacing w:lineRule="exact" w:line="600"/>
              <w:jc w:val="center"/>
            </w:pPr>
            <w:r/>
            <w:r>
              <w:rPr>
                <w:rFonts w:ascii="黑体" w:hAnsi="黑体" w:eastAsia="黑体"/>
                <w:b/>
                <w:color w:val="000000"/>
                <w:sz w:val="32"/>
              </w:rPr>
              <w:t>情况</w:t>
            </w:r>
          </w:p>
        </w:tc>
        <w:tc>
          <w:tcPr>
            <w:tcW w:type="dxa" w:w="2835"/>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原料</w:t>
            </w:r>
          </w:p>
        </w:tc>
        <w:tc>
          <w:tcPr>
            <w:tcW w:type="dxa" w:w="3402"/>
          </w:tcPr>
          <w:p>
            <w:pPr>
              <w:spacing w:lineRule="exact" w:line="600"/>
              <w:jc w:val="center"/>
            </w:pPr>
            <w:r/>
            <w:r>
              <w:rPr>
                <w:rFonts w:ascii="仿宋_GB2312" w:hAnsi="仿宋_GB2312" w:eastAsia="仿宋_GB2312"/>
                <w:b w:val="0"/>
                <w:color w:val="000000"/>
                <w:sz w:val="32"/>
              </w:rPr>
              <w:t>园区就地配套</w:t>
            </w:r>
          </w:p>
        </w:tc>
        <w:tc>
          <w:tcPr>
            <w:tcW w:type="dxa" w:w="2835"/>
          </w:tcPr>
          <w:p>
            <w:pPr>
              <w:spacing w:lineRule="exact" w:line="600"/>
              <w:jc w:val="center"/>
            </w:pPr>
            <w:r/>
            <w:r>
              <w:rPr>
                <w:rFonts w:ascii="仿宋_GB2312" w:hAnsi="仿宋_GB2312" w:eastAsia="仿宋_GB2312"/>
                <w:b w:val="0"/>
                <w:color w:val="000000"/>
                <w:sz w:val="32"/>
              </w:rPr>
              <w:t>降成本</w:t>
            </w:r>
          </w:p>
        </w:tc>
      </w:tr>
      <w:tr>
        <w:tc>
          <w:tcPr>
            <w:tcW w:type="dxa" w:w="1701"/>
          </w:tcPr>
          <w:p>
            <w:pPr>
              <w:spacing w:lineRule="exact" w:line="600"/>
              <w:jc w:val="center"/>
            </w:pPr>
            <w:r/>
            <w:r>
              <w:rPr>
                <w:rFonts w:ascii="仿宋_GB2312" w:hAnsi="仿宋_GB2312" w:eastAsia="仿宋_GB2312"/>
                <w:b w:val="0"/>
                <w:color w:val="000000"/>
                <w:sz w:val="32"/>
              </w:rPr>
              <w:t>环保设施</w:t>
            </w:r>
          </w:p>
        </w:tc>
        <w:tc>
          <w:tcPr>
            <w:tcW w:type="dxa" w:w="3402"/>
          </w:tcPr>
          <w:p>
            <w:pPr>
              <w:spacing w:lineRule="exact" w:line="600"/>
              <w:jc w:val="center"/>
            </w:pPr>
            <w:r/>
            <w:r>
              <w:rPr>
                <w:rFonts w:ascii="仿宋_GB2312" w:hAnsi="仿宋_GB2312" w:eastAsia="仿宋_GB2312"/>
                <w:b w:val="0"/>
                <w:color w:val="000000"/>
                <w:sz w:val="32"/>
              </w:rPr>
              <w:t>RTO、2500m³/d污水站</w:t>
            </w:r>
          </w:p>
        </w:tc>
        <w:tc>
          <w:tcPr>
            <w:tcW w:type="dxa" w:w="2835"/>
          </w:tcPr>
          <w:p>
            <w:pPr>
              <w:spacing w:lineRule="exact" w:line="600"/>
              <w:jc w:val="center"/>
            </w:pPr>
            <w:r/>
            <w:r>
              <w:rPr>
                <w:rFonts w:ascii="仿宋_GB2312" w:hAnsi="仿宋_GB2312" w:eastAsia="仿宋_GB2312"/>
                <w:b w:val="0"/>
                <w:color w:val="000000"/>
                <w:sz w:val="32"/>
              </w:rPr>
              <w:t>合规保障</w:t>
            </w:r>
          </w:p>
        </w:tc>
      </w:tr>
      <w:tr>
        <w:tc>
          <w:tcPr>
            <w:tcW w:type="dxa" w:w="1701"/>
          </w:tcPr>
          <w:p>
            <w:pPr>
              <w:spacing w:lineRule="exact" w:line="600"/>
              <w:jc w:val="center"/>
            </w:pPr>
            <w:r/>
            <w:r>
              <w:rPr>
                <w:rFonts w:ascii="仿宋_GB2312" w:hAnsi="仿宋_GB2312" w:eastAsia="仿宋_GB2312"/>
                <w:b w:val="0"/>
                <w:color w:val="000000"/>
                <w:sz w:val="32"/>
              </w:rPr>
              <w:t>市场</w:t>
            </w:r>
          </w:p>
        </w:tc>
        <w:tc>
          <w:tcPr>
            <w:tcW w:type="dxa" w:w="3402"/>
          </w:tcPr>
          <w:p>
            <w:pPr>
              <w:spacing w:lineRule="exact" w:line="600"/>
              <w:jc w:val="center"/>
            </w:pPr>
            <w:r/>
            <w:r>
              <w:rPr>
                <w:rFonts w:ascii="仿宋_GB2312" w:hAnsi="仿宋_GB2312" w:eastAsia="仿宋_GB2312"/>
                <w:b w:val="0"/>
                <w:color w:val="000000"/>
                <w:sz w:val="32"/>
              </w:rPr>
              <w:t>年增10%拓展</w:t>
            </w:r>
          </w:p>
        </w:tc>
        <w:tc>
          <w:tcPr>
            <w:tcW w:type="dxa" w:w="2835"/>
          </w:tcPr>
          <w:p>
            <w:pPr>
              <w:spacing w:lineRule="exact" w:line="600"/>
              <w:jc w:val="center"/>
            </w:pPr>
            <w:r/>
            <w:r>
              <w:rPr>
                <w:rFonts w:ascii="仿宋_GB2312" w:hAnsi="仿宋_GB2312" w:eastAsia="仿宋_GB2312"/>
                <w:b w:val="0"/>
                <w:color w:val="000000"/>
                <w:sz w:val="32"/>
              </w:rPr>
              <w:t>营收增长</w:t>
            </w:r>
          </w:p>
        </w:tc>
      </w:tr>
      <w:tr>
        <w:tc>
          <w:tcPr>
            <w:tcW w:type="dxa" w:w="1701"/>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邻港</w:t>
            </w:r>
          </w:p>
        </w:tc>
        <w:tc>
          <w:tcPr>
            <w:tcW w:type="dxa" w:w="2835"/>
          </w:tcPr>
          <w:p>
            <w:pPr>
              <w:spacing w:lineRule="exact" w:line="600"/>
              <w:jc w:val="center"/>
            </w:pPr>
            <w:r/>
            <w:r>
              <w:rPr>
                <w:rFonts w:ascii="仿宋_GB2312" w:hAnsi="仿宋_GB2312" w:eastAsia="仿宋_GB2312"/>
                <w:b w:val="0"/>
                <w:color w:val="000000"/>
                <w:sz w:val="32"/>
              </w:rPr>
              <w:t>便利</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一是全球原料药及中间体需求增长、国产替代加速；二是昌邑海洋资源（溴素等）赋予特色中间体稀缺性；三是绿色智能项目推动向原料药升级，提升附加值；四是潍坊医养健康产业布局带来本地应用与政策红利。</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一是医药行业监管（GMP、环保）趋严，合规成本高；二是中间体价格波动、下游制剂企业压价；三是高层次人才与研发持续投入压力；四是与江浙沪医药集群相比，昌邑终端制剂品牌力偏弱。需以技术壁垒与绿色生产构筑护城河。</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类型</w:t>
            </w:r>
          </w:p>
        </w:tc>
        <w:tc>
          <w:tcPr>
            <w:tcW w:type="dxa" w:w="3969"/>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应对</w:t>
            </w:r>
          </w:p>
        </w:tc>
      </w:tr>
      <w:tr>
        <w:tc>
          <w:tcPr>
            <w:tcW w:type="dxa" w:w="1701"/>
          </w:tcPr>
          <w:p>
            <w:pPr>
              <w:spacing w:lineRule="exact" w:line="600"/>
              <w:jc w:val="center"/>
            </w:pPr>
            <w:r/>
            <w:r>
              <w:rPr>
                <w:rFonts w:ascii="仿宋_GB2312" w:hAnsi="仿宋_GB2312" w:eastAsia="仿宋_GB2312"/>
                <w:b w:val="0"/>
                <w:color w:val="000000"/>
                <w:sz w:val="32"/>
              </w:rPr>
              <w:t>机遇</w:t>
            </w:r>
          </w:p>
        </w:tc>
        <w:tc>
          <w:tcPr>
            <w:tcW w:type="dxa" w:w="3969"/>
          </w:tcPr>
          <w:p>
            <w:pPr>
              <w:spacing w:lineRule="exact" w:line="600"/>
              <w:jc w:val="center"/>
            </w:pPr>
            <w:r/>
            <w:r>
              <w:rPr>
                <w:rFonts w:ascii="仿宋_GB2312" w:hAnsi="仿宋_GB2312" w:eastAsia="仿宋_GB2312"/>
                <w:b w:val="0"/>
                <w:color w:val="000000"/>
                <w:sz w:val="32"/>
              </w:rPr>
              <w:t>原料药国产替代、特色溴系</w:t>
            </w:r>
          </w:p>
        </w:tc>
        <w:tc>
          <w:tcPr>
            <w:tcW w:type="dxa" w:w="2835"/>
          </w:tcPr>
          <w:p>
            <w:pPr>
              <w:spacing w:lineRule="exact" w:line="600"/>
              <w:jc w:val="center"/>
            </w:pPr>
            <w:r/>
            <w:r>
              <w:rPr>
                <w:rFonts w:ascii="仿宋_GB2312" w:hAnsi="仿宋_GB2312" w:eastAsia="仿宋_GB2312"/>
                <w:b w:val="0"/>
                <w:color w:val="000000"/>
                <w:sz w:val="32"/>
              </w:rPr>
              <w:t>向原料药升级</w:t>
            </w:r>
          </w:p>
        </w:tc>
      </w:tr>
      <w:tr>
        <w:tc>
          <w:tcPr>
            <w:tcW w:type="dxa" w:w="1701"/>
          </w:tcPr>
          <w:p>
            <w:pPr>
              <w:spacing w:lineRule="exact" w:line="600"/>
              <w:jc w:val="center"/>
            </w:pPr>
            <w:r/>
            <w:r>
              <w:rPr>
                <w:rFonts w:ascii="仿宋_GB2312" w:hAnsi="仿宋_GB2312" w:eastAsia="仿宋_GB2312"/>
                <w:b w:val="0"/>
                <w:color w:val="000000"/>
                <w:sz w:val="32"/>
              </w:rPr>
              <w:t>挑战</w:t>
            </w:r>
          </w:p>
        </w:tc>
        <w:tc>
          <w:tcPr>
            <w:tcW w:type="dxa" w:w="3969"/>
          </w:tcPr>
          <w:p>
            <w:pPr>
              <w:spacing w:lineRule="exact" w:line="600"/>
              <w:jc w:val="center"/>
            </w:pPr>
            <w:r/>
            <w:r>
              <w:rPr>
                <w:rFonts w:ascii="仿宋_GB2312" w:hAnsi="仿宋_GB2312" w:eastAsia="仿宋_GB2312"/>
                <w:b w:val="0"/>
                <w:color w:val="000000"/>
                <w:sz w:val="32"/>
              </w:rPr>
              <w:t>监管严、价格波动</w:t>
            </w:r>
          </w:p>
        </w:tc>
        <w:tc>
          <w:tcPr>
            <w:tcW w:type="dxa" w:w="2835"/>
          </w:tcPr>
          <w:p>
            <w:pPr>
              <w:spacing w:lineRule="exact" w:line="600"/>
              <w:jc w:val="center"/>
            </w:pPr>
            <w:r/>
            <w:r>
              <w:rPr>
                <w:rFonts w:ascii="仿宋_GB2312" w:hAnsi="仿宋_GB2312" w:eastAsia="仿宋_GB2312"/>
                <w:b w:val="0"/>
                <w:color w:val="000000"/>
                <w:sz w:val="32"/>
              </w:rPr>
              <w:t>技术+绿色壁垒</w:t>
            </w:r>
          </w:p>
        </w:tc>
      </w:tr>
      <w:tr>
        <w:tc>
          <w:tcPr>
            <w:tcW w:type="dxa" w:w="1701"/>
          </w:tcPr>
          <w:p>
            <w:pPr>
              <w:spacing w:lineRule="exact" w:line="600"/>
              <w:jc w:val="center"/>
            </w:pPr>
            <w:r/>
            <w:r>
              <w:rPr>
                <w:rFonts w:ascii="仿宋_GB2312" w:hAnsi="仿宋_GB2312" w:eastAsia="仿宋_GB2312"/>
                <w:b w:val="0"/>
                <w:color w:val="000000"/>
                <w:sz w:val="32"/>
              </w:rPr>
              <w:t>风险</w:t>
            </w:r>
          </w:p>
        </w:tc>
        <w:tc>
          <w:tcPr>
            <w:tcW w:type="dxa" w:w="3969"/>
          </w:tcPr>
          <w:p>
            <w:pPr>
              <w:spacing w:lineRule="exact" w:line="600"/>
              <w:jc w:val="center"/>
            </w:pPr>
            <w:r/>
            <w:r>
              <w:rPr>
                <w:rFonts w:ascii="仿宋_GB2312" w:hAnsi="仿宋_GB2312" w:eastAsia="仿宋_GB2312"/>
                <w:b w:val="0"/>
                <w:color w:val="000000"/>
                <w:sz w:val="32"/>
              </w:rPr>
              <w:t>品牌力偏弱</w:t>
            </w:r>
          </w:p>
        </w:tc>
        <w:tc>
          <w:tcPr>
            <w:tcW w:type="dxa" w:w="2835"/>
          </w:tcPr>
          <w:p>
            <w:pPr>
              <w:spacing w:lineRule="exact" w:line="600"/>
              <w:jc w:val="center"/>
            </w:pPr>
            <w:r/>
            <w:r>
              <w:rPr>
                <w:rFonts w:ascii="仿宋_GB2312" w:hAnsi="仿宋_GB2312" w:eastAsia="仿宋_GB2312"/>
                <w:b w:val="0"/>
                <w:color w:val="000000"/>
                <w:sz w:val="32"/>
              </w:rPr>
              <w:t>培育终端制剂</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（一）向原料药与制剂延伸</w:t>
      </w:r>
    </w:p>
    <w:p>
      <w:pPr>
        <w:spacing w:lineRule="exact" w:line="600" w:before="0" w:after="0"/>
        <w:ind w:firstLine="420"/>
        <w:jc w:val="both"/>
      </w:pPr>
      <w:r>
        <w:rPr>
          <w:rFonts w:ascii="仿宋_GB2312" w:hAnsi="仿宋_GB2312" w:eastAsia="仿宋_GB2312"/>
          <w:b w:val="0"/>
          <w:color w:val="000000"/>
          <w:sz w:val="32"/>
        </w:rPr>
        <w:t>汉兴医药通过2021年绿色智能项目，由中间体向多西环素等原料药升级。路径上应继续延伸制剂环节，培育终端品牌，提升单位产值。园区可吸引制剂企业与CXO（研发外包）落地，补全「中间体—原料药—制剂」全链条。</w:t>
      </w:r>
    </w:p>
    <w:p>
      <w:pPr>
        <w:spacing w:lineRule="exact" w:line="600" w:before="120" w:after="120"/>
        <w:ind w:firstLine="420"/>
        <w:jc w:val="left"/>
      </w:pPr>
      <w:r>
        <w:rPr>
          <w:rFonts w:ascii="楷体_GB2312" w:hAnsi="楷体_GB2312" w:eastAsia="楷体_GB2312"/>
          <w:b w:val="0"/>
          <w:color w:val="000000"/>
          <w:sz w:val="32"/>
        </w:rPr>
        <w:t>（二）绿色化与数字化</w:t>
      </w:r>
    </w:p>
    <w:p>
      <w:pPr>
        <w:spacing w:lineRule="exact" w:line="600" w:before="0" w:after="0"/>
        <w:ind w:firstLine="420"/>
        <w:jc w:val="both"/>
      </w:pPr>
      <w:r>
        <w:rPr>
          <w:rFonts w:ascii="仿宋_GB2312" w:hAnsi="仿宋_GB2312" w:eastAsia="仿宋_GB2312"/>
          <w:b w:val="0"/>
          <w:color w:val="000000"/>
          <w:sz w:val="32"/>
        </w:rPr>
        <w:t>以汉兴医药绿色智能项目为样板，推动下游制品企业全面采用RTO、在线监测、自动化控制，建设绿色工厂。利用数字化管控提升批次一致性与可追溯性，符合医药行业合规要求，打造昌邑海洋医药中间体的绿色智造名片。</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835"/>
          </w:tcPr>
          <w:p>
            <w:pPr>
              <w:spacing w:lineRule="exact" w:line="600"/>
              <w:jc w:val="center"/>
            </w:pPr>
            <w:r/>
            <w:r>
              <w:rPr>
                <w:rFonts w:ascii="黑体" w:hAnsi="黑体" w:eastAsia="黑体"/>
                <w:b/>
                <w:color w:val="000000"/>
                <w:sz w:val="32"/>
              </w:rPr>
              <w:t>效果</w:t>
            </w:r>
          </w:p>
        </w:tc>
      </w:tr>
      <w:tr>
        <w:tc>
          <w:tcPr>
            <w:tcW w:type="dxa" w:w="1701"/>
          </w:tcPr>
          <w:p>
            <w:pPr>
              <w:spacing w:lineRule="exact" w:line="600"/>
              <w:jc w:val="center"/>
            </w:pPr>
            <w:r/>
            <w:r>
              <w:rPr>
                <w:rFonts w:ascii="仿宋_GB2312" w:hAnsi="仿宋_GB2312" w:eastAsia="仿宋_GB2312"/>
                <w:b w:val="0"/>
                <w:color w:val="000000"/>
                <w:sz w:val="32"/>
              </w:rPr>
              <w:t>延链</w:t>
            </w:r>
          </w:p>
        </w:tc>
        <w:tc>
          <w:tcPr>
            <w:tcW w:type="dxa" w:w="3402"/>
          </w:tcPr>
          <w:p>
            <w:pPr>
              <w:spacing w:lineRule="exact" w:line="600"/>
              <w:jc w:val="center"/>
            </w:pPr>
            <w:r/>
            <w:r>
              <w:rPr>
                <w:rFonts w:ascii="仿宋_GB2312" w:hAnsi="仿宋_GB2312" w:eastAsia="仿宋_GB2312"/>
                <w:b w:val="0"/>
                <w:color w:val="000000"/>
                <w:sz w:val="32"/>
              </w:rPr>
              <w:t>中间体→原料药→制剂</w:t>
            </w:r>
          </w:p>
        </w:tc>
        <w:tc>
          <w:tcPr>
            <w:tcW w:type="dxa" w:w="2835"/>
          </w:tcPr>
          <w:p>
            <w:pPr>
              <w:spacing w:lineRule="exact" w:line="600"/>
              <w:jc w:val="center"/>
            </w:pPr>
            <w:r/>
            <w:r>
              <w:rPr>
                <w:rFonts w:ascii="仿宋_GB2312" w:hAnsi="仿宋_GB2312" w:eastAsia="仿宋_GB2312"/>
                <w:b w:val="0"/>
                <w:color w:val="000000"/>
                <w:sz w:val="32"/>
              </w:rPr>
              <w:t>提附加值</w:t>
            </w:r>
          </w:p>
        </w:tc>
      </w:tr>
      <w:tr>
        <w:tc>
          <w:tcPr>
            <w:tcW w:type="dxa" w:w="1701"/>
          </w:tcPr>
          <w:p>
            <w:pPr>
              <w:spacing w:lineRule="exact" w:line="600"/>
              <w:jc w:val="center"/>
            </w:pPr>
            <w:r/>
            <w:r>
              <w:rPr>
                <w:rFonts w:ascii="仿宋_GB2312" w:hAnsi="仿宋_GB2312" w:eastAsia="仿宋_GB2312"/>
                <w:b w:val="0"/>
                <w:color w:val="000000"/>
                <w:sz w:val="32"/>
              </w:rPr>
              <w:t>绿色</w:t>
            </w:r>
          </w:p>
        </w:tc>
        <w:tc>
          <w:tcPr>
            <w:tcW w:type="dxa" w:w="3402"/>
          </w:tcPr>
          <w:p>
            <w:pPr>
              <w:spacing w:lineRule="exact" w:line="600"/>
              <w:jc w:val="center"/>
            </w:pPr>
            <w:r/>
            <w:r>
              <w:rPr>
                <w:rFonts w:ascii="仿宋_GB2312" w:hAnsi="仿宋_GB2312" w:eastAsia="仿宋_GB2312"/>
                <w:b w:val="0"/>
                <w:color w:val="000000"/>
                <w:sz w:val="32"/>
              </w:rPr>
              <w:t>RTO、在线监测</w:t>
            </w:r>
          </w:p>
        </w:tc>
        <w:tc>
          <w:tcPr>
            <w:tcW w:type="dxa" w:w="2835"/>
          </w:tcPr>
          <w:p>
            <w:pPr>
              <w:spacing w:lineRule="exact" w:line="600"/>
              <w:jc w:val="center"/>
            </w:pPr>
            <w:r/>
            <w:r>
              <w:rPr>
                <w:rFonts w:ascii="仿宋_GB2312" w:hAnsi="仿宋_GB2312" w:eastAsia="仿宋_GB2312"/>
                <w:b w:val="0"/>
                <w:color w:val="000000"/>
                <w:sz w:val="32"/>
              </w:rPr>
              <w:t>合规、降排</w:t>
            </w:r>
          </w:p>
        </w:tc>
      </w:tr>
      <w:tr>
        <w:tc>
          <w:tcPr>
            <w:tcW w:type="dxa" w:w="1701"/>
          </w:tcPr>
          <w:p>
            <w:pPr>
              <w:spacing w:lineRule="exact" w:line="600"/>
              <w:jc w:val="center"/>
            </w:pPr>
            <w:r/>
            <w:r>
              <w:rPr>
                <w:rFonts w:ascii="仿宋_GB2312" w:hAnsi="仿宋_GB2312" w:eastAsia="仿宋_GB2312"/>
                <w:b w:val="0"/>
                <w:color w:val="000000"/>
                <w:sz w:val="32"/>
              </w:rPr>
              <w:t>数字</w:t>
            </w:r>
          </w:p>
        </w:tc>
        <w:tc>
          <w:tcPr>
            <w:tcW w:type="dxa" w:w="3402"/>
          </w:tcPr>
          <w:p>
            <w:pPr>
              <w:spacing w:lineRule="exact" w:line="600"/>
              <w:jc w:val="center"/>
            </w:pPr>
            <w:r/>
            <w:r>
              <w:rPr>
                <w:rFonts w:ascii="仿宋_GB2312" w:hAnsi="仿宋_GB2312" w:eastAsia="仿宋_GB2312"/>
                <w:b w:val="0"/>
                <w:color w:val="000000"/>
                <w:sz w:val="32"/>
              </w:rPr>
              <w:t>智能工厂管控</w:t>
            </w:r>
          </w:p>
        </w:tc>
        <w:tc>
          <w:tcPr>
            <w:tcW w:type="dxa" w:w="2835"/>
          </w:tcPr>
          <w:p>
            <w:pPr>
              <w:spacing w:lineRule="exact" w:line="600"/>
              <w:jc w:val="center"/>
            </w:pPr>
            <w:r/>
            <w:r>
              <w:rPr>
                <w:rFonts w:ascii="仿宋_GB2312" w:hAnsi="仿宋_GB2312" w:eastAsia="仿宋_GB2312"/>
                <w:b w:val="0"/>
                <w:color w:val="000000"/>
                <w:sz w:val="32"/>
              </w:rPr>
              <w:t>质量追溯</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（一）绿色智能产业化融资</w:t>
      </w:r>
    </w:p>
    <w:p>
      <w:pPr>
        <w:spacing w:lineRule="exact" w:line="600" w:before="0" w:after="0"/>
        <w:ind w:firstLine="420"/>
        <w:jc w:val="both"/>
      </w:pPr>
      <w:r>
        <w:rPr>
          <w:rFonts w:ascii="仿宋_GB2312" w:hAnsi="仿宋_GB2312" w:eastAsia="仿宋_GB2312"/>
          <w:b w:val="0"/>
          <w:color w:val="000000"/>
          <w:sz w:val="32"/>
        </w:rPr>
        <w:t>汉兴医药2021年项目总投资4.26亿元、环保投资占25.89%，显示下游制品企业升级需要较大资本。此类绿色原料药项目适合绿色信贷、政策性银行贷款、技改贴息及股权融资，以扩产高壁垒中间体与原料药。</w:t>
      </w:r>
    </w:p>
    <w:p>
      <w:pPr>
        <w:spacing w:lineRule="exact" w:line="600" w:before="120" w:after="120"/>
        <w:ind w:firstLine="420"/>
        <w:jc w:val="left"/>
      </w:pPr>
      <w:r>
        <w:rPr>
          <w:rFonts w:ascii="楷体_GB2312" w:hAnsi="楷体_GB2312" w:eastAsia="楷体_GB2312"/>
          <w:b w:val="0"/>
          <w:color w:val="000000"/>
          <w:sz w:val="32"/>
        </w:rPr>
        <w:t>（二）园区配套与并购整合融资</w:t>
      </w:r>
    </w:p>
    <w:p>
      <w:pPr>
        <w:spacing w:lineRule="exact" w:line="600" w:before="0" w:after="0"/>
        <w:ind w:firstLine="420"/>
        <w:jc w:val="both"/>
      </w:pPr>
      <w:r>
        <w:rPr>
          <w:rFonts w:ascii="仿宋_GB2312" w:hAnsi="仿宋_GB2312" w:eastAsia="仿宋_GB2312"/>
          <w:b w:val="0"/>
          <w:color w:val="000000"/>
          <w:sz w:val="32"/>
        </w:rPr>
        <w:t>昌邑可设立医药产业基金，支持中间体企业并购、制剂企业引进及公共研发平台建设。中小企业可通过供应链金融缓解原料采购资金压力，园区集中环保设施可采用专项债或REITs降低企业分摊成本，整体提升下游制品集群竞争力。</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场景</w:t>
            </w:r>
          </w:p>
        </w:tc>
        <w:tc>
          <w:tcPr>
            <w:tcW w:type="dxa" w:w="2835"/>
          </w:tcPr>
          <w:p>
            <w:pPr>
              <w:spacing w:lineRule="exact" w:line="600"/>
              <w:jc w:val="center"/>
            </w:pPr>
            <w:r/>
            <w:r>
              <w:rPr>
                <w:rFonts w:ascii="黑体" w:hAnsi="黑体" w:eastAsia="黑体"/>
                <w:b/>
                <w:color w:val="000000"/>
                <w:sz w:val="32"/>
              </w:rPr>
              <w:t>工具</w:t>
            </w:r>
          </w:p>
        </w:tc>
      </w:tr>
      <w:tr>
        <w:tc>
          <w:tcPr>
            <w:tcW w:type="dxa" w:w="1701"/>
          </w:tcPr>
          <w:p>
            <w:pPr>
              <w:spacing w:lineRule="exact" w:line="600"/>
              <w:jc w:val="center"/>
            </w:pPr>
            <w:r/>
            <w:r>
              <w:rPr>
                <w:rFonts w:ascii="仿宋_GB2312" w:hAnsi="仿宋_GB2312" w:eastAsia="仿宋_GB2312"/>
                <w:b w:val="0"/>
                <w:color w:val="000000"/>
                <w:sz w:val="32"/>
              </w:rPr>
              <w:t>产业化</w:t>
            </w:r>
          </w:p>
        </w:tc>
        <w:tc>
          <w:tcPr>
            <w:tcW w:type="dxa" w:w="3402"/>
          </w:tcPr>
          <w:p>
            <w:pPr>
              <w:spacing w:lineRule="exact" w:line="600"/>
              <w:jc w:val="center"/>
            </w:pPr>
            <w:r/>
            <w:r>
              <w:rPr>
                <w:rFonts w:ascii="仿宋_GB2312" w:hAnsi="仿宋_GB2312" w:eastAsia="仿宋_GB2312"/>
                <w:b w:val="0"/>
                <w:color w:val="000000"/>
                <w:sz w:val="32"/>
              </w:rPr>
              <w:t>原料药/中间体扩产</w:t>
            </w:r>
          </w:p>
        </w:tc>
        <w:tc>
          <w:tcPr>
            <w:tcW w:type="dxa" w:w="2835"/>
          </w:tcPr>
          <w:p>
            <w:pPr>
              <w:spacing w:lineRule="exact" w:line="600"/>
              <w:jc w:val="center"/>
            </w:pPr>
            <w:r/>
            <w:r>
              <w:rPr>
                <w:rFonts w:ascii="仿宋_GB2312" w:hAnsi="仿宋_GB2312" w:eastAsia="仿宋_GB2312"/>
                <w:b w:val="0"/>
                <w:color w:val="000000"/>
                <w:sz w:val="32"/>
              </w:rPr>
              <w:t>绿色信贷、股权融资</w:t>
            </w:r>
          </w:p>
        </w:tc>
      </w:tr>
      <w:tr>
        <w:tc>
          <w:tcPr>
            <w:tcW w:type="dxa" w:w="1701"/>
          </w:tcPr>
          <w:p>
            <w:pPr>
              <w:spacing w:lineRule="exact" w:line="600"/>
              <w:jc w:val="center"/>
            </w:pPr>
            <w:r/>
            <w:r>
              <w:rPr>
                <w:rFonts w:ascii="仿宋_GB2312" w:hAnsi="仿宋_GB2312" w:eastAsia="仿宋_GB2312"/>
                <w:b w:val="0"/>
                <w:color w:val="000000"/>
                <w:sz w:val="32"/>
              </w:rPr>
              <w:t>平台</w:t>
            </w:r>
          </w:p>
        </w:tc>
        <w:tc>
          <w:tcPr>
            <w:tcW w:type="dxa" w:w="3402"/>
          </w:tcPr>
          <w:p>
            <w:pPr>
              <w:spacing w:lineRule="exact" w:line="600"/>
              <w:jc w:val="center"/>
            </w:pPr>
            <w:r/>
            <w:r>
              <w:rPr>
                <w:rFonts w:ascii="仿宋_GB2312" w:hAnsi="仿宋_GB2312" w:eastAsia="仿宋_GB2312"/>
                <w:b w:val="0"/>
                <w:color w:val="000000"/>
                <w:sz w:val="32"/>
              </w:rPr>
              <w:t>公共研发/环保设施</w:t>
            </w:r>
          </w:p>
        </w:tc>
        <w:tc>
          <w:tcPr>
            <w:tcW w:type="dxa" w:w="2835"/>
          </w:tcPr>
          <w:p>
            <w:pPr>
              <w:spacing w:lineRule="exact" w:line="600"/>
              <w:jc w:val="center"/>
            </w:pPr>
            <w:r/>
            <w:r>
              <w:rPr>
                <w:rFonts w:ascii="仿宋_GB2312" w:hAnsi="仿宋_GB2312" w:eastAsia="仿宋_GB2312"/>
                <w:b w:val="0"/>
                <w:color w:val="000000"/>
                <w:sz w:val="32"/>
              </w:rPr>
              <w:t>产业基金、专项债</w:t>
            </w:r>
          </w:p>
        </w:tc>
      </w:tr>
      <w:tr>
        <w:tc>
          <w:tcPr>
            <w:tcW w:type="dxa" w:w="1701"/>
          </w:tcPr>
          <w:p>
            <w:pPr>
              <w:spacing w:lineRule="exact" w:line="600"/>
              <w:jc w:val="center"/>
            </w:pPr>
            <w:r/>
            <w:r>
              <w:rPr>
                <w:rFonts w:ascii="仿宋_GB2312" w:hAnsi="仿宋_GB2312" w:eastAsia="仿宋_GB2312"/>
                <w:b w:val="0"/>
                <w:color w:val="000000"/>
                <w:sz w:val="32"/>
              </w:rPr>
              <w:t>流动</w:t>
            </w:r>
          </w:p>
        </w:tc>
        <w:tc>
          <w:tcPr>
            <w:tcW w:type="dxa" w:w="3402"/>
          </w:tcPr>
          <w:p>
            <w:pPr>
              <w:spacing w:lineRule="exact" w:line="600"/>
              <w:jc w:val="center"/>
            </w:pPr>
            <w:r/>
            <w:r>
              <w:rPr>
                <w:rFonts w:ascii="仿宋_GB2312" w:hAnsi="仿宋_GB2312" w:eastAsia="仿宋_GB2312"/>
                <w:b w:val="0"/>
                <w:color w:val="000000"/>
                <w:sz w:val="32"/>
              </w:rPr>
              <w:t>原料采购</w:t>
            </w:r>
          </w:p>
        </w:tc>
        <w:tc>
          <w:tcPr>
            <w:tcW w:type="dxa" w:w="2835"/>
          </w:tcPr>
          <w:p>
            <w:pPr>
              <w:spacing w:lineRule="exact" w:line="600"/>
              <w:jc w:val="center"/>
            </w:pPr>
            <w:r/>
            <w:r>
              <w:rPr>
                <w:rFonts w:ascii="仿宋_GB2312" w:hAnsi="仿宋_GB2312" w:eastAsia="仿宋_GB2312"/>
                <w:b w:val="0"/>
                <w:color w:val="000000"/>
                <w:sz w:val="32"/>
              </w:rPr>
              <w:t>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汉兴医药科技有限公司：成立于2005年7月，占地26万余平方米，注册资本5500万元，是以生产医药中间体为主的省级高新技术企业、股份制企业；产品涵盖乙醛酸（12000吨/年）、DL-对羟基苯甘氨酸（6000吨/年）、苯海因（4000吨/年）及头孢中间体、氟苯尼考中间体、心血管类中间体，预计年销售额约3亿元；依托中科院大连化物所、浙江大学、山东大学等转化成果，两项技术获省级鉴定；2021年原料药及关键中间体绿色智能产业化项目总投资4.26亿元（环保1.10亿元/占25.89%），新建多西环素等6套装置（来源：汉兴官网、潍坊市生态环境局环评批复、昌邑市政府文件）。</w:t>
      </w:r>
    </w:p>
    <w:p>
      <w:pPr>
        <w:spacing w:lineRule="exact" w:line="600" w:before="0" w:after="0"/>
        <w:ind w:firstLine="420"/>
        <w:jc w:val="both"/>
      </w:pPr>
      <w:r>
        <w:rPr>
          <w:rFonts w:ascii="仿宋_GB2312" w:hAnsi="仿宋_GB2312" w:eastAsia="仿宋_GB2312"/>
          <w:b w:val="0"/>
          <w:color w:val="000000"/>
          <w:sz w:val="32"/>
        </w:rPr>
        <w:t>山东丽晶药业有限公司：昌邑下营新型医药产业园骨干企业，位于下营化工产业园，与汉兴医药、天宇药业等共同构成12家新型医药企业集群，从事化学药及医药中间体业务（来源：中国化工报、昌邑市政府文件；具体营收公开资料有限）。</w:t>
      </w:r>
    </w:p>
    <w:p>
      <w:pPr>
        <w:spacing w:lineRule="exact" w:line="600" w:before="0" w:after="0"/>
        <w:ind w:firstLine="420"/>
        <w:jc w:val="both"/>
      </w:pPr>
      <w:r>
        <w:rPr>
          <w:rFonts w:ascii="仿宋_GB2312" w:hAnsi="仿宋_GB2312" w:eastAsia="仿宋_GB2312"/>
          <w:b w:val="0"/>
          <w:color w:val="000000"/>
          <w:sz w:val="32"/>
        </w:rPr>
        <w:t>山东康利莱医疗器材有限公司：位于昌邑，生产一次性输液器、一次性无菌注射器及胃管、氧气面罩等高端三类医疗器械，延伸海洋化工下游制品至医疗器械终端（来源：昌邑市政府文件；公开详细财务数据有限）。</w:t>
      </w:r>
    </w:p>
    <w:p>
      <w:pPr>
        <w:spacing w:lineRule="exact" w:line="600" w:before="0" w:after="0"/>
        <w:jc w:val="left"/>
      </w:pPr>
      <w:r>
        <w:rPr>
          <w:rFonts w:ascii="仿宋_GB2312" w:hAnsi="仿宋_GB2312" w:eastAsia="仿宋_GB2312"/>
          <w:b w:val="0"/>
          <w:color w:val="000000"/>
          <w:sz w:val="28"/>
        </w:rPr>
        <w:t>主要数据来源：昌邑市政府公开文件（海洋产业/医养健康相关PDF，changyi.gov.cn）；潍坊市生态环境局：《关于山东汉兴医药科技有限公司原料药及关键中间体绿色智能产业化建设项目环境影响报告书的批复》（潍环审字〔2021〕3号），sthjj.weifang.gov.cn；山东汉兴医药科技有限公司官网/化工网企业简介（hanyingpharm、chemnet）；中国化工报：《石油和化工科普中国行走进昌邑下营化工园》，ccin.com.cn；山东省发改委：《开局「十五五」奋斗正当时丨潍坊昌邑：「海洋经济」动能劲》，fgw.shandong.gov.cn，2026-01-08</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