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山东济宁高新区(一体化道路机械智能制造)特色产业集群</w:t>
      </w:r>
    </w:p>
    <w:p>
      <w:pPr>
        <w:spacing w:lineRule="exact" w:line="600" w:before="240" w:after="240"/>
        <w:ind w:firstLine="0"/>
        <w:jc w:val="center"/>
      </w:pPr>
      <w:r>
        <w:rPr>
          <w:rFonts w:ascii="方正小标宋简体" w:hAnsi="方正小标宋简体" w:eastAsia="方正小标宋简体"/>
          <w:b w:val="0"/>
          <w:color w:val="000000"/>
          <w:sz w:val="44"/>
        </w:rPr>
        <w:t>道路机械智能产线行业深度分析报告</w:t>
      </w:r>
    </w:p>
    <w:p>
      <w:pPr>
        <w:spacing w:lineRule="exact" w:line="600" w:before="0" w:after="0"/>
        <w:jc w:val="left"/>
      </w:pPr>
      <w:r>
        <w:rPr>
          <w:rFonts w:ascii="仿宋_GB2312" w:hAnsi="仿宋_GB2312" w:eastAsia="仿宋_GB2312"/>
          <w:b w:val="0"/>
          <w:color w:val="000000"/>
          <w:sz w:val="28"/>
        </w:rPr>
        <w:t>本份报告聚焦济宁高新区道路机械智能制造产线环节，以润滑养护系统（山东源根石化）、智能工厂与产线数字化为代表，数据来源于源根石化官网、中国网、济宁高新区官网及行业媒体等公开资料，数据截至2024—2025年。</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道路机械智能产线是「一体化道路机械智能制造」集群的支撑与赋能环节，涵盖润滑养护系统、智能工厂、产线数字化与工业互联网。山东源根石油化工有限公司是集群的润滑养护配套链属企业，成立于1998年，注册资本1.8亿元，济宁生产基地占地270余亩，建有九大润滑油/脂生产车间（建筑面积6万余平方米），基础油储存能力4.5万吨以上、产成品储存2.5万多吨，拥有自动生产线60余条，具备年产各类润滑油脂35万吨能力；获国家高新技术企业、国家火炬计划重点高新技术企业、中国石油和化工企业500强、国家知识产权示范企业、国家专精特新「小巨人」、中国工程机械工业用油品生产基地等荣誉；拥有CNAS认证实验室（检测设备60余台）、科研团队60余人（国务院津贴专家1人），国家专利140余项，主持制定行业标准2项、参与国标8项。济宁高新区围绕挖掘机配套企业超220家、当地采购率超80%，山推突破三大核心技术使施工效率提升50%以上，小松全球智能制造基地实现「主机+配套」全产业链，智能产线是集群高端化、绿色化、智能化的关键载体。</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指标</w:t>
            </w:r>
          </w:p>
        </w:tc>
        <w:tc>
          <w:tcPr>
            <w:tcW w:type="dxa" w:w="2835"/>
          </w:tcPr>
          <w:p>
            <w:pPr>
              <w:spacing w:lineRule="exact" w:line="600"/>
              <w:jc w:val="center"/>
            </w:pPr>
            <w:r/>
            <w:r>
              <w:rPr>
                <w:rFonts w:ascii="仿宋_GB2312" w:hAnsi="仿宋_GB2312" w:eastAsia="仿宋_GB2312"/>
                <w:b w:val="0"/>
                <w:color w:val="000000"/>
                <w:sz w:val="32"/>
              </w:rPr>
              <w:t>数值</w:t>
            </w:r>
          </w:p>
        </w:tc>
        <w:tc>
          <w:tcPr>
            <w:tcW w:type="dxa" w:w="3118"/>
          </w:tcPr>
          <w:p>
            <w:pPr>
              <w:spacing w:lineRule="exact" w:line="600"/>
              <w:jc w:val="center"/>
            </w:pPr>
            <w:r/>
            <w:r>
              <w:rPr>
                <w:rFonts w:ascii="仿宋_GB2312" w:hAnsi="仿宋_GB2312" w:eastAsia="仿宋_GB2312"/>
                <w:b w:val="0"/>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源根石化成立</w:t>
            </w:r>
          </w:p>
        </w:tc>
        <w:tc>
          <w:tcPr>
            <w:tcW w:type="dxa" w:w="2835"/>
          </w:tcPr>
          <w:p>
            <w:pPr>
              <w:spacing w:lineRule="exact" w:line="600"/>
              <w:jc w:val="center"/>
            </w:pPr>
            <w:r/>
            <w:r>
              <w:rPr>
                <w:rFonts w:ascii="仿宋_GB2312" w:hAnsi="仿宋_GB2312" w:eastAsia="仿宋_GB2312"/>
                <w:b w:val="0"/>
                <w:color w:val="000000"/>
                <w:sz w:val="32"/>
              </w:rPr>
              <w:t>1998年</w:t>
            </w:r>
          </w:p>
        </w:tc>
        <w:tc>
          <w:tcPr>
            <w:tcW w:type="dxa" w:w="3118"/>
          </w:tcPr>
          <w:p>
            <w:pPr>
              <w:spacing w:lineRule="exact" w:line="600"/>
              <w:jc w:val="center"/>
            </w:pPr>
            <w:r/>
            <w:r>
              <w:rPr>
                <w:rFonts w:ascii="仿宋_GB2312" w:hAnsi="仿宋_GB2312" w:eastAsia="仿宋_GB2312"/>
                <w:b w:val="0"/>
                <w:color w:val="000000"/>
                <w:sz w:val="32"/>
              </w:rPr>
              <w:t>源根官网/行业资料</w:t>
            </w:r>
          </w:p>
        </w:tc>
      </w:tr>
      <w:tr>
        <w:tc>
          <w:tcPr>
            <w:tcW w:type="dxa" w:w="2835"/>
          </w:tcPr>
          <w:p>
            <w:pPr>
              <w:spacing w:lineRule="exact" w:line="600"/>
              <w:jc w:val="center"/>
            </w:pPr>
            <w:r/>
            <w:r>
              <w:rPr>
                <w:rFonts w:ascii="仿宋_GB2312" w:hAnsi="仿宋_GB2312" w:eastAsia="仿宋_GB2312"/>
                <w:b w:val="0"/>
                <w:color w:val="000000"/>
                <w:sz w:val="32"/>
              </w:rPr>
              <w:t>注册资本</w:t>
            </w:r>
          </w:p>
        </w:tc>
        <w:tc>
          <w:tcPr>
            <w:tcW w:type="dxa" w:w="2835"/>
          </w:tcPr>
          <w:p>
            <w:pPr>
              <w:spacing w:lineRule="exact" w:line="600"/>
              <w:jc w:val="center"/>
            </w:pPr>
            <w:r/>
            <w:r>
              <w:rPr>
                <w:rFonts w:ascii="仿宋_GB2312" w:hAnsi="仿宋_GB2312" w:eastAsia="仿宋_GB2312"/>
                <w:b w:val="0"/>
                <w:color w:val="000000"/>
                <w:sz w:val="32"/>
              </w:rPr>
              <w:t>1.8亿元</w:t>
            </w:r>
          </w:p>
        </w:tc>
        <w:tc>
          <w:tcPr>
            <w:tcW w:type="dxa" w:w="3118"/>
          </w:tcPr>
          <w:p>
            <w:pPr>
              <w:spacing w:lineRule="exact" w:line="600"/>
              <w:jc w:val="center"/>
            </w:pPr>
            <w:r/>
            <w:r>
              <w:rPr>
                <w:rFonts w:ascii="仿宋_GB2312" w:hAnsi="仿宋_GB2312" w:eastAsia="仿宋_GB2312"/>
                <w:b w:val="0"/>
                <w:color w:val="000000"/>
                <w:sz w:val="32"/>
              </w:rPr>
              <w:t>源根官网/行业资料</w:t>
            </w:r>
          </w:p>
        </w:tc>
      </w:tr>
      <w:tr>
        <w:tc>
          <w:tcPr>
            <w:tcW w:type="dxa" w:w="2835"/>
          </w:tcPr>
          <w:p>
            <w:pPr>
              <w:spacing w:lineRule="exact" w:line="600"/>
              <w:jc w:val="center"/>
            </w:pPr>
            <w:r/>
            <w:r>
              <w:rPr>
                <w:rFonts w:ascii="仿宋_GB2312" w:hAnsi="仿宋_GB2312" w:eastAsia="仿宋_GB2312"/>
                <w:b w:val="0"/>
                <w:color w:val="000000"/>
                <w:sz w:val="32"/>
              </w:rPr>
              <w:t>济宁基地占地</w:t>
            </w:r>
          </w:p>
        </w:tc>
        <w:tc>
          <w:tcPr>
            <w:tcW w:type="dxa" w:w="2835"/>
          </w:tcPr>
          <w:p>
            <w:pPr>
              <w:spacing w:lineRule="exact" w:line="600"/>
              <w:jc w:val="center"/>
            </w:pPr>
            <w:r/>
            <w:r>
              <w:rPr>
                <w:rFonts w:ascii="仿宋_GB2312" w:hAnsi="仿宋_GB2312" w:eastAsia="仿宋_GB2312"/>
                <w:b w:val="0"/>
                <w:color w:val="000000"/>
                <w:sz w:val="32"/>
              </w:rPr>
              <w:t>270余亩</w:t>
            </w:r>
          </w:p>
        </w:tc>
        <w:tc>
          <w:tcPr>
            <w:tcW w:type="dxa" w:w="3118"/>
          </w:tcPr>
          <w:p>
            <w:pPr>
              <w:spacing w:lineRule="exact" w:line="600"/>
              <w:jc w:val="center"/>
            </w:pPr>
            <w:r/>
            <w:r>
              <w:rPr>
                <w:rFonts w:ascii="仿宋_GB2312" w:hAnsi="仿宋_GB2312" w:eastAsia="仿宋_GB2312"/>
                <w:b w:val="0"/>
                <w:color w:val="000000"/>
                <w:sz w:val="32"/>
              </w:rPr>
              <w:t>源根官网/中国网</w:t>
            </w:r>
          </w:p>
        </w:tc>
      </w:tr>
      <w:tr>
        <w:tc>
          <w:tcPr>
            <w:tcW w:type="dxa" w:w="2835"/>
          </w:tcPr>
          <w:p>
            <w:pPr>
              <w:spacing w:lineRule="exact" w:line="600"/>
              <w:jc w:val="center"/>
            </w:pPr>
            <w:r/>
            <w:r>
              <w:rPr>
                <w:rFonts w:ascii="仿宋_GB2312" w:hAnsi="仿宋_GB2312" w:eastAsia="仿宋_GB2312"/>
                <w:b w:val="0"/>
                <w:color w:val="000000"/>
                <w:sz w:val="32"/>
              </w:rPr>
              <w:t>生产车间</w:t>
            </w:r>
          </w:p>
        </w:tc>
        <w:tc>
          <w:tcPr>
            <w:tcW w:type="dxa" w:w="2835"/>
          </w:tcPr>
          <w:p>
            <w:pPr>
              <w:spacing w:lineRule="exact" w:line="600"/>
              <w:jc w:val="center"/>
            </w:pPr>
            <w:r/>
            <w:r>
              <w:rPr>
                <w:rFonts w:ascii="仿宋_GB2312" w:hAnsi="仿宋_GB2312" w:eastAsia="仿宋_GB2312"/>
                <w:b w:val="0"/>
                <w:color w:val="000000"/>
                <w:sz w:val="32"/>
              </w:rPr>
              <w:t>九大车间(6万余㎡)</w:t>
            </w:r>
          </w:p>
        </w:tc>
        <w:tc>
          <w:tcPr>
            <w:tcW w:type="dxa" w:w="3118"/>
          </w:tcPr>
          <w:p>
            <w:pPr>
              <w:spacing w:lineRule="exact" w:line="600"/>
              <w:jc w:val="center"/>
            </w:pPr>
            <w:r/>
            <w:r>
              <w:rPr>
                <w:rFonts w:ascii="仿宋_GB2312" w:hAnsi="仿宋_GB2312" w:eastAsia="仿宋_GB2312"/>
                <w:b w:val="0"/>
                <w:color w:val="000000"/>
                <w:sz w:val="32"/>
              </w:rPr>
              <w:t>源根官网</w:t>
            </w:r>
          </w:p>
        </w:tc>
      </w:tr>
      <w:tr>
        <w:tc>
          <w:tcPr>
            <w:tcW w:type="dxa" w:w="2835"/>
          </w:tcPr>
          <w:p>
            <w:pPr>
              <w:spacing w:lineRule="exact" w:line="600"/>
              <w:jc w:val="center"/>
            </w:pPr>
            <w:r/>
            <w:r>
              <w:rPr>
                <w:rFonts w:ascii="仿宋_GB2312" w:hAnsi="仿宋_GB2312" w:eastAsia="仿宋_GB2312"/>
                <w:b w:val="0"/>
                <w:color w:val="000000"/>
                <w:sz w:val="32"/>
              </w:rPr>
              <w:t>自动生产线</w:t>
            </w:r>
          </w:p>
        </w:tc>
        <w:tc>
          <w:tcPr>
            <w:tcW w:type="dxa" w:w="2835"/>
          </w:tcPr>
          <w:p>
            <w:pPr>
              <w:spacing w:lineRule="exact" w:line="600"/>
              <w:jc w:val="center"/>
            </w:pPr>
            <w:r/>
            <w:r>
              <w:rPr>
                <w:rFonts w:ascii="仿宋_GB2312" w:hAnsi="仿宋_GB2312" w:eastAsia="仿宋_GB2312"/>
                <w:b w:val="0"/>
                <w:color w:val="000000"/>
                <w:sz w:val="32"/>
              </w:rPr>
              <w:t>60余条</w:t>
            </w:r>
          </w:p>
        </w:tc>
        <w:tc>
          <w:tcPr>
            <w:tcW w:type="dxa" w:w="3118"/>
          </w:tcPr>
          <w:p>
            <w:pPr>
              <w:spacing w:lineRule="exact" w:line="600"/>
              <w:jc w:val="center"/>
            </w:pPr>
            <w:r/>
            <w:r>
              <w:rPr>
                <w:rFonts w:ascii="仿宋_GB2312" w:hAnsi="仿宋_GB2312" w:eastAsia="仿宋_GB2312"/>
                <w:b w:val="0"/>
                <w:color w:val="000000"/>
                <w:sz w:val="32"/>
              </w:rPr>
              <w:t>源根官网</w:t>
            </w:r>
          </w:p>
        </w:tc>
      </w:tr>
      <w:tr>
        <w:tc>
          <w:tcPr>
            <w:tcW w:type="dxa" w:w="2835"/>
          </w:tcPr>
          <w:p>
            <w:pPr>
              <w:spacing w:lineRule="exact" w:line="600"/>
              <w:jc w:val="center"/>
            </w:pPr>
            <w:r/>
            <w:r>
              <w:rPr>
                <w:rFonts w:ascii="仿宋_GB2312" w:hAnsi="仿宋_GB2312" w:eastAsia="仿宋_GB2312"/>
                <w:b w:val="0"/>
                <w:color w:val="000000"/>
                <w:sz w:val="32"/>
              </w:rPr>
              <w:t>润滑油脂年产能</w:t>
            </w:r>
          </w:p>
        </w:tc>
        <w:tc>
          <w:tcPr>
            <w:tcW w:type="dxa" w:w="2835"/>
          </w:tcPr>
          <w:p>
            <w:pPr>
              <w:spacing w:lineRule="exact" w:line="600"/>
              <w:jc w:val="center"/>
            </w:pPr>
            <w:r/>
            <w:r>
              <w:rPr>
                <w:rFonts w:ascii="仿宋_GB2312" w:hAnsi="仿宋_GB2312" w:eastAsia="仿宋_GB2312"/>
                <w:b w:val="0"/>
                <w:color w:val="000000"/>
                <w:sz w:val="32"/>
              </w:rPr>
              <w:t>35万吨</w:t>
            </w:r>
          </w:p>
        </w:tc>
        <w:tc>
          <w:tcPr>
            <w:tcW w:type="dxa" w:w="3118"/>
          </w:tcPr>
          <w:p>
            <w:pPr>
              <w:spacing w:lineRule="exact" w:line="600"/>
              <w:jc w:val="center"/>
            </w:pPr>
            <w:r/>
            <w:r>
              <w:rPr>
                <w:rFonts w:ascii="仿宋_GB2312" w:hAnsi="仿宋_GB2312" w:eastAsia="仿宋_GB2312"/>
                <w:b w:val="0"/>
                <w:color w:val="000000"/>
                <w:sz w:val="32"/>
              </w:rPr>
              <w:t>源根官网</w:t>
            </w:r>
          </w:p>
        </w:tc>
      </w:tr>
      <w:tr>
        <w:tc>
          <w:tcPr>
            <w:tcW w:type="dxa" w:w="2835"/>
          </w:tcPr>
          <w:p>
            <w:pPr>
              <w:spacing w:lineRule="exact" w:line="600"/>
              <w:jc w:val="center"/>
            </w:pPr>
            <w:r/>
            <w:r>
              <w:rPr>
                <w:rFonts w:ascii="仿宋_GB2312" w:hAnsi="仿宋_GB2312" w:eastAsia="仿宋_GB2312"/>
                <w:b w:val="0"/>
                <w:color w:val="000000"/>
                <w:sz w:val="32"/>
              </w:rPr>
              <w:t>基础油储存</w:t>
            </w:r>
          </w:p>
        </w:tc>
        <w:tc>
          <w:tcPr>
            <w:tcW w:type="dxa" w:w="2835"/>
          </w:tcPr>
          <w:p>
            <w:pPr>
              <w:spacing w:lineRule="exact" w:line="600"/>
              <w:jc w:val="center"/>
            </w:pPr>
            <w:r/>
            <w:r>
              <w:rPr>
                <w:rFonts w:ascii="仿宋_GB2312" w:hAnsi="仿宋_GB2312" w:eastAsia="仿宋_GB2312"/>
                <w:b w:val="0"/>
                <w:color w:val="000000"/>
                <w:sz w:val="32"/>
              </w:rPr>
              <w:t>4.5万吨以上</w:t>
            </w:r>
          </w:p>
        </w:tc>
        <w:tc>
          <w:tcPr>
            <w:tcW w:type="dxa" w:w="3118"/>
          </w:tcPr>
          <w:p>
            <w:pPr>
              <w:spacing w:lineRule="exact" w:line="600"/>
              <w:jc w:val="center"/>
            </w:pPr>
            <w:r/>
            <w:r>
              <w:rPr>
                <w:rFonts w:ascii="仿宋_GB2312" w:hAnsi="仿宋_GB2312" w:eastAsia="仿宋_GB2312"/>
                <w:b w:val="0"/>
                <w:color w:val="000000"/>
                <w:sz w:val="32"/>
              </w:rPr>
              <w:t>源根官网</w:t>
            </w:r>
          </w:p>
        </w:tc>
      </w:tr>
      <w:tr>
        <w:tc>
          <w:tcPr>
            <w:tcW w:type="dxa" w:w="2835"/>
          </w:tcPr>
          <w:p>
            <w:pPr>
              <w:spacing w:lineRule="exact" w:line="600"/>
              <w:jc w:val="center"/>
            </w:pPr>
            <w:r/>
            <w:r>
              <w:rPr>
                <w:rFonts w:ascii="仿宋_GB2312" w:hAnsi="仿宋_GB2312" w:eastAsia="仿宋_GB2312"/>
                <w:b w:val="0"/>
                <w:color w:val="000000"/>
                <w:sz w:val="32"/>
              </w:rPr>
              <w:t>国家专利</w:t>
            </w:r>
          </w:p>
        </w:tc>
        <w:tc>
          <w:tcPr>
            <w:tcW w:type="dxa" w:w="2835"/>
          </w:tcPr>
          <w:p>
            <w:pPr>
              <w:spacing w:lineRule="exact" w:line="600"/>
              <w:jc w:val="center"/>
            </w:pPr>
            <w:r/>
            <w:r>
              <w:rPr>
                <w:rFonts w:ascii="仿宋_GB2312" w:hAnsi="仿宋_GB2312" w:eastAsia="仿宋_GB2312"/>
                <w:b w:val="0"/>
                <w:color w:val="000000"/>
                <w:sz w:val="32"/>
              </w:rPr>
              <w:t>140余项</w:t>
            </w:r>
          </w:p>
        </w:tc>
        <w:tc>
          <w:tcPr>
            <w:tcW w:type="dxa" w:w="3118"/>
          </w:tcPr>
          <w:p>
            <w:pPr>
              <w:spacing w:lineRule="exact" w:line="600"/>
              <w:jc w:val="center"/>
            </w:pPr>
            <w:r/>
            <w:r>
              <w:rPr>
                <w:rFonts w:ascii="仿宋_GB2312" w:hAnsi="仿宋_GB2312" w:eastAsia="仿宋_GB2312"/>
                <w:b w:val="0"/>
                <w:color w:val="000000"/>
                <w:sz w:val="32"/>
              </w:rPr>
              <w:t>源根官网</w:t>
            </w:r>
          </w:p>
        </w:tc>
      </w:tr>
      <w:tr>
        <w:tc>
          <w:tcPr>
            <w:tcW w:type="dxa" w:w="2835"/>
          </w:tcPr>
          <w:p>
            <w:pPr>
              <w:spacing w:lineRule="exact" w:line="600"/>
              <w:jc w:val="center"/>
            </w:pPr>
            <w:r/>
            <w:r>
              <w:rPr>
                <w:rFonts w:ascii="仿宋_GB2312" w:hAnsi="仿宋_GB2312" w:eastAsia="仿宋_GB2312"/>
                <w:b w:val="0"/>
                <w:color w:val="000000"/>
                <w:sz w:val="32"/>
              </w:rPr>
              <w:t>CNAS实验室设备</w:t>
            </w:r>
          </w:p>
        </w:tc>
        <w:tc>
          <w:tcPr>
            <w:tcW w:type="dxa" w:w="2835"/>
          </w:tcPr>
          <w:p>
            <w:pPr>
              <w:spacing w:lineRule="exact" w:line="600"/>
              <w:jc w:val="center"/>
            </w:pPr>
            <w:r/>
            <w:r>
              <w:rPr>
                <w:rFonts w:ascii="仿宋_GB2312" w:hAnsi="仿宋_GB2312" w:eastAsia="仿宋_GB2312"/>
                <w:b w:val="0"/>
                <w:color w:val="000000"/>
                <w:sz w:val="32"/>
              </w:rPr>
              <w:t>60余台</w:t>
            </w:r>
          </w:p>
        </w:tc>
        <w:tc>
          <w:tcPr>
            <w:tcW w:type="dxa" w:w="3118"/>
          </w:tcPr>
          <w:p>
            <w:pPr>
              <w:spacing w:lineRule="exact" w:line="600"/>
              <w:jc w:val="center"/>
            </w:pPr>
            <w:r/>
            <w:r>
              <w:rPr>
                <w:rFonts w:ascii="仿宋_GB2312" w:hAnsi="仿宋_GB2312" w:eastAsia="仿宋_GB2312"/>
                <w:b w:val="0"/>
                <w:color w:val="000000"/>
                <w:sz w:val="32"/>
              </w:rPr>
              <w:t>源根官网</w:t>
            </w:r>
          </w:p>
        </w:tc>
      </w:tr>
      <w:tr>
        <w:tc>
          <w:tcPr>
            <w:tcW w:type="dxa" w:w="2835"/>
          </w:tcPr>
          <w:p>
            <w:pPr>
              <w:spacing w:lineRule="exact" w:line="600"/>
              <w:jc w:val="center"/>
            </w:pPr>
            <w:r/>
            <w:r>
              <w:rPr>
                <w:rFonts w:ascii="仿宋_GB2312" w:hAnsi="仿宋_GB2312" w:eastAsia="仿宋_GB2312"/>
                <w:b w:val="0"/>
                <w:color w:val="000000"/>
                <w:sz w:val="32"/>
              </w:rPr>
              <w:t>高新区当地采购率</w:t>
            </w:r>
          </w:p>
        </w:tc>
        <w:tc>
          <w:tcPr>
            <w:tcW w:type="dxa" w:w="2835"/>
          </w:tcPr>
          <w:p>
            <w:pPr>
              <w:spacing w:lineRule="exact" w:line="600"/>
              <w:jc w:val="center"/>
            </w:pPr>
            <w:r/>
            <w:r>
              <w:rPr>
                <w:rFonts w:ascii="仿宋_GB2312" w:hAnsi="仿宋_GB2312" w:eastAsia="仿宋_GB2312"/>
                <w:b w:val="0"/>
                <w:color w:val="000000"/>
                <w:sz w:val="32"/>
              </w:rPr>
              <w:t>超80%</w:t>
            </w:r>
          </w:p>
        </w:tc>
        <w:tc>
          <w:tcPr>
            <w:tcW w:type="dxa" w:w="3118"/>
          </w:tcPr>
          <w:p>
            <w:pPr>
              <w:spacing w:lineRule="exact" w:line="600"/>
              <w:jc w:val="center"/>
            </w:pPr>
            <w:r/>
            <w:r>
              <w:rPr>
                <w:rFonts w:ascii="仿宋_GB2312" w:hAnsi="仿宋_GB2312" w:eastAsia="仿宋_GB2312"/>
                <w:b w:val="0"/>
                <w:color w:val="000000"/>
                <w:sz w:val="32"/>
              </w:rPr>
              <w:t>济宁高新区官网</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（一）智能制造政策导向</w:t>
      </w:r>
    </w:p>
    <w:p>
      <w:pPr>
        <w:spacing w:lineRule="exact" w:line="600" w:before="0" w:after="0"/>
        <w:ind w:firstLine="420"/>
        <w:jc w:val="both"/>
      </w:pPr>
      <w:r>
        <w:rPr>
          <w:rFonts w:ascii="仿宋_GB2312" w:hAnsi="仿宋_GB2312" w:eastAsia="仿宋_GB2312"/>
          <w:b w:val="0"/>
          <w:color w:val="000000"/>
          <w:sz w:val="32"/>
        </w:rPr>
        <w:t>国家《「十四五」智能制造发展规划》强调流程型与离散型制造智能化，山东省实施工程机械「千亿工程」并推动「又高又新」发展。济宁高新区深入实施「制造强市」战略，支持龙头企业制定行业数字化转型方案，推动100家企业投入100亿元实施设备换芯、机器换人、生产换线（来源：山东商报）。润滑养护作为智能产线关键保障，受益于智能制造与设备升级趋势。</w:t>
      </w:r>
    </w:p>
    <w:p>
      <w:pPr>
        <w:spacing w:lineRule="exact" w:line="600" w:before="120" w:after="120"/>
        <w:ind w:firstLine="420"/>
        <w:jc w:val="left"/>
      </w:pPr>
      <w:r>
        <w:rPr>
          <w:rFonts w:ascii="楷体_GB2312" w:hAnsi="楷体_GB2312" w:eastAsia="楷体_GB2312"/>
          <w:b w:val="0"/>
          <w:color w:val="000000"/>
          <w:sz w:val="32"/>
        </w:rPr>
        <w:t>（二）区域智能产线生态</w:t>
      </w:r>
    </w:p>
    <w:p>
      <w:pPr>
        <w:spacing w:lineRule="exact" w:line="600" w:before="0" w:after="0"/>
        <w:ind w:firstLine="420"/>
        <w:jc w:val="both"/>
      </w:pPr>
      <w:r>
        <w:rPr>
          <w:rFonts w:ascii="仿宋_GB2312" w:hAnsi="仿宋_GB2312" w:eastAsia="仿宋_GB2312"/>
          <w:b w:val="0"/>
          <w:color w:val="000000"/>
          <w:sz w:val="32"/>
        </w:rPr>
        <w:t>济宁高新区依托华为、西门子等头部企业资源为区内企业牵线，实现数字化转型诊断与解决方案汇聚；获批国家级、省级两化融合贯标试点企业分别为4家、10家（来源：济宁高新区官网）。围绕道路机械的智能产线（下料、焊接、装配、涂装、调试）在龙头企业广泛应用，为润滑养护与智能工厂配套提供应用场景。</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2835"/>
          </w:tcPr>
          <w:p>
            <w:pPr>
              <w:spacing w:lineRule="exact" w:line="600"/>
              <w:jc w:val="center"/>
            </w:pPr>
            <w:r/>
            <w:r>
              <w:rPr>
                <w:rFonts w:ascii="黑体" w:hAnsi="黑体" w:eastAsia="黑体"/>
                <w:b/>
                <w:color w:val="000000"/>
                <w:sz w:val="32"/>
              </w:rPr>
              <w:t>来源</w:t>
            </w:r>
          </w:p>
        </w:tc>
      </w:tr>
      <w:tr>
        <w:tc>
          <w:tcPr>
            <w:tcW w:type="dxa" w:w="2835"/>
          </w:tcPr>
          <w:p>
            <w:pPr>
              <w:spacing w:lineRule="exact" w:line="600"/>
              <w:jc w:val="center"/>
            </w:pPr>
            <w:r/>
            <w:r>
              <w:rPr>
                <w:rFonts w:ascii="仿宋_GB2312" w:hAnsi="仿宋_GB2312" w:eastAsia="仿宋_GB2312"/>
                <w:b w:val="0"/>
                <w:color w:val="000000"/>
                <w:sz w:val="32"/>
              </w:rPr>
              <w:t>两化融合国家级试点</w:t>
            </w:r>
          </w:p>
        </w:tc>
        <w:tc>
          <w:tcPr>
            <w:tcW w:type="dxa" w:w="2835"/>
          </w:tcPr>
          <w:p>
            <w:pPr>
              <w:spacing w:lineRule="exact" w:line="600"/>
              <w:jc w:val="center"/>
            </w:pPr>
            <w:r/>
            <w:r>
              <w:rPr>
                <w:rFonts w:ascii="仿宋_GB2312" w:hAnsi="仿宋_GB2312" w:eastAsia="仿宋_GB2312"/>
                <w:b w:val="0"/>
                <w:color w:val="000000"/>
                <w:sz w:val="32"/>
              </w:rPr>
              <w:t>4家</w:t>
            </w:r>
          </w:p>
        </w:tc>
        <w:tc>
          <w:tcPr>
            <w:tcW w:type="dxa" w:w="2835"/>
          </w:tcPr>
          <w:p>
            <w:pPr>
              <w:spacing w:lineRule="exact" w:line="600"/>
              <w:jc w:val="center"/>
            </w:pPr>
            <w:r/>
            <w:r>
              <w:rPr>
                <w:rFonts w:ascii="仿宋_GB2312" w:hAnsi="仿宋_GB2312" w:eastAsia="仿宋_GB2312"/>
                <w:b w:val="0"/>
                <w:color w:val="000000"/>
                <w:sz w:val="32"/>
              </w:rPr>
              <w:t>济宁高新区官网</w:t>
            </w:r>
          </w:p>
        </w:tc>
      </w:tr>
      <w:tr>
        <w:tc>
          <w:tcPr>
            <w:tcW w:type="dxa" w:w="2835"/>
          </w:tcPr>
          <w:p>
            <w:pPr>
              <w:spacing w:lineRule="exact" w:line="600"/>
              <w:jc w:val="center"/>
            </w:pPr>
            <w:r/>
            <w:r>
              <w:rPr>
                <w:rFonts w:ascii="仿宋_GB2312" w:hAnsi="仿宋_GB2312" w:eastAsia="仿宋_GB2312"/>
                <w:b w:val="0"/>
                <w:color w:val="000000"/>
                <w:sz w:val="32"/>
              </w:rPr>
              <w:t>两化融合省级试点</w:t>
            </w:r>
          </w:p>
        </w:tc>
        <w:tc>
          <w:tcPr>
            <w:tcW w:type="dxa" w:w="2835"/>
          </w:tcPr>
          <w:p>
            <w:pPr>
              <w:spacing w:lineRule="exact" w:line="600"/>
              <w:jc w:val="center"/>
            </w:pPr>
            <w:r/>
            <w:r>
              <w:rPr>
                <w:rFonts w:ascii="仿宋_GB2312" w:hAnsi="仿宋_GB2312" w:eastAsia="仿宋_GB2312"/>
                <w:b w:val="0"/>
                <w:color w:val="000000"/>
                <w:sz w:val="32"/>
              </w:rPr>
              <w:t>10家</w:t>
            </w:r>
          </w:p>
        </w:tc>
        <w:tc>
          <w:tcPr>
            <w:tcW w:type="dxa" w:w="2835"/>
          </w:tcPr>
          <w:p>
            <w:pPr>
              <w:spacing w:lineRule="exact" w:line="600"/>
              <w:jc w:val="center"/>
            </w:pPr>
            <w:r/>
            <w:r>
              <w:rPr>
                <w:rFonts w:ascii="仿宋_GB2312" w:hAnsi="仿宋_GB2312" w:eastAsia="仿宋_GB2312"/>
                <w:b w:val="0"/>
                <w:color w:val="000000"/>
                <w:sz w:val="32"/>
              </w:rPr>
              <w:t>济宁高新区官网</w:t>
            </w:r>
          </w:p>
        </w:tc>
      </w:tr>
      <w:tr>
        <w:tc>
          <w:tcPr>
            <w:tcW w:type="dxa" w:w="2835"/>
          </w:tcPr>
          <w:p>
            <w:pPr>
              <w:spacing w:lineRule="exact" w:line="600"/>
              <w:jc w:val="center"/>
            </w:pPr>
            <w:r/>
            <w:r>
              <w:rPr>
                <w:rFonts w:ascii="仿宋_GB2312" w:hAnsi="仿宋_GB2312" w:eastAsia="仿宋_GB2312"/>
                <w:b w:val="0"/>
                <w:color w:val="000000"/>
                <w:sz w:val="32"/>
              </w:rPr>
              <w:t>数字化改造投入</w:t>
            </w:r>
          </w:p>
        </w:tc>
        <w:tc>
          <w:tcPr>
            <w:tcW w:type="dxa" w:w="2835"/>
          </w:tcPr>
          <w:p>
            <w:pPr>
              <w:spacing w:lineRule="exact" w:line="600"/>
              <w:jc w:val="center"/>
            </w:pPr>
            <w:r/>
            <w:r>
              <w:rPr>
                <w:rFonts w:ascii="仿宋_GB2312" w:hAnsi="仿宋_GB2312" w:eastAsia="仿宋_GB2312"/>
                <w:b w:val="0"/>
                <w:color w:val="000000"/>
                <w:sz w:val="32"/>
              </w:rPr>
              <w:t>100家企业投100亿元</w:t>
            </w:r>
          </w:p>
        </w:tc>
        <w:tc>
          <w:tcPr>
            <w:tcW w:type="dxa" w:w="2835"/>
          </w:tcPr>
          <w:p>
            <w:pPr>
              <w:spacing w:lineRule="exact" w:line="600"/>
              <w:jc w:val="center"/>
            </w:pPr>
            <w:r/>
            <w:r>
              <w:rPr>
                <w:rFonts w:ascii="仿宋_GB2312" w:hAnsi="仿宋_GB2312" w:eastAsia="仿宋_GB2312"/>
                <w:b w:val="0"/>
                <w:color w:val="000000"/>
                <w:sz w:val="32"/>
              </w:rPr>
              <w:t>山东商报</w:t>
            </w:r>
          </w:p>
        </w:tc>
      </w:tr>
      <w:tr>
        <w:tc>
          <w:tcPr>
            <w:tcW w:type="dxa" w:w="2835"/>
          </w:tcPr>
          <w:p>
            <w:pPr>
              <w:spacing w:lineRule="exact" w:line="600"/>
              <w:jc w:val="center"/>
            </w:pPr>
            <w:r/>
            <w:r>
              <w:rPr>
                <w:rFonts w:ascii="仿宋_GB2312" w:hAnsi="仿宋_GB2312" w:eastAsia="仿宋_GB2312"/>
                <w:b w:val="0"/>
                <w:color w:val="000000"/>
                <w:sz w:val="32"/>
              </w:rPr>
              <w:t>贯标认证企业</w:t>
            </w:r>
          </w:p>
        </w:tc>
        <w:tc>
          <w:tcPr>
            <w:tcW w:type="dxa" w:w="2835"/>
          </w:tcPr>
          <w:p>
            <w:pPr>
              <w:spacing w:lineRule="exact" w:line="600"/>
              <w:jc w:val="center"/>
            </w:pPr>
            <w:r/>
            <w:r>
              <w:rPr>
                <w:rFonts w:ascii="仿宋_GB2312" w:hAnsi="仿宋_GB2312" w:eastAsia="仿宋_GB2312"/>
                <w:b w:val="0"/>
                <w:color w:val="000000"/>
                <w:sz w:val="32"/>
              </w:rPr>
              <w:t>10家</w:t>
            </w:r>
          </w:p>
        </w:tc>
        <w:tc>
          <w:tcPr>
            <w:tcW w:type="dxa" w:w="2835"/>
          </w:tcPr>
          <w:p>
            <w:pPr>
              <w:spacing w:lineRule="exact" w:line="600"/>
              <w:jc w:val="center"/>
            </w:pPr>
            <w:r/>
            <w:r>
              <w:rPr>
                <w:rFonts w:ascii="仿宋_GB2312" w:hAnsi="仿宋_GB2312" w:eastAsia="仿宋_GB2312"/>
                <w:b w:val="0"/>
                <w:color w:val="000000"/>
                <w:sz w:val="32"/>
              </w:rPr>
              <w:t>济宁高新区官网</w:t>
            </w:r>
          </w:p>
        </w:tc>
      </w:tr>
    </w:tbl>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（一）上游：基础油与添加剂</w:t>
      </w:r>
    </w:p>
    <w:p>
      <w:pPr>
        <w:spacing w:lineRule="exact" w:line="600" w:before="0" w:after="0"/>
        <w:ind w:firstLine="420"/>
        <w:jc w:val="both"/>
      </w:pPr>
      <w:r>
        <w:rPr>
          <w:rFonts w:ascii="仿宋_GB2312" w:hAnsi="仿宋_GB2312" w:eastAsia="仿宋_GB2312"/>
          <w:b w:val="0"/>
          <w:color w:val="000000"/>
          <w:sz w:val="32"/>
        </w:rPr>
        <w:t>道路机械智能产线中的润滑养护系统，上游为基础油（台塑、SK、GS等）与添加剂（路博润、润英联、雪佛龙等）。源根石化与国内外知名基础油、添加剂供应商建立紧密合作，从源头保障油品品质（来源：源根石化官网）。智能产线装备上游则为数控系统、机器人、传感器等。</w:t>
      </w:r>
    </w:p>
    <w:p>
      <w:pPr>
        <w:spacing w:lineRule="exact" w:line="600" w:before="120" w:after="120"/>
        <w:ind w:firstLine="420"/>
        <w:jc w:val="left"/>
      </w:pPr>
      <w:r>
        <w:rPr>
          <w:rFonts w:ascii="楷体_GB2312" w:hAnsi="楷体_GB2312" w:eastAsia="楷体_GB2312"/>
          <w:b w:val="0"/>
          <w:color w:val="000000"/>
          <w:sz w:val="32"/>
        </w:rPr>
        <w:t>（二）中游：润滑产品与智能产线集成</w:t>
      </w:r>
    </w:p>
    <w:p>
      <w:pPr>
        <w:spacing w:lineRule="exact" w:line="600" w:before="0" w:after="0"/>
        <w:ind w:firstLine="420"/>
        <w:jc w:val="both"/>
      </w:pPr>
      <w:r>
        <w:rPr>
          <w:rFonts w:ascii="仿宋_GB2312" w:hAnsi="仿宋_GB2312" w:eastAsia="仿宋_GB2312"/>
          <w:b w:val="0"/>
          <w:color w:val="000000"/>
          <w:sz w:val="32"/>
        </w:rPr>
        <w:t>源根石化具备年产润滑油脂35万吨能力，产品覆盖车用油、工程机械润滑油、工业油、新能源油液、润滑脂、防冻液等2000余个品种（来源：源根石化官网）。道路机械智能产线中游还包括下料、焊接机器人、装配线、智能调度平台等，山推智慧施工综合调度平台即产线级智能集成代表。</w:t>
      </w:r>
    </w:p>
    <w:p>
      <w:pPr>
        <w:spacing w:lineRule="exact" w:line="600" w:before="120" w:after="120"/>
        <w:ind w:firstLine="420"/>
        <w:jc w:val="left"/>
      </w:pPr>
      <w:r>
        <w:rPr>
          <w:rFonts w:ascii="楷体_GB2312" w:hAnsi="楷体_GB2312" w:eastAsia="楷体_GB2312"/>
          <w:b w:val="0"/>
          <w:color w:val="000000"/>
          <w:sz w:val="32"/>
        </w:rPr>
        <w:t>（三）下游：道路机械制造与运维</w:t>
      </w:r>
    </w:p>
    <w:p>
      <w:pPr>
        <w:spacing w:lineRule="exact" w:line="600" w:before="0" w:after="0"/>
        <w:ind w:firstLine="420"/>
        <w:jc w:val="both"/>
      </w:pPr>
      <w:r>
        <w:rPr>
          <w:rFonts w:ascii="仿宋_GB2312" w:hAnsi="仿宋_GB2312" w:eastAsia="仿宋_GB2312"/>
          <w:b w:val="0"/>
          <w:color w:val="000000"/>
          <w:sz w:val="32"/>
        </w:rPr>
        <w:t>润滑养护与智能产线下游为道路机械主机厂（山推、小松、长城重工）及终端用户（矿山、基建）。源根石化品牌「源根」「小松」为中国驰名商标，为工程机械提供系统润滑解决方案，产品应用于机械制造、矿山开采、风力发电等（来源：源根石化官网/中国网）。</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环节</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代表</w:t>
            </w:r>
          </w:p>
        </w:tc>
      </w:tr>
      <w:tr>
        <w:tc>
          <w:tcPr>
            <w:tcW w:type="dxa" w:w="1701"/>
          </w:tcPr>
          <w:p>
            <w:pPr>
              <w:spacing w:lineRule="exact" w:line="600"/>
              <w:jc w:val="center"/>
            </w:pPr>
            <w:r/>
            <w:r>
              <w:rPr>
                <w:rFonts w:ascii="仿宋_GB2312" w:hAnsi="仿宋_GB2312" w:eastAsia="仿宋_GB2312"/>
                <w:b w:val="0"/>
                <w:color w:val="000000"/>
                <w:sz w:val="32"/>
              </w:rPr>
              <w:t>上游</w:t>
            </w:r>
          </w:p>
        </w:tc>
        <w:tc>
          <w:tcPr>
            <w:tcW w:type="dxa" w:w="3402"/>
          </w:tcPr>
          <w:p>
            <w:pPr>
              <w:spacing w:lineRule="exact" w:line="600"/>
              <w:jc w:val="center"/>
            </w:pPr>
            <w:r/>
            <w:r>
              <w:rPr>
                <w:rFonts w:ascii="仿宋_GB2312" w:hAnsi="仿宋_GB2312" w:eastAsia="仿宋_GB2312"/>
                <w:b w:val="0"/>
                <w:color w:val="000000"/>
                <w:sz w:val="32"/>
              </w:rPr>
              <w:t>基础油、添加剂、数控系统</w:t>
            </w:r>
          </w:p>
        </w:tc>
        <w:tc>
          <w:tcPr>
            <w:tcW w:type="dxa" w:w="2835"/>
          </w:tcPr>
          <w:p>
            <w:pPr>
              <w:spacing w:lineRule="exact" w:line="600"/>
              <w:jc w:val="center"/>
            </w:pPr>
            <w:r/>
            <w:r>
              <w:rPr>
                <w:rFonts w:ascii="仿宋_GB2312" w:hAnsi="仿宋_GB2312" w:eastAsia="仿宋_GB2312"/>
                <w:b w:val="0"/>
                <w:color w:val="000000"/>
                <w:sz w:val="32"/>
              </w:rPr>
              <w:t>台塑/SK/路博润</w:t>
            </w:r>
          </w:p>
        </w:tc>
      </w:tr>
      <w:tr>
        <w:tc>
          <w:tcPr>
            <w:tcW w:type="dxa" w:w="1701"/>
          </w:tcPr>
          <w:p>
            <w:pPr>
              <w:spacing w:lineRule="exact" w:line="600"/>
              <w:jc w:val="center"/>
            </w:pPr>
            <w:r/>
            <w:r>
              <w:rPr>
                <w:rFonts w:ascii="仿宋_GB2312" w:hAnsi="仿宋_GB2312" w:eastAsia="仿宋_GB2312"/>
                <w:b w:val="0"/>
                <w:color w:val="000000"/>
                <w:sz w:val="32"/>
              </w:rPr>
              <w:t>中游</w:t>
            </w:r>
          </w:p>
        </w:tc>
        <w:tc>
          <w:tcPr>
            <w:tcW w:type="dxa" w:w="3402"/>
          </w:tcPr>
          <w:p>
            <w:pPr>
              <w:spacing w:lineRule="exact" w:line="600"/>
              <w:jc w:val="center"/>
            </w:pPr>
            <w:r/>
            <w:r>
              <w:rPr>
                <w:rFonts w:ascii="仿宋_GB2312" w:hAnsi="仿宋_GB2312" w:eastAsia="仿宋_GB2312"/>
                <w:b w:val="0"/>
                <w:color w:val="000000"/>
                <w:sz w:val="32"/>
              </w:rPr>
              <w:t>润滑油脂、焊接/装配产线</w:t>
            </w:r>
          </w:p>
        </w:tc>
        <w:tc>
          <w:tcPr>
            <w:tcW w:type="dxa" w:w="2835"/>
          </w:tcPr>
          <w:p>
            <w:pPr>
              <w:spacing w:lineRule="exact" w:line="600"/>
              <w:jc w:val="center"/>
            </w:pPr>
            <w:r/>
            <w:r>
              <w:rPr>
                <w:rFonts w:ascii="仿宋_GB2312" w:hAnsi="仿宋_GB2312" w:eastAsia="仿宋_GB2312"/>
                <w:b w:val="0"/>
                <w:color w:val="000000"/>
                <w:sz w:val="32"/>
              </w:rPr>
              <w:t>源根石化、山推产线</w:t>
            </w:r>
          </w:p>
        </w:tc>
      </w:tr>
      <w:tr>
        <w:tc>
          <w:tcPr>
            <w:tcW w:type="dxa" w:w="1701"/>
          </w:tcPr>
          <w:p>
            <w:pPr>
              <w:spacing w:lineRule="exact" w:line="600"/>
              <w:jc w:val="center"/>
            </w:pPr>
            <w:r/>
            <w:r>
              <w:rPr>
                <w:rFonts w:ascii="仿宋_GB2312" w:hAnsi="仿宋_GB2312" w:eastAsia="仿宋_GB2312"/>
                <w:b w:val="0"/>
                <w:color w:val="000000"/>
                <w:sz w:val="32"/>
              </w:rPr>
              <w:t>下游</w:t>
            </w:r>
          </w:p>
        </w:tc>
        <w:tc>
          <w:tcPr>
            <w:tcW w:type="dxa" w:w="3402"/>
          </w:tcPr>
          <w:p>
            <w:pPr>
              <w:spacing w:lineRule="exact" w:line="600"/>
              <w:jc w:val="center"/>
            </w:pPr>
            <w:r/>
            <w:r>
              <w:rPr>
                <w:rFonts w:ascii="仿宋_GB2312" w:hAnsi="仿宋_GB2312" w:eastAsia="仿宋_GB2312"/>
                <w:b w:val="0"/>
                <w:color w:val="000000"/>
                <w:sz w:val="32"/>
              </w:rPr>
              <w:t>主机厂、矿山基建运维</w:t>
            </w:r>
          </w:p>
        </w:tc>
        <w:tc>
          <w:tcPr>
            <w:tcW w:type="dxa" w:w="2835"/>
          </w:tcPr>
          <w:p>
            <w:pPr>
              <w:spacing w:lineRule="exact" w:line="600"/>
              <w:jc w:val="center"/>
            </w:pPr>
            <w:r/>
            <w:r>
              <w:rPr>
                <w:rFonts w:ascii="仿宋_GB2312" w:hAnsi="仿宋_GB2312" w:eastAsia="仿宋_GB2312"/>
                <w:b w:val="0"/>
                <w:color w:val="000000"/>
                <w:sz w:val="32"/>
              </w:rPr>
              <w:t>山推/小松/终端</w:t>
            </w:r>
          </w:p>
        </w:tc>
      </w:tr>
    </w:tbl>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（一）润滑油与智能产线市场</w:t>
      </w:r>
    </w:p>
    <w:p>
      <w:pPr>
        <w:spacing w:lineRule="exact" w:line="600" w:before="0" w:after="0"/>
        <w:ind w:firstLine="420"/>
        <w:jc w:val="both"/>
      </w:pPr>
      <w:r>
        <w:rPr>
          <w:rFonts w:ascii="仿宋_GB2312" w:hAnsi="仿宋_GB2312" w:eastAsia="仿宋_GB2312"/>
          <w:b w:val="0"/>
          <w:color w:val="000000"/>
          <w:sz w:val="32"/>
        </w:rPr>
        <w:t>中国润滑油年需求超700万吨，工程机械与矿山是重要应用场景。源根石化年产35万吨润滑油脂，居民营润滑油企业前列（来源：源根石化官网/行业资料）。智能产线（机器人焊接、自动下料）随工程机械智能化渗透率提升而增长，济宁高新区板材利用率从70%提升至85%（来源：济宁高新区官网），降本显著。</w:t>
      </w:r>
    </w:p>
    <w:p>
      <w:pPr>
        <w:spacing w:lineRule="exact" w:line="600" w:before="120" w:after="120"/>
        <w:ind w:firstLine="420"/>
        <w:jc w:val="left"/>
      </w:pPr>
      <w:r>
        <w:rPr>
          <w:rFonts w:ascii="楷体_GB2312" w:hAnsi="楷体_GB2312" w:eastAsia="楷体_GB2312"/>
          <w:b w:val="0"/>
          <w:color w:val="000000"/>
          <w:sz w:val="32"/>
        </w:rPr>
        <w:t>（二）竞争格局</w:t>
      </w:r>
    </w:p>
    <w:p>
      <w:pPr>
        <w:spacing w:lineRule="exact" w:line="600" w:before="0" w:after="0"/>
        <w:ind w:firstLine="420"/>
        <w:jc w:val="both"/>
      </w:pPr>
      <w:r>
        <w:rPr>
          <w:rFonts w:ascii="仿宋_GB2312" w:hAnsi="仿宋_GB2312" w:eastAsia="仿宋_GB2312"/>
          <w:b w:val="0"/>
          <w:color w:val="000000"/>
          <w:sz w:val="32"/>
        </w:rPr>
        <w:t>润滑油市场竞争激烈，国际品牌（壳牌、美孚）与央企（长城、昆仑）占高端，源根石化以「工程机械工业用油品生产基地」定位差异化，并通过CNAS实验室、140余项专利、参与国标行标建立技术壁垒（来源：源根石化官网）。智能产线集成由山推等主机厂与华为、西门子等工业巨头主导，形成开放生态。</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领域</w:t>
            </w:r>
          </w:p>
        </w:tc>
        <w:tc>
          <w:tcPr>
            <w:tcW w:type="dxa" w:w="3402"/>
          </w:tcPr>
          <w:p>
            <w:pPr>
              <w:spacing w:lineRule="exact" w:line="600"/>
              <w:jc w:val="center"/>
            </w:pPr>
            <w:r/>
            <w:r>
              <w:rPr>
                <w:rFonts w:ascii="黑体" w:hAnsi="黑体" w:eastAsia="黑体"/>
                <w:b/>
                <w:color w:val="000000"/>
                <w:sz w:val="32"/>
              </w:rPr>
              <w:t>竞争特点</w:t>
            </w:r>
          </w:p>
        </w:tc>
        <w:tc>
          <w:tcPr>
            <w:tcW w:type="dxa" w:w="2835"/>
          </w:tcPr>
          <w:p>
            <w:pPr>
              <w:spacing w:lineRule="exact" w:line="600"/>
              <w:jc w:val="center"/>
            </w:pPr>
            <w:r/>
            <w:r>
              <w:rPr>
                <w:rFonts w:ascii="黑体" w:hAnsi="黑体" w:eastAsia="黑体"/>
                <w:b/>
                <w:color w:val="000000"/>
                <w:sz w:val="32"/>
              </w:rPr>
              <w:t>代表</w:t>
            </w:r>
          </w:p>
        </w:tc>
      </w:tr>
      <w:tr>
        <w:tc>
          <w:tcPr>
            <w:tcW w:type="dxa" w:w="1701"/>
          </w:tcPr>
          <w:p>
            <w:pPr>
              <w:spacing w:lineRule="exact" w:line="600"/>
              <w:jc w:val="center"/>
            </w:pPr>
            <w:r/>
            <w:r>
              <w:rPr>
                <w:rFonts w:ascii="仿宋_GB2312" w:hAnsi="仿宋_GB2312" w:eastAsia="仿宋_GB2312"/>
                <w:b w:val="0"/>
                <w:color w:val="000000"/>
                <w:sz w:val="32"/>
              </w:rPr>
              <w:t>润滑油</w:t>
            </w:r>
          </w:p>
        </w:tc>
        <w:tc>
          <w:tcPr>
            <w:tcW w:type="dxa" w:w="3402"/>
          </w:tcPr>
          <w:p>
            <w:pPr>
              <w:spacing w:lineRule="exact" w:line="600"/>
              <w:jc w:val="center"/>
            </w:pPr>
            <w:r/>
            <w:r>
              <w:rPr>
                <w:rFonts w:ascii="仿宋_GB2312" w:hAnsi="仿宋_GB2312" w:eastAsia="仿宋_GB2312"/>
                <w:b w:val="0"/>
                <w:color w:val="000000"/>
                <w:sz w:val="32"/>
              </w:rPr>
              <w:t>国际+央企+民企竞争</w:t>
            </w:r>
          </w:p>
        </w:tc>
        <w:tc>
          <w:tcPr>
            <w:tcW w:type="dxa" w:w="2835"/>
          </w:tcPr>
          <w:p>
            <w:pPr>
              <w:spacing w:lineRule="exact" w:line="600"/>
              <w:jc w:val="center"/>
            </w:pPr>
            <w:r/>
            <w:r>
              <w:rPr>
                <w:rFonts w:ascii="仿宋_GB2312" w:hAnsi="仿宋_GB2312" w:eastAsia="仿宋_GB2312"/>
                <w:b w:val="0"/>
                <w:color w:val="000000"/>
                <w:sz w:val="32"/>
              </w:rPr>
              <w:t>源根（工程机械专用）</w:t>
            </w:r>
          </w:p>
        </w:tc>
      </w:tr>
      <w:tr>
        <w:tc>
          <w:tcPr>
            <w:tcW w:type="dxa" w:w="1701"/>
          </w:tcPr>
          <w:p>
            <w:pPr>
              <w:spacing w:lineRule="exact" w:line="600"/>
              <w:jc w:val="center"/>
            </w:pPr>
            <w:r/>
            <w:r>
              <w:rPr>
                <w:rFonts w:ascii="仿宋_GB2312" w:hAnsi="仿宋_GB2312" w:eastAsia="仿宋_GB2312"/>
                <w:b w:val="0"/>
                <w:color w:val="000000"/>
                <w:sz w:val="32"/>
              </w:rPr>
              <w:t>智能产线</w:t>
            </w:r>
          </w:p>
        </w:tc>
        <w:tc>
          <w:tcPr>
            <w:tcW w:type="dxa" w:w="3402"/>
          </w:tcPr>
          <w:p>
            <w:pPr>
              <w:spacing w:lineRule="exact" w:line="600"/>
              <w:jc w:val="center"/>
            </w:pPr>
            <w:r/>
            <w:r>
              <w:rPr>
                <w:rFonts w:ascii="仿宋_GB2312" w:hAnsi="仿宋_GB2312" w:eastAsia="仿宋_GB2312"/>
                <w:b w:val="0"/>
                <w:color w:val="000000"/>
                <w:sz w:val="32"/>
              </w:rPr>
              <w:t>主机厂+工业巨头</w:t>
            </w:r>
          </w:p>
        </w:tc>
        <w:tc>
          <w:tcPr>
            <w:tcW w:type="dxa" w:w="2835"/>
          </w:tcPr>
          <w:p>
            <w:pPr>
              <w:spacing w:lineRule="exact" w:line="600"/>
              <w:jc w:val="center"/>
            </w:pPr>
            <w:r/>
            <w:r>
              <w:rPr>
                <w:rFonts w:ascii="仿宋_GB2312" w:hAnsi="仿宋_GB2312" w:eastAsia="仿宋_GB2312"/>
                <w:b w:val="0"/>
                <w:color w:val="000000"/>
                <w:sz w:val="32"/>
              </w:rPr>
              <w:t>山推、华为、西门子</w:t>
            </w:r>
          </w:p>
        </w:tc>
      </w:tr>
      <w:tr>
        <w:tc>
          <w:tcPr>
            <w:tcW w:type="dxa" w:w="1701"/>
          </w:tcPr>
          <w:p>
            <w:pPr>
              <w:spacing w:lineRule="exact" w:line="600"/>
              <w:jc w:val="center"/>
            </w:pPr>
            <w:r/>
            <w:r>
              <w:rPr>
                <w:rFonts w:ascii="仿宋_GB2312" w:hAnsi="仿宋_GB2312" w:eastAsia="仿宋_GB2312"/>
                <w:b w:val="0"/>
                <w:color w:val="000000"/>
                <w:sz w:val="32"/>
              </w:rPr>
              <w:t>认证壁垒</w:t>
            </w:r>
          </w:p>
        </w:tc>
        <w:tc>
          <w:tcPr>
            <w:tcW w:type="dxa" w:w="3402"/>
          </w:tcPr>
          <w:p>
            <w:pPr>
              <w:spacing w:lineRule="exact" w:line="600"/>
              <w:jc w:val="center"/>
            </w:pPr>
            <w:r/>
            <w:r>
              <w:rPr>
                <w:rFonts w:ascii="仿宋_GB2312" w:hAnsi="仿宋_GB2312" w:eastAsia="仿宋_GB2312"/>
                <w:b w:val="0"/>
                <w:color w:val="000000"/>
                <w:sz w:val="32"/>
              </w:rPr>
              <w:t>CNAS/API/车企认证</w:t>
            </w:r>
          </w:p>
        </w:tc>
        <w:tc>
          <w:tcPr>
            <w:tcW w:type="dxa" w:w="2835"/>
          </w:tcPr>
          <w:p>
            <w:pPr>
              <w:spacing w:lineRule="exact" w:line="600"/>
              <w:jc w:val="center"/>
            </w:pPr>
            <w:r/>
            <w:r>
              <w:rPr>
                <w:rFonts w:ascii="仿宋_GB2312" w:hAnsi="仿宋_GB2312" w:eastAsia="仿宋_GB2312"/>
                <w:b w:val="0"/>
                <w:color w:val="000000"/>
                <w:sz w:val="32"/>
              </w:rPr>
              <w:t>源根多认证</w:t>
            </w:r>
          </w:p>
        </w:tc>
      </w:tr>
    </w:tbl>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（一）集群配套与链属企业</w:t>
      </w:r>
    </w:p>
    <w:p>
      <w:pPr>
        <w:spacing w:lineRule="exact" w:line="600" w:before="0" w:after="0"/>
        <w:ind w:firstLine="420"/>
        <w:jc w:val="both"/>
      </w:pPr>
      <w:r>
        <w:rPr>
          <w:rFonts w:ascii="仿宋_GB2312" w:hAnsi="仿宋_GB2312" w:eastAsia="仿宋_GB2312"/>
          <w:b w:val="0"/>
          <w:color w:val="000000"/>
          <w:sz w:val="32"/>
        </w:rPr>
        <w:t>济宁高新区工程机械集群本地配套化率超70%，围绕挖掘机配套企业超220家、采购半径30公里、当地采购率超80%（来源：济宁高新区官网）。源根石化作为润滑养护链属企业，嵌入道路机械「制造—运维」全周期，与山推、小松等形成稳定配套。集群累计培育国家级单项冠军3家、小巨人9家。</w:t>
      </w:r>
    </w:p>
    <w:p>
      <w:pPr>
        <w:spacing w:lineRule="exact" w:line="600" w:before="120" w:after="120"/>
        <w:ind w:firstLine="420"/>
        <w:jc w:val="left"/>
      </w:pPr>
      <w:r>
        <w:rPr>
          <w:rFonts w:ascii="楷体_GB2312" w:hAnsi="楷体_GB2312" w:eastAsia="楷体_GB2312"/>
          <w:b w:val="0"/>
          <w:color w:val="000000"/>
          <w:sz w:val="32"/>
        </w:rPr>
        <w:t>（二）重点智能产线企业</w:t>
      </w:r>
    </w:p>
    <w:p>
      <w:pPr>
        <w:spacing w:lineRule="exact" w:line="600" w:before="0" w:after="0"/>
        <w:ind w:firstLine="420"/>
        <w:jc w:val="both"/>
      </w:pPr>
      <w:r>
        <w:rPr>
          <w:rFonts w:ascii="仿宋_GB2312" w:hAnsi="仿宋_GB2312" w:eastAsia="仿宋_GB2312"/>
          <w:b w:val="0"/>
          <w:color w:val="000000"/>
          <w:sz w:val="32"/>
        </w:rPr>
        <w:t>源根石化是国家专精特新「小巨人」、中国工程机械工业用油品生产基地，济宁生产基地智能工厂含九大车间、60余条自动线（来源：源根石化官网/中国网）。山推股份建成智慧施工调度平台；小松全球智能制造基地实现「主机+配套」全产业链。多元主体构成智能产线支撑网络。</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企业</w:t>
            </w:r>
          </w:p>
        </w:tc>
        <w:tc>
          <w:tcPr>
            <w:tcW w:type="dxa" w:w="2268"/>
          </w:tcPr>
          <w:p>
            <w:pPr>
              <w:spacing w:lineRule="exact" w:line="600"/>
              <w:jc w:val="center"/>
            </w:pPr>
            <w:r/>
            <w:r>
              <w:rPr>
                <w:rFonts w:ascii="黑体" w:hAnsi="黑体" w:eastAsia="黑体"/>
                <w:b/>
                <w:color w:val="000000"/>
                <w:sz w:val="32"/>
              </w:rPr>
              <w:t>角色</w:t>
            </w:r>
          </w:p>
        </w:tc>
        <w:tc>
          <w:tcPr>
            <w:tcW w:type="dxa" w:w="2835"/>
          </w:tcPr>
          <w:p>
            <w:pPr>
              <w:spacing w:lineRule="exact" w:line="600"/>
              <w:jc w:val="center"/>
            </w:pPr>
            <w:r/>
            <w:r>
              <w:rPr>
                <w:rFonts w:ascii="黑体" w:hAnsi="黑体" w:eastAsia="黑体"/>
                <w:b/>
                <w:color w:val="000000"/>
                <w:sz w:val="32"/>
              </w:rPr>
              <w:t>核心能力</w:t>
            </w:r>
          </w:p>
        </w:tc>
      </w:tr>
      <w:tr>
        <w:tc>
          <w:tcPr>
            <w:tcW w:type="dxa" w:w="2268"/>
          </w:tcPr>
          <w:p>
            <w:pPr>
              <w:spacing w:lineRule="exact" w:line="600"/>
              <w:jc w:val="center"/>
            </w:pPr>
            <w:r/>
            <w:r>
              <w:rPr>
                <w:rFonts w:ascii="仿宋_GB2312" w:hAnsi="仿宋_GB2312" w:eastAsia="仿宋_GB2312"/>
                <w:b w:val="0"/>
                <w:color w:val="000000"/>
                <w:sz w:val="32"/>
              </w:rPr>
              <w:t>源根石化</w:t>
            </w:r>
          </w:p>
        </w:tc>
        <w:tc>
          <w:tcPr>
            <w:tcW w:type="dxa" w:w="2268"/>
          </w:tcPr>
          <w:p>
            <w:pPr>
              <w:spacing w:lineRule="exact" w:line="600"/>
              <w:jc w:val="center"/>
            </w:pPr>
            <w:r/>
            <w:r>
              <w:rPr>
                <w:rFonts w:ascii="仿宋_GB2312" w:hAnsi="仿宋_GB2312" w:eastAsia="仿宋_GB2312"/>
                <w:b w:val="0"/>
                <w:color w:val="000000"/>
                <w:sz w:val="32"/>
              </w:rPr>
              <w:t>润滑养护链属</w:t>
            </w:r>
          </w:p>
        </w:tc>
        <w:tc>
          <w:tcPr>
            <w:tcW w:type="dxa" w:w="2835"/>
          </w:tcPr>
          <w:p>
            <w:pPr>
              <w:spacing w:lineRule="exact" w:line="600"/>
              <w:jc w:val="center"/>
            </w:pPr>
            <w:r/>
            <w:r>
              <w:rPr>
                <w:rFonts w:ascii="仿宋_GB2312" w:hAnsi="仿宋_GB2312" w:eastAsia="仿宋_GB2312"/>
                <w:b w:val="0"/>
                <w:color w:val="000000"/>
                <w:sz w:val="32"/>
              </w:rPr>
              <w:t>年产35万吨、CNAS实验室</w:t>
            </w:r>
          </w:p>
        </w:tc>
      </w:tr>
      <w:tr>
        <w:tc>
          <w:tcPr>
            <w:tcW w:type="dxa" w:w="2268"/>
          </w:tcPr>
          <w:p>
            <w:pPr>
              <w:spacing w:lineRule="exact" w:line="600"/>
              <w:jc w:val="center"/>
            </w:pPr>
            <w:r/>
            <w:r>
              <w:rPr>
                <w:rFonts w:ascii="仿宋_GB2312" w:hAnsi="仿宋_GB2312" w:eastAsia="仿宋_GB2312"/>
                <w:b w:val="0"/>
                <w:color w:val="000000"/>
                <w:sz w:val="32"/>
              </w:rPr>
              <w:t>山推股份</w:t>
            </w:r>
          </w:p>
        </w:tc>
        <w:tc>
          <w:tcPr>
            <w:tcW w:type="dxa" w:w="2268"/>
          </w:tcPr>
          <w:p>
            <w:pPr>
              <w:spacing w:lineRule="exact" w:line="600"/>
              <w:jc w:val="center"/>
            </w:pPr>
            <w:r/>
            <w:r>
              <w:rPr>
                <w:rFonts w:ascii="仿宋_GB2312" w:hAnsi="仿宋_GB2312" w:eastAsia="仿宋_GB2312"/>
                <w:b w:val="0"/>
                <w:color w:val="000000"/>
                <w:sz w:val="32"/>
              </w:rPr>
              <w:t>智能施工产线</w:t>
            </w:r>
          </w:p>
        </w:tc>
        <w:tc>
          <w:tcPr>
            <w:tcW w:type="dxa" w:w="2835"/>
          </w:tcPr>
          <w:p>
            <w:pPr>
              <w:spacing w:lineRule="exact" w:line="600"/>
              <w:jc w:val="center"/>
            </w:pPr>
            <w:r/>
            <w:r>
              <w:rPr>
                <w:rFonts w:ascii="仿宋_GB2312" w:hAnsi="仿宋_GB2312" w:eastAsia="仿宋_GB2312"/>
                <w:b w:val="0"/>
                <w:color w:val="000000"/>
                <w:sz w:val="32"/>
              </w:rPr>
              <w:t>三大核心技术、效率+50%</w:t>
            </w:r>
          </w:p>
        </w:tc>
      </w:tr>
      <w:tr>
        <w:tc>
          <w:tcPr>
            <w:tcW w:type="dxa" w:w="2268"/>
          </w:tcPr>
          <w:p>
            <w:pPr>
              <w:spacing w:lineRule="exact" w:line="600"/>
              <w:jc w:val="center"/>
            </w:pPr>
            <w:r/>
            <w:r>
              <w:rPr>
                <w:rFonts w:ascii="仿宋_GB2312" w:hAnsi="仿宋_GB2312" w:eastAsia="仿宋_GB2312"/>
                <w:b w:val="0"/>
                <w:color w:val="000000"/>
                <w:sz w:val="32"/>
              </w:rPr>
              <w:t>小松基地</w:t>
            </w:r>
          </w:p>
        </w:tc>
        <w:tc>
          <w:tcPr>
            <w:tcW w:type="dxa" w:w="2268"/>
          </w:tcPr>
          <w:p>
            <w:pPr>
              <w:spacing w:lineRule="exact" w:line="600"/>
              <w:jc w:val="center"/>
            </w:pPr>
            <w:r/>
            <w:r>
              <w:rPr>
                <w:rFonts w:ascii="仿宋_GB2312" w:hAnsi="仿宋_GB2312" w:eastAsia="仿宋_GB2312"/>
                <w:b w:val="0"/>
                <w:color w:val="000000"/>
                <w:sz w:val="32"/>
              </w:rPr>
              <w:t>全产业链产线</w:t>
            </w:r>
          </w:p>
        </w:tc>
        <w:tc>
          <w:tcPr>
            <w:tcW w:type="dxa" w:w="2835"/>
          </w:tcPr>
          <w:p>
            <w:pPr>
              <w:spacing w:lineRule="exact" w:line="600"/>
              <w:jc w:val="center"/>
            </w:pPr>
            <w:r/>
            <w:r>
              <w:rPr>
                <w:rFonts w:ascii="仿宋_GB2312" w:hAnsi="仿宋_GB2312" w:eastAsia="仿宋_GB2312"/>
                <w:b w:val="0"/>
                <w:color w:val="000000"/>
                <w:sz w:val="32"/>
              </w:rPr>
              <w:t>主机+配套全球70%</w:t>
            </w:r>
          </w:p>
        </w:tc>
      </w:tr>
    </w:tbl>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（一）智能工厂与自动化</w:t>
      </w:r>
    </w:p>
    <w:p>
      <w:pPr>
        <w:spacing w:lineRule="exact" w:line="600" w:before="0" w:after="0"/>
        <w:ind w:firstLine="420"/>
        <w:jc w:val="both"/>
      </w:pPr>
      <w:r>
        <w:rPr>
          <w:rFonts w:ascii="仿宋_GB2312" w:hAnsi="仿宋_GB2312" w:eastAsia="仿宋_GB2312"/>
          <w:b w:val="0"/>
          <w:color w:val="000000"/>
          <w:sz w:val="32"/>
        </w:rPr>
        <w:t>源根石化济宁智能工厂总占地270余亩，九大润滑油/脂生产车间、建筑面积6万余平方米，自动生产线60余条，基础油储存4.5万吨以上、产成品2.5万多吨（来源：源根石化官网/中国网）。从原料进厂到成品出库全程自动化、信息化管控，实现从「生产制造」向「智能制造」转型。</w:t>
      </w:r>
    </w:p>
    <w:p>
      <w:pPr>
        <w:spacing w:lineRule="exact" w:line="600" w:before="120" w:after="120"/>
        <w:ind w:firstLine="420"/>
        <w:jc w:val="left"/>
      </w:pPr>
      <w:r>
        <w:rPr>
          <w:rFonts w:ascii="楷体_GB2312" w:hAnsi="楷体_GB2312" w:eastAsia="楷体_GB2312"/>
          <w:b w:val="0"/>
          <w:color w:val="000000"/>
          <w:sz w:val="32"/>
        </w:rPr>
        <w:t>（二）研发与标准制定</w:t>
      </w:r>
    </w:p>
    <w:p>
      <w:pPr>
        <w:spacing w:lineRule="exact" w:line="600" w:before="0" w:after="0"/>
        <w:ind w:firstLine="420"/>
        <w:jc w:val="both"/>
      </w:pPr>
      <w:r>
        <w:rPr>
          <w:rFonts w:ascii="仿宋_GB2312" w:hAnsi="仿宋_GB2312" w:eastAsia="仿宋_GB2312"/>
          <w:b w:val="0"/>
          <w:color w:val="000000"/>
          <w:sz w:val="32"/>
        </w:rPr>
        <w:t>源根石化建有CNAS认证实验室，进口检测设备60余台；科研团队60余人（含国务院津贴专家1人、20年以上专家5人、硕士13人）；国家专利140余项（来源：源根石化官网）。主持制定行业标准2项，参与国家标准8项、行业标准6项、团体标准8项；承担30多项省部级重大科技专项，技术话语权强。</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平台/成果</w:t>
            </w:r>
          </w:p>
        </w:tc>
        <w:tc>
          <w:tcPr>
            <w:tcW w:type="dxa" w:w="2268"/>
          </w:tcPr>
          <w:p>
            <w:pPr>
              <w:spacing w:lineRule="exact" w:line="600"/>
              <w:jc w:val="center"/>
            </w:pPr>
            <w:r/>
            <w:r>
              <w:rPr>
                <w:rFonts w:ascii="黑体" w:hAnsi="黑体" w:eastAsia="黑体"/>
                <w:b/>
                <w:color w:val="000000"/>
                <w:sz w:val="32"/>
              </w:rPr>
              <w:t>数量</w:t>
            </w:r>
          </w:p>
        </w:tc>
        <w:tc>
          <w:tcPr>
            <w:tcW w:type="dxa" w:w="2835"/>
          </w:tcPr>
          <w:p>
            <w:pPr>
              <w:spacing w:lineRule="exact" w:line="600"/>
              <w:jc w:val="center"/>
            </w:pPr>
            <w:r/>
            <w:r>
              <w:rPr>
                <w:rFonts w:ascii="黑体" w:hAnsi="黑体" w:eastAsia="黑体"/>
                <w:b/>
                <w:color w:val="000000"/>
                <w:sz w:val="32"/>
              </w:rPr>
              <w:t>作用</w:t>
            </w:r>
          </w:p>
        </w:tc>
      </w:tr>
      <w:tr>
        <w:tc>
          <w:tcPr>
            <w:tcW w:type="dxa" w:w="2268"/>
          </w:tcPr>
          <w:p>
            <w:pPr>
              <w:spacing w:lineRule="exact" w:line="600"/>
              <w:jc w:val="center"/>
            </w:pPr>
            <w:r/>
            <w:r>
              <w:rPr>
                <w:rFonts w:ascii="仿宋_GB2312" w:hAnsi="仿宋_GB2312" w:eastAsia="仿宋_GB2312"/>
                <w:b w:val="0"/>
                <w:color w:val="000000"/>
                <w:sz w:val="32"/>
              </w:rPr>
              <w:t>CNAS实验室设备</w:t>
            </w:r>
          </w:p>
        </w:tc>
        <w:tc>
          <w:tcPr>
            <w:tcW w:type="dxa" w:w="2268"/>
          </w:tcPr>
          <w:p>
            <w:pPr>
              <w:spacing w:lineRule="exact" w:line="600"/>
              <w:jc w:val="center"/>
            </w:pPr>
            <w:r/>
            <w:r>
              <w:rPr>
                <w:rFonts w:ascii="仿宋_GB2312" w:hAnsi="仿宋_GB2312" w:eastAsia="仿宋_GB2312"/>
                <w:b w:val="0"/>
                <w:color w:val="000000"/>
                <w:sz w:val="32"/>
              </w:rPr>
              <w:t>60余台</w:t>
            </w:r>
          </w:p>
        </w:tc>
        <w:tc>
          <w:tcPr>
            <w:tcW w:type="dxa" w:w="2835"/>
          </w:tcPr>
          <w:p>
            <w:pPr>
              <w:spacing w:lineRule="exact" w:line="600"/>
              <w:jc w:val="center"/>
            </w:pPr>
            <w:r/>
            <w:r>
              <w:rPr>
                <w:rFonts w:ascii="仿宋_GB2312" w:hAnsi="仿宋_GB2312" w:eastAsia="仿宋_GB2312"/>
                <w:b w:val="0"/>
                <w:color w:val="000000"/>
                <w:sz w:val="32"/>
              </w:rPr>
              <w:t>全项检测</w:t>
            </w:r>
          </w:p>
        </w:tc>
      </w:tr>
      <w:tr>
        <w:tc>
          <w:tcPr>
            <w:tcW w:type="dxa" w:w="2268"/>
          </w:tcPr>
          <w:p>
            <w:pPr>
              <w:spacing w:lineRule="exact" w:line="600"/>
              <w:jc w:val="center"/>
            </w:pPr>
            <w:r/>
            <w:r>
              <w:rPr>
                <w:rFonts w:ascii="仿宋_GB2312" w:hAnsi="仿宋_GB2312" w:eastAsia="仿宋_GB2312"/>
                <w:b w:val="0"/>
                <w:color w:val="000000"/>
                <w:sz w:val="32"/>
              </w:rPr>
              <w:t>科研团队</w:t>
            </w:r>
          </w:p>
        </w:tc>
        <w:tc>
          <w:tcPr>
            <w:tcW w:type="dxa" w:w="2268"/>
          </w:tcPr>
          <w:p>
            <w:pPr>
              <w:spacing w:lineRule="exact" w:line="600"/>
              <w:jc w:val="center"/>
            </w:pPr>
            <w:r/>
            <w:r>
              <w:rPr>
                <w:rFonts w:ascii="仿宋_GB2312" w:hAnsi="仿宋_GB2312" w:eastAsia="仿宋_GB2312"/>
                <w:b w:val="0"/>
                <w:color w:val="000000"/>
                <w:sz w:val="32"/>
              </w:rPr>
              <w:t>60余人</w:t>
            </w:r>
          </w:p>
        </w:tc>
        <w:tc>
          <w:tcPr>
            <w:tcW w:type="dxa" w:w="2835"/>
          </w:tcPr>
          <w:p>
            <w:pPr>
              <w:spacing w:lineRule="exact" w:line="600"/>
              <w:jc w:val="center"/>
            </w:pPr>
            <w:r/>
            <w:r>
              <w:rPr>
                <w:rFonts w:ascii="仿宋_GB2312" w:hAnsi="仿宋_GB2312" w:eastAsia="仿宋_GB2312"/>
                <w:b w:val="0"/>
                <w:color w:val="000000"/>
                <w:sz w:val="32"/>
              </w:rPr>
              <w:t>技术创新</w:t>
            </w:r>
          </w:p>
        </w:tc>
      </w:tr>
      <w:tr>
        <w:tc>
          <w:tcPr>
            <w:tcW w:type="dxa" w:w="2268"/>
          </w:tcPr>
          <w:p>
            <w:pPr>
              <w:spacing w:lineRule="exact" w:line="600"/>
              <w:jc w:val="center"/>
            </w:pPr>
            <w:r/>
            <w:r>
              <w:rPr>
                <w:rFonts w:ascii="仿宋_GB2312" w:hAnsi="仿宋_GB2312" w:eastAsia="仿宋_GB2312"/>
                <w:b w:val="0"/>
                <w:color w:val="000000"/>
                <w:sz w:val="32"/>
              </w:rPr>
              <w:t>国家专利</w:t>
            </w:r>
          </w:p>
        </w:tc>
        <w:tc>
          <w:tcPr>
            <w:tcW w:type="dxa" w:w="2268"/>
          </w:tcPr>
          <w:p>
            <w:pPr>
              <w:spacing w:lineRule="exact" w:line="600"/>
              <w:jc w:val="center"/>
            </w:pPr>
            <w:r/>
            <w:r>
              <w:rPr>
                <w:rFonts w:ascii="仿宋_GB2312" w:hAnsi="仿宋_GB2312" w:eastAsia="仿宋_GB2312"/>
                <w:b w:val="0"/>
                <w:color w:val="000000"/>
                <w:sz w:val="32"/>
              </w:rPr>
              <w:t>140余项</w:t>
            </w:r>
          </w:p>
        </w:tc>
        <w:tc>
          <w:tcPr>
            <w:tcW w:type="dxa" w:w="2835"/>
          </w:tcPr>
          <w:p>
            <w:pPr>
              <w:spacing w:lineRule="exact" w:line="600"/>
              <w:jc w:val="center"/>
            </w:pPr>
            <w:r/>
            <w:r>
              <w:rPr>
                <w:rFonts w:ascii="仿宋_GB2312" w:hAnsi="仿宋_GB2312" w:eastAsia="仿宋_GB2312"/>
                <w:b w:val="0"/>
                <w:color w:val="000000"/>
                <w:sz w:val="32"/>
              </w:rPr>
              <w:t>壁垒</w:t>
            </w:r>
          </w:p>
        </w:tc>
      </w:tr>
      <w:tr>
        <w:tc>
          <w:tcPr>
            <w:tcW w:type="dxa" w:w="2268"/>
          </w:tcPr>
          <w:p>
            <w:pPr>
              <w:spacing w:lineRule="exact" w:line="600"/>
              <w:jc w:val="center"/>
            </w:pPr>
            <w:r/>
            <w:r>
              <w:rPr>
                <w:rFonts w:ascii="仿宋_GB2312" w:hAnsi="仿宋_GB2312" w:eastAsia="仿宋_GB2312"/>
                <w:b w:val="0"/>
                <w:color w:val="000000"/>
                <w:sz w:val="32"/>
              </w:rPr>
              <w:t>制定标准</w:t>
            </w:r>
          </w:p>
        </w:tc>
        <w:tc>
          <w:tcPr>
            <w:tcW w:type="dxa" w:w="2268"/>
          </w:tcPr>
          <w:p>
            <w:pPr>
              <w:spacing w:lineRule="exact" w:line="600"/>
              <w:jc w:val="center"/>
            </w:pPr>
            <w:r/>
            <w:r>
              <w:rPr>
                <w:rFonts w:ascii="仿宋_GB2312" w:hAnsi="仿宋_GB2312" w:eastAsia="仿宋_GB2312"/>
                <w:b w:val="0"/>
                <w:color w:val="000000"/>
                <w:sz w:val="32"/>
              </w:rPr>
              <w:t>主持行标2、参与国标8</w:t>
            </w:r>
          </w:p>
        </w:tc>
        <w:tc>
          <w:tcPr>
            <w:tcW w:type="dxa" w:w="2835"/>
          </w:tcPr>
          <w:p>
            <w:pPr>
              <w:spacing w:lineRule="exact" w:line="600"/>
              <w:jc w:val="center"/>
            </w:pPr>
            <w:r/>
            <w:r>
              <w:rPr>
                <w:rFonts w:ascii="仿宋_GB2312" w:hAnsi="仿宋_GB2312" w:eastAsia="仿宋_GB2312"/>
                <w:b w:val="0"/>
                <w:color w:val="000000"/>
                <w:sz w:val="32"/>
              </w:rPr>
              <w:t>话语权</w:t>
            </w:r>
          </w:p>
        </w:tc>
      </w:tr>
    </w:tbl>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（一）成本与产能</w:t>
      </w:r>
    </w:p>
    <w:p>
      <w:pPr>
        <w:spacing w:lineRule="exact" w:line="600" w:before="0" w:after="0"/>
        <w:ind w:firstLine="420"/>
        <w:jc w:val="both"/>
      </w:pPr>
      <w:r>
        <w:rPr>
          <w:rFonts w:ascii="仿宋_GB2312" w:hAnsi="仿宋_GB2312" w:eastAsia="仿宋_GB2312"/>
          <w:b w:val="0"/>
          <w:color w:val="000000"/>
          <w:sz w:val="32"/>
        </w:rPr>
        <w:t>源根石化年产润滑油脂35万吨，基础油储存4.5万吨以上保障原料缓冲，自动线60余条提升人均产出（来源：源根石化官网）。作为国家高新技术企业、中国石油和化工500强，规模效应与品牌（「源根」「小松」中国驰名商标）支撑盈利。员工约800—1000人，民营润滑油代工与批发市场占有重要份额。</w:t>
      </w:r>
    </w:p>
    <w:p>
      <w:pPr>
        <w:spacing w:lineRule="exact" w:line="600" w:before="120" w:after="120"/>
        <w:ind w:firstLine="420"/>
        <w:jc w:val="left"/>
      </w:pPr>
      <w:r>
        <w:rPr>
          <w:rFonts w:ascii="楷体_GB2312" w:hAnsi="楷体_GB2312" w:eastAsia="楷体_GB2312"/>
          <w:b w:val="0"/>
          <w:color w:val="000000"/>
          <w:sz w:val="32"/>
        </w:rPr>
        <w:t>（二）要素保障</w:t>
      </w:r>
    </w:p>
    <w:p>
      <w:pPr>
        <w:spacing w:lineRule="exact" w:line="600" w:before="0" w:after="0"/>
        <w:ind w:firstLine="420"/>
        <w:jc w:val="both"/>
      </w:pPr>
      <w:r>
        <w:rPr>
          <w:rFonts w:ascii="仿宋_GB2312" w:hAnsi="仿宋_GB2312" w:eastAsia="仿宋_GB2312"/>
          <w:b w:val="0"/>
          <w:color w:val="000000"/>
          <w:sz w:val="32"/>
        </w:rPr>
        <w:t>济宁高新区提供数字化转型诊断、两化融合贯标、人才联盟（40家高校院所）与89家金融机构的科技金融体系（来源：济宁高新区官网）。政府技改奖补（设备投资最高10%补贴、贷款贴息35%以上）降低智能产线升级成本，为源根等配套企业扩产提供要素保障。</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要素</w:t>
            </w:r>
          </w:p>
        </w:tc>
        <w:tc>
          <w:tcPr>
            <w:tcW w:type="dxa" w:w="3402"/>
          </w:tcPr>
          <w:p>
            <w:pPr>
              <w:spacing w:lineRule="exact" w:line="600"/>
              <w:jc w:val="center"/>
            </w:pPr>
            <w:r/>
            <w:r>
              <w:rPr>
                <w:rFonts w:ascii="黑体" w:hAnsi="黑体" w:eastAsia="黑体"/>
                <w:b/>
                <w:color w:val="000000"/>
                <w:sz w:val="32"/>
              </w:rPr>
              <w:t>情况</w:t>
            </w:r>
          </w:p>
        </w:tc>
        <w:tc>
          <w:tcPr>
            <w:tcW w:type="dxa" w:w="2835"/>
          </w:tcPr>
          <w:p>
            <w:pPr>
              <w:spacing w:lineRule="exact" w:line="600"/>
              <w:jc w:val="center"/>
            </w:pPr>
            <w:r/>
            <w:r>
              <w:rPr>
                <w:rFonts w:ascii="黑体" w:hAnsi="黑体" w:eastAsia="黑体"/>
                <w:b/>
                <w:color w:val="000000"/>
                <w:sz w:val="32"/>
              </w:rPr>
              <w:t>影响</w:t>
            </w:r>
          </w:p>
        </w:tc>
      </w:tr>
      <w:tr>
        <w:tc>
          <w:tcPr>
            <w:tcW w:type="dxa" w:w="1701"/>
          </w:tcPr>
          <w:p>
            <w:pPr>
              <w:spacing w:lineRule="exact" w:line="600"/>
              <w:jc w:val="center"/>
            </w:pPr>
            <w:r/>
            <w:r>
              <w:rPr>
                <w:rFonts w:ascii="仿宋_GB2312" w:hAnsi="仿宋_GB2312" w:eastAsia="仿宋_GB2312"/>
                <w:b w:val="0"/>
                <w:color w:val="000000"/>
                <w:sz w:val="32"/>
              </w:rPr>
              <w:t>产能</w:t>
            </w:r>
          </w:p>
        </w:tc>
        <w:tc>
          <w:tcPr>
            <w:tcW w:type="dxa" w:w="3402"/>
          </w:tcPr>
          <w:p>
            <w:pPr>
              <w:spacing w:lineRule="exact" w:line="600"/>
              <w:jc w:val="center"/>
            </w:pPr>
            <w:r/>
            <w:r>
              <w:rPr>
                <w:rFonts w:ascii="仿宋_GB2312" w:hAnsi="仿宋_GB2312" w:eastAsia="仿宋_GB2312"/>
                <w:b w:val="0"/>
                <w:color w:val="000000"/>
                <w:sz w:val="32"/>
              </w:rPr>
              <w:t>35万吨/年润滑油脂</w:t>
            </w:r>
          </w:p>
        </w:tc>
        <w:tc>
          <w:tcPr>
            <w:tcW w:type="dxa" w:w="2835"/>
          </w:tcPr>
          <w:p>
            <w:pPr>
              <w:spacing w:lineRule="exact" w:line="600"/>
              <w:jc w:val="center"/>
            </w:pPr>
            <w:r/>
            <w:r>
              <w:rPr>
                <w:rFonts w:ascii="仿宋_GB2312" w:hAnsi="仿宋_GB2312" w:eastAsia="仿宋_GB2312"/>
                <w:b w:val="0"/>
                <w:color w:val="000000"/>
                <w:sz w:val="32"/>
              </w:rPr>
              <w:t>规模优势</w:t>
            </w:r>
          </w:p>
        </w:tc>
      </w:tr>
      <w:tr>
        <w:tc>
          <w:tcPr>
            <w:tcW w:type="dxa" w:w="1701"/>
          </w:tcPr>
          <w:p>
            <w:pPr>
              <w:spacing w:lineRule="exact" w:line="600"/>
              <w:jc w:val="center"/>
            </w:pPr>
            <w:r/>
            <w:r>
              <w:rPr>
                <w:rFonts w:ascii="仿宋_GB2312" w:hAnsi="仿宋_GB2312" w:eastAsia="仿宋_GB2312"/>
                <w:b w:val="0"/>
                <w:color w:val="000000"/>
                <w:sz w:val="32"/>
              </w:rPr>
              <w:t>原料缓冲</w:t>
            </w:r>
          </w:p>
        </w:tc>
        <w:tc>
          <w:tcPr>
            <w:tcW w:type="dxa" w:w="3402"/>
          </w:tcPr>
          <w:p>
            <w:pPr>
              <w:spacing w:lineRule="exact" w:line="600"/>
              <w:jc w:val="center"/>
            </w:pPr>
            <w:r/>
            <w:r>
              <w:rPr>
                <w:rFonts w:ascii="仿宋_GB2312" w:hAnsi="仿宋_GB2312" w:eastAsia="仿宋_GB2312"/>
                <w:b w:val="0"/>
                <w:color w:val="000000"/>
                <w:sz w:val="32"/>
              </w:rPr>
              <w:t>基础油储4.5万吨</w:t>
            </w:r>
          </w:p>
        </w:tc>
        <w:tc>
          <w:tcPr>
            <w:tcW w:type="dxa" w:w="2835"/>
          </w:tcPr>
          <w:p>
            <w:pPr>
              <w:spacing w:lineRule="exact" w:line="600"/>
              <w:jc w:val="center"/>
            </w:pPr>
            <w:r/>
            <w:r>
              <w:rPr>
                <w:rFonts w:ascii="仿宋_GB2312" w:hAnsi="仿宋_GB2312" w:eastAsia="仿宋_GB2312"/>
                <w:b w:val="0"/>
                <w:color w:val="000000"/>
                <w:sz w:val="32"/>
              </w:rPr>
              <w:t>供应稳定</w:t>
            </w:r>
          </w:p>
        </w:tc>
      </w:tr>
      <w:tr>
        <w:tc>
          <w:tcPr>
            <w:tcW w:type="dxa" w:w="1701"/>
          </w:tcPr>
          <w:p>
            <w:pPr>
              <w:spacing w:lineRule="exact" w:line="600"/>
              <w:jc w:val="center"/>
            </w:pPr>
            <w:r/>
            <w:r>
              <w:rPr>
                <w:rFonts w:ascii="仿宋_GB2312" w:hAnsi="仿宋_GB2312" w:eastAsia="仿宋_GB2312"/>
                <w:b w:val="0"/>
                <w:color w:val="000000"/>
                <w:sz w:val="32"/>
              </w:rPr>
              <w:t>金融</w:t>
            </w:r>
          </w:p>
        </w:tc>
        <w:tc>
          <w:tcPr>
            <w:tcW w:type="dxa" w:w="3402"/>
          </w:tcPr>
          <w:p>
            <w:pPr>
              <w:spacing w:lineRule="exact" w:line="600"/>
              <w:jc w:val="center"/>
            </w:pPr>
            <w:r/>
            <w:r>
              <w:rPr>
                <w:rFonts w:ascii="仿宋_GB2312" w:hAnsi="仿宋_GB2312" w:eastAsia="仿宋_GB2312"/>
                <w:b w:val="0"/>
                <w:color w:val="000000"/>
                <w:sz w:val="32"/>
              </w:rPr>
              <w:t>89家机构入驻</w:t>
            </w:r>
          </w:p>
        </w:tc>
        <w:tc>
          <w:tcPr>
            <w:tcW w:type="dxa" w:w="2835"/>
          </w:tcPr>
          <w:p>
            <w:pPr>
              <w:spacing w:lineRule="exact" w:line="600"/>
              <w:jc w:val="center"/>
            </w:pPr>
            <w:r/>
            <w:r>
              <w:rPr>
                <w:rFonts w:ascii="仿宋_GB2312" w:hAnsi="仿宋_GB2312" w:eastAsia="仿宋_GB2312"/>
                <w:b w:val="0"/>
                <w:color w:val="000000"/>
                <w:sz w:val="32"/>
              </w:rPr>
              <w:t>科技金融</w:t>
            </w:r>
          </w:p>
        </w:tc>
      </w:tr>
      <w:tr>
        <w:tc>
          <w:tcPr>
            <w:tcW w:type="dxa" w:w="1701"/>
          </w:tcPr>
          <w:p>
            <w:pPr>
              <w:spacing w:lineRule="exact" w:line="600"/>
              <w:jc w:val="center"/>
            </w:pPr>
            <w:r/>
            <w:r>
              <w:rPr>
                <w:rFonts w:ascii="仿宋_GB2312" w:hAnsi="仿宋_GB2312" w:eastAsia="仿宋_GB2312"/>
                <w:b w:val="0"/>
                <w:color w:val="000000"/>
                <w:sz w:val="32"/>
              </w:rPr>
              <w:t>补贴</w:t>
            </w:r>
          </w:p>
        </w:tc>
        <w:tc>
          <w:tcPr>
            <w:tcW w:type="dxa" w:w="3402"/>
          </w:tcPr>
          <w:p>
            <w:pPr>
              <w:spacing w:lineRule="exact" w:line="600"/>
              <w:jc w:val="center"/>
            </w:pPr>
            <w:r/>
            <w:r>
              <w:rPr>
                <w:rFonts w:ascii="仿宋_GB2312" w:hAnsi="仿宋_GB2312" w:eastAsia="仿宋_GB2312"/>
                <w:b w:val="0"/>
                <w:color w:val="000000"/>
                <w:sz w:val="32"/>
              </w:rPr>
              <w:t>设备投资最高10%</w:t>
            </w:r>
          </w:p>
        </w:tc>
        <w:tc>
          <w:tcPr>
            <w:tcW w:type="dxa" w:w="2835"/>
          </w:tcPr>
          <w:p>
            <w:pPr>
              <w:spacing w:lineRule="exact" w:line="600"/>
              <w:jc w:val="center"/>
            </w:pPr>
            <w:r/>
            <w:r>
              <w:rPr>
                <w:rFonts w:ascii="仿宋_GB2312" w:hAnsi="仿宋_GB2312" w:eastAsia="仿宋_GB2312"/>
                <w:b w:val="0"/>
                <w:color w:val="000000"/>
                <w:sz w:val="32"/>
              </w:rPr>
              <w:t>降升级成本</w:t>
            </w:r>
          </w:p>
        </w:tc>
      </w:tr>
    </w:tbl>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（一）机遇</w:t>
      </w:r>
    </w:p>
    <w:p>
      <w:pPr>
        <w:spacing w:lineRule="exact" w:line="600" w:before="0" w:after="0"/>
        <w:ind w:firstLine="420"/>
        <w:jc w:val="both"/>
      </w:pPr>
      <w:r>
        <w:rPr>
          <w:rFonts w:ascii="仿宋_GB2312" w:hAnsi="仿宋_GB2312" w:eastAsia="仿宋_GB2312"/>
          <w:b w:val="0"/>
          <w:color w:val="000000"/>
          <w:sz w:val="32"/>
        </w:rPr>
        <w:t>一是工程机械出口与新能源机械增长带动专用润滑油与智能产线需求；二是「机器换人」与产线数字化渗透率提升；三是绿色低碳趋势下生物可降解润滑油、长换油周期产品受青睐；四是济宁高新区小松基地等重大项目带来配套增量。</w:t>
      </w:r>
    </w:p>
    <w:p>
      <w:pPr>
        <w:spacing w:lineRule="exact" w:line="600" w:before="120" w:after="120"/>
        <w:ind w:firstLine="420"/>
        <w:jc w:val="left"/>
      </w:pPr>
      <w:r>
        <w:rPr>
          <w:rFonts w:ascii="楷体_GB2312" w:hAnsi="楷体_GB2312" w:eastAsia="楷体_GB2312"/>
          <w:b w:val="0"/>
          <w:color w:val="000000"/>
          <w:sz w:val="32"/>
        </w:rPr>
        <w:t>（二）挑战与风险</w:t>
      </w:r>
    </w:p>
    <w:p>
      <w:pPr>
        <w:spacing w:lineRule="exact" w:line="600" w:before="0" w:after="0"/>
        <w:ind w:firstLine="420"/>
        <w:jc w:val="both"/>
      </w:pPr>
      <w:r>
        <w:rPr>
          <w:rFonts w:ascii="仿宋_GB2312" w:hAnsi="仿宋_GB2312" w:eastAsia="仿宋_GB2312"/>
          <w:b w:val="0"/>
          <w:color w:val="000000"/>
          <w:sz w:val="32"/>
        </w:rPr>
        <w:t>一是基础油价格受国际油价波动影响；二是润滑油行业竞争激烈、低端产能过剩；三是智能产线投入大、回收期长；四是新能源机械对传统润滑油需求结构变化。需以技术研发与差异化定位应对。</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类型</w:t>
            </w:r>
          </w:p>
        </w:tc>
        <w:tc>
          <w:tcPr>
            <w:tcW w:type="dxa" w:w="3969"/>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应对</w:t>
            </w:r>
          </w:p>
        </w:tc>
      </w:tr>
      <w:tr>
        <w:tc>
          <w:tcPr>
            <w:tcW w:type="dxa" w:w="1701"/>
          </w:tcPr>
          <w:p>
            <w:pPr>
              <w:spacing w:lineRule="exact" w:line="600"/>
              <w:jc w:val="center"/>
            </w:pPr>
            <w:r/>
            <w:r>
              <w:rPr>
                <w:rFonts w:ascii="仿宋_GB2312" w:hAnsi="仿宋_GB2312" w:eastAsia="仿宋_GB2312"/>
                <w:b w:val="0"/>
                <w:color w:val="000000"/>
                <w:sz w:val="32"/>
              </w:rPr>
              <w:t>机遇</w:t>
            </w:r>
          </w:p>
        </w:tc>
        <w:tc>
          <w:tcPr>
            <w:tcW w:type="dxa" w:w="3969"/>
          </w:tcPr>
          <w:p>
            <w:pPr>
              <w:spacing w:lineRule="exact" w:line="600"/>
              <w:jc w:val="center"/>
            </w:pPr>
            <w:r/>
            <w:r>
              <w:rPr>
                <w:rFonts w:ascii="仿宋_GB2312" w:hAnsi="仿宋_GB2312" w:eastAsia="仿宋_GB2312"/>
                <w:b w:val="0"/>
                <w:color w:val="000000"/>
                <w:sz w:val="32"/>
              </w:rPr>
              <w:t>出口、新能源、数字化</w:t>
            </w:r>
          </w:p>
        </w:tc>
        <w:tc>
          <w:tcPr>
            <w:tcW w:type="dxa" w:w="2835"/>
          </w:tcPr>
          <w:p>
            <w:pPr>
              <w:spacing w:lineRule="exact" w:line="600"/>
              <w:jc w:val="center"/>
            </w:pPr>
            <w:r/>
            <w:r>
              <w:rPr>
                <w:rFonts w:ascii="仿宋_GB2312" w:hAnsi="仿宋_GB2312" w:eastAsia="仿宋_GB2312"/>
                <w:b w:val="0"/>
                <w:color w:val="000000"/>
                <w:sz w:val="32"/>
              </w:rPr>
              <w:t>专用油+智能产线</w:t>
            </w:r>
          </w:p>
        </w:tc>
      </w:tr>
      <w:tr>
        <w:tc>
          <w:tcPr>
            <w:tcW w:type="dxa" w:w="1701"/>
          </w:tcPr>
          <w:p>
            <w:pPr>
              <w:spacing w:lineRule="exact" w:line="600"/>
              <w:jc w:val="center"/>
            </w:pPr>
            <w:r/>
            <w:r>
              <w:rPr>
                <w:rFonts w:ascii="仿宋_GB2312" w:hAnsi="仿宋_GB2312" w:eastAsia="仿宋_GB2312"/>
                <w:b w:val="0"/>
                <w:color w:val="000000"/>
                <w:sz w:val="32"/>
              </w:rPr>
              <w:t>挑战</w:t>
            </w:r>
          </w:p>
        </w:tc>
        <w:tc>
          <w:tcPr>
            <w:tcW w:type="dxa" w:w="3969"/>
          </w:tcPr>
          <w:p>
            <w:pPr>
              <w:spacing w:lineRule="exact" w:line="600"/>
              <w:jc w:val="center"/>
            </w:pPr>
            <w:r/>
            <w:r>
              <w:rPr>
                <w:rFonts w:ascii="仿宋_GB2312" w:hAnsi="仿宋_GB2312" w:eastAsia="仿宋_GB2312"/>
                <w:b w:val="0"/>
                <w:color w:val="000000"/>
                <w:sz w:val="32"/>
              </w:rPr>
              <w:t>油价波动、竞争激烈</w:t>
            </w:r>
          </w:p>
        </w:tc>
        <w:tc>
          <w:tcPr>
            <w:tcW w:type="dxa" w:w="2835"/>
          </w:tcPr>
          <w:p>
            <w:pPr>
              <w:spacing w:lineRule="exact" w:line="600"/>
              <w:jc w:val="center"/>
            </w:pPr>
            <w:r/>
            <w:r>
              <w:rPr>
                <w:rFonts w:ascii="仿宋_GB2312" w:hAnsi="仿宋_GB2312" w:eastAsia="仿宋_GB2312"/>
                <w:b w:val="0"/>
                <w:color w:val="000000"/>
                <w:sz w:val="32"/>
              </w:rPr>
              <w:t>研发差异化</w:t>
            </w:r>
          </w:p>
        </w:tc>
      </w:tr>
      <w:tr>
        <w:tc>
          <w:tcPr>
            <w:tcW w:type="dxa" w:w="1701"/>
          </w:tcPr>
          <w:p>
            <w:pPr>
              <w:spacing w:lineRule="exact" w:line="600"/>
              <w:jc w:val="center"/>
            </w:pPr>
            <w:r/>
            <w:r>
              <w:rPr>
                <w:rFonts w:ascii="仿宋_GB2312" w:hAnsi="仿宋_GB2312" w:eastAsia="仿宋_GB2312"/>
                <w:b w:val="0"/>
                <w:color w:val="000000"/>
                <w:sz w:val="32"/>
              </w:rPr>
              <w:t>风险</w:t>
            </w:r>
          </w:p>
        </w:tc>
        <w:tc>
          <w:tcPr>
            <w:tcW w:type="dxa" w:w="3969"/>
          </w:tcPr>
          <w:p>
            <w:pPr>
              <w:spacing w:lineRule="exact" w:line="600"/>
              <w:jc w:val="center"/>
            </w:pPr>
            <w:r/>
            <w:r>
              <w:rPr>
                <w:rFonts w:ascii="仿宋_GB2312" w:hAnsi="仿宋_GB2312" w:eastAsia="仿宋_GB2312"/>
                <w:b w:val="0"/>
                <w:color w:val="000000"/>
                <w:sz w:val="32"/>
              </w:rPr>
              <w:t>新能源替代结构变化</w:t>
            </w:r>
          </w:p>
        </w:tc>
        <w:tc>
          <w:tcPr>
            <w:tcW w:type="dxa" w:w="2835"/>
          </w:tcPr>
          <w:p>
            <w:pPr>
              <w:spacing w:lineRule="exact" w:line="600"/>
              <w:jc w:val="center"/>
            </w:pPr>
            <w:r/>
            <w:r>
              <w:rPr>
                <w:rFonts w:ascii="仿宋_GB2312" w:hAnsi="仿宋_GB2312" w:eastAsia="仿宋_GB2312"/>
                <w:b w:val="0"/>
                <w:color w:val="000000"/>
                <w:sz w:val="32"/>
              </w:rPr>
              <w:t>布局新能源油液</w:t>
            </w:r>
          </w:p>
        </w:tc>
      </w:tr>
    </w:tbl>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（一）绿色智能润滑升级</w:t>
      </w:r>
    </w:p>
    <w:p>
      <w:pPr>
        <w:spacing w:lineRule="exact" w:line="600" w:before="0" w:after="0"/>
        <w:ind w:firstLine="420"/>
        <w:jc w:val="both"/>
      </w:pPr>
      <w:r>
        <w:rPr>
          <w:rFonts w:ascii="仿宋_GB2312" w:hAnsi="仿宋_GB2312" w:eastAsia="仿宋_GB2312"/>
          <w:b w:val="0"/>
          <w:color w:val="000000"/>
          <w:sz w:val="32"/>
        </w:rPr>
        <w:t>源根石化已推出纯电动汽车减速箱专用油、混合动力专用机油等新能源油液，并研发低灰分、低硫磷环保型润滑油（来源：源根石化官网/行业资料）。路径上应扩大生物可降解、长换油周期产品，服务道路机械智能产线的绿色运维。</w:t>
      </w:r>
    </w:p>
    <w:p>
      <w:pPr>
        <w:spacing w:lineRule="exact" w:line="600" w:before="120" w:after="120"/>
        <w:ind w:firstLine="420"/>
        <w:jc w:val="left"/>
      </w:pPr>
      <w:r>
        <w:rPr>
          <w:rFonts w:ascii="楷体_GB2312" w:hAnsi="楷体_GB2312" w:eastAsia="楷体_GB2312"/>
          <w:b w:val="0"/>
          <w:color w:val="000000"/>
          <w:sz w:val="32"/>
        </w:rPr>
        <w:t>（二）产线数字化与生态协同</w:t>
      </w:r>
    </w:p>
    <w:p>
      <w:pPr>
        <w:spacing w:lineRule="exact" w:line="600" w:before="0" w:after="0"/>
        <w:ind w:firstLine="420"/>
        <w:jc w:val="both"/>
      </w:pPr>
      <w:r>
        <w:rPr>
          <w:rFonts w:ascii="仿宋_GB2312" w:hAnsi="仿宋_GB2312" w:eastAsia="仿宋_GB2312"/>
          <w:b w:val="0"/>
          <w:color w:val="000000"/>
          <w:sz w:val="32"/>
        </w:rPr>
        <w:t>济宁高新区推动100家企业投入100亿元数字化改造、贯标认证10家（来源：山东商报、济宁高新区官网）。道路机械智能产线应深化工业互联网、数字孪生与智能调度，依托山推智慧施工平台、小松全球基地实现「主机+配套」协同，打造一体化智能制造标杆。</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路径</w:t>
            </w:r>
          </w:p>
        </w:tc>
        <w:tc>
          <w:tcPr>
            <w:tcW w:type="dxa" w:w="3402"/>
          </w:tcPr>
          <w:p>
            <w:pPr>
              <w:spacing w:lineRule="exact" w:line="600"/>
              <w:jc w:val="center"/>
            </w:pPr>
            <w:r/>
            <w:r>
              <w:rPr>
                <w:rFonts w:ascii="黑体" w:hAnsi="黑体" w:eastAsia="黑体"/>
                <w:b/>
                <w:color w:val="000000"/>
                <w:sz w:val="32"/>
              </w:rPr>
              <w:t>举措</w:t>
            </w:r>
          </w:p>
        </w:tc>
        <w:tc>
          <w:tcPr>
            <w:tcW w:type="dxa" w:w="2835"/>
          </w:tcPr>
          <w:p>
            <w:pPr>
              <w:spacing w:lineRule="exact" w:line="600"/>
              <w:jc w:val="center"/>
            </w:pPr>
            <w:r/>
            <w:r>
              <w:rPr>
                <w:rFonts w:ascii="黑体" w:hAnsi="黑体" w:eastAsia="黑体"/>
                <w:b/>
                <w:color w:val="000000"/>
                <w:sz w:val="32"/>
              </w:rPr>
              <w:t>效果</w:t>
            </w:r>
          </w:p>
        </w:tc>
      </w:tr>
      <w:tr>
        <w:tc>
          <w:tcPr>
            <w:tcW w:type="dxa" w:w="1701"/>
          </w:tcPr>
          <w:p>
            <w:pPr>
              <w:spacing w:lineRule="exact" w:line="600"/>
              <w:jc w:val="center"/>
            </w:pPr>
            <w:r/>
            <w:r>
              <w:rPr>
                <w:rFonts w:ascii="仿宋_GB2312" w:hAnsi="仿宋_GB2312" w:eastAsia="仿宋_GB2312"/>
                <w:b w:val="0"/>
                <w:color w:val="000000"/>
                <w:sz w:val="32"/>
              </w:rPr>
              <w:t>绿色润滑</w:t>
            </w:r>
          </w:p>
        </w:tc>
        <w:tc>
          <w:tcPr>
            <w:tcW w:type="dxa" w:w="3402"/>
          </w:tcPr>
          <w:p>
            <w:pPr>
              <w:spacing w:lineRule="exact" w:line="600"/>
              <w:jc w:val="center"/>
            </w:pPr>
            <w:r/>
            <w:r>
              <w:rPr>
                <w:rFonts w:ascii="仿宋_GB2312" w:hAnsi="仿宋_GB2312" w:eastAsia="仿宋_GB2312"/>
                <w:b w:val="0"/>
                <w:color w:val="000000"/>
                <w:sz w:val="32"/>
              </w:rPr>
              <w:t>新能源油液、长换油</w:t>
            </w:r>
          </w:p>
        </w:tc>
        <w:tc>
          <w:tcPr>
            <w:tcW w:type="dxa" w:w="2835"/>
          </w:tcPr>
          <w:p>
            <w:pPr>
              <w:spacing w:lineRule="exact" w:line="600"/>
              <w:jc w:val="center"/>
            </w:pPr>
            <w:r/>
            <w:r>
              <w:rPr>
                <w:rFonts w:ascii="仿宋_GB2312" w:hAnsi="仿宋_GB2312" w:eastAsia="仿宋_GB2312"/>
                <w:b w:val="0"/>
                <w:color w:val="000000"/>
                <w:sz w:val="32"/>
              </w:rPr>
              <w:t>降耗环保</w:t>
            </w:r>
          </w:p>
        </w:tc>
      </w:tr>
      <w:tr>
        <w:tc>
          <w:tcPr>
            <w:tcW w:type="dxa" w:w="1701"/>
          </w:tcPr>
          <w:p>
            <w:pPr>
              <w:spacing w:lineRule="exact" w:line="600"/>
              <w:jc w:val="center"/>
            </w:pPr>
            <w:r/>
            <w:r>
              <w:rPr>
                <w:rFonts w:ascii="仿宋_GB2312" w:hAnsi="仿宋_GB2312" w:eastAsia="仿宋_GB2312"/>
                <w:b w:val="0"/>
                <w:color w:val="000000"/>
                <w:sz w:val="32"/>
              </w:rPr>
              <w:t>产线数字</w:t>
            </w:r>
          </w:p>
        </w:tc>
        <w:tc>
          <w:tcPr>
            <w:tcW w:type="dxa" w:w="3402"/>
          </w:tcPr>
          <w:p>
            <w:pPr>
              <w:spacing w:lineRule="exact" w:line="600"/>
              <w:jc w:val="center"/>
            </w:pPr>
            <w:r/>
            <w:r>
              <w:rPr>
                <w:rFonts w:ascii="仿宋_GB2312" w:hAnsi="仿宋_GB2312" w:eastAsia="仿宋_GB2312"/>
                <w:b w:val="0"/>
                <w:color w:val="000000"/>
                <w:sz w:val="32"/>
              </w:rPr>
              <w:t>100亿改造、数字孪生</w:t>
            </w:r>
          </w:p>
        </w:tc>
        <w:tc>
          <w:tcPr>
            <w:tcW w:type="dxa" w:w="2835"/>
          </w:tcPr>
          <w:p>
            <w:pPr>
              <w:spacing w:lineRule="exact" w:line="600"/>
              <w:jc w:val="center"/>
            </w:pPr>
            <w:r/>
            <w:r>
              <w:rPr>
                <w:rFonts w:ascii="仿宋_GB2312" w:hAnsi="仿宋_GB2312" w:eastAsia="仿宋_GB2312"/>
                <w:b w:val="0"/>
                <w:color w:val="000000"/>
                <w:sz w:val="32"/>
              </w:rPr>
              <w:t>效率质量提升</w:t>
            </w:r>
          </w:p>
        </w:tc>
      </w:tr>
      <w:tr>
        <w:tc>
          <w:tcPr>
            <w:tcW w:type="dxa" w:w="1701"/>
          </w:tcPr>
          <w:p>
            <w:pPr>
              <w:spacing w:lineRule="exact" w:line="600"/>
              <w:jc w:val="center"/>
            </w:pPr>
            <w:r/>
            <w:r>
              <w:rPr>
                <w:rFonts w:ascii="仿宋_GB2312" w:hAnsi="仿宋_GB2312" w:eastAsia="仿宋_GB2312"/>
                <w:b w:val="0"/>
                <w:color w:val="000000"/>
                <w:sz w:val="32"/>
              </w:rPr>
              <w:t>生态协同</w:t>
            </w:r>
          </w:p>
        </w:tc>
        <w:tc>
          <w:tcPr>
            <w:tcW w:type="dxa" w:w="3402"/>
          </w:tcPr>
          <w:p>
            <w:pPr>
              <w:spacing w:lineRule="exact" w:line="600"/>
              <w:jc w:val="center"/>
            </w:pPr>
            <w:r/>
            <w:r>
              <w:rPr>
                <w:rFonts w:ascii="仿宋_GB2312" w:hAnsi="仿宋_GB2312" w:eastAsia="仿宋_GB2312"/>
                <w:b w:val="0"/>
                <w:color w:val="000000"/>
                <w:sz w:val="32"/>
              </w:rPr>
              <w:t>主机+配套全产业链</w:t>
            </w:r>
          </w:p>
        </w:tc>
        <w:tc>
          <w:tcPr>
            <w:tcW w:type="dxa" w:w="2835"/>
          </w:tcPr>
          <w:p>
            <w:pPr>
              <w:spacing w:lineRule="exact" w:line="600"/>
              <w:jc w:val="center"/>
            </w:pPr>
            <w:r/>
            <w:r>
              <w:rPr>
                <w:rFonts w:ascii="仿宋_GB2312" w:hAnsi="仿宋_GB2312" w:eastAsia="仿宋_GB2312"/>
                <w:b w:val="0"/>
                <w:color w:val="000000"/>
                <w:sz w:val="32"/>
              </w:rPr>
              <w:t>一体化标杆</w:t>
            </w:r>
          </w:p>
        </w:tc>
      </w:tr>
    </w:tbl>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（一）智能工厂与产能扩张融资</w:t>
      </w:r>
    </w:p>
    <w:p>
      <w:pPr>
        <w:spacing w:lineRule="exact" w:line="600" w:before="0" w:after="0"/>
        <w:ind w:firstLine="420"/>
        <w:jc w:val="both"/>
      </w:pPr>
      <w:r>
        <w:rPr>
          <w:rFonts w:ascii="仿宋_GB2312" w:hAnsi="仿宋_GB2312" w:eastAsia="仿宋_GB2312"/>
          <w:b w:val="0"/>
          <w:color w:val="000000"/>
          <w:sz w:val="32"/>
        </w:rPr>
        <w:t>源根石化九大车间、60余条自动线及CNAS实验室建设需要持续资本开支，适合项目贷、绿色信贷与股权融资。济宁高新区对企业设备投资最高给予10%财政补贴、技改贷款贴息35%以上（来源：济宁高新区官网），可显著降低智能产线升级融资成本。</w:t>
      </w:r>
    </w:p>
    <w:p>
      <w:pPr>
        <w:spacing w:lineRule="exact" w:line="600" w:before="120" w:after="120"/>
        <w:ind w:firstLine="420"/>
        <w:jc w:val="left"/>
      </w:pPr>
      <w:r>
        <w:rPr>
          <w:rFonts w:ascii="楷体_GB2312" w:hAnsi="楷体_GB2312" w:eastAsia="楷体_GB2312"/>
          <w:b w:val="0"/>
          <w:color w:val="000000"/>
          <w:sz w:val="32"/>
        </w:rPr>
        <w:t>（二）研发与标准建设融资</w:t>
      </w:r>
    </w:p>
    <w:p>
      <w:pPr>
        <w:spacing w:lineRule="exact" w:line="600" w:before="0" w:after="0"/>
        <w:ind w:firstLine="420"/>
        <w:jc w:val="both"/>
      </w:pPr>
      <w:r>
        <w:rPr>
          <w:rFonts w:ascii="仿宋_GB2312" w:hAnsi="仿宋_GB2312" w:eastAsia="仿宋_GB2312"/>
          <w:b w:val="0"/>
          <w:color w:val="000000"/>
          <w:sz w:val="32"/>
        </w:rPr>
        <w:t>润滑油企业攻关新能源油液、生物可降解配方及参与国标行标制定，需要研发资金支持，适合科创贷、产业基金。集群层面可设智能制造专项基金，支持道路机械智能产线（下料、焊接、调度）的机器人换人与工业互联网集成，整体提升制造能级。</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融资方向</w:t>
            </w:r>
          </w:p>
        </w:tc>
        <w:tc>
          <w:tcPr>
            <w:tcW w:type="dxa" w:w="3402"/>
          </w:tcPr>
          <w:p>
            <w:pPr>
              <w:spacing w:lineRule="exact" w:line="600"/>
              <w:jc w:val="center"/>
            </w:pPr>
            <w:r/>
            <w:r>
              <w:rPr>
                <w:rFonts w:ascii="黑体" w:hAnsi="黑体" w:eastAsia="黑体"/>
                <w:b/>
                <w:color w:val="000000"/>
                <w:sz w:val="32"/>
              </w:rPr>
              <w:t>场景</w:t>
            </w:r>
          </w:p>
        </w:tc>
        <w:tc>
          <w:tcPr>
            <w:tcW w:type="dxa" w:w="2835"/>
          </w:tcPr>
          <w:p>
            <w:pPr>
              <w:spacing w:lineRule="exact" w:line="600"/>
              <w:jc w:val="center"/>
            </w:pPr>
            <w:r/>
            <w:r>
              <w:rPr>
                <w:rFonts w:ascii="黑体" w:hAnsi="黑体" w:eastAsia="黑体"/>
                <w:b/>
                <w:color w:val="000000"/>
                <w:sz w:val="32"/>
              </w:rPr>
              <w:t>工具</w:t>
            </w:r>
          </w:p>
        </w:tc>
      </w:tr>
      <w:tr>
        <w:tc>
          <w:tcPr>
            <w:tcW w:type="dxa" w:w="1701"/>
          </w:tcPr>
          <w:p>
            <w:pPr>
              <w:spacing w:lineRule="exact" w:line="600"/>
              <w:jc w:val="center"/>
            </w:pPr>
            <w:r/>
            <w:r>
              <w:rPr>
                <w:rFonts w:ascii="仿宋_GB2312" w:hAnsi="仿宋_GB2312" w:eastAsia="仿宋_GB2312"/>
                <w:b w:val="0"/>
                <w:color w:val="000000"/>
                <w:sz w:val="32"/>
              </w:rPr>
              <w:t>智能工厂</w:t>
            </w:r>
          </w:p>
        </w:tc>
        <w:tc>
          <w:tcPr>
            <w:tcW w:type="dxa" w:w="3402"/>
          </w:tcPr>
          <w:p>
            <w:pPr>
              <w:spacing w:lineRule="exact" w:line="600"/>
              <w:jc w:val="center"/>
            </w:pPr>
            <w:r/>
            <w:r>
              <w:rPr>
                <w:rFonts w:ascii="仿宋_GB2312" w:hAnsi="仿宋_GB2312" w:eastAsia="仿宋_GB2312"/>
                <w:b w:val="0"/>
                <w:color w:val="000000"/>
                <w:sz w:val="32"/>
              </w:rPr>
              <w:t>九大车间/60线扩产</w:t>
            </w:r>
          </w:p>
        </w:tc>
        <w:tc>
          <w:tcPr>
            <w:tcW w:type="dxa" w:w="2835"/>
          </w:tcPr>
          <w:p>
            <w:pPr>
              <w:spacing w:lineRule="exact" w:line="600"/>
              <w:jc w:val="center"/>
            </w:pPr>
            <w:r/>
            <w:r>
              <w:rPr>
                <w:rFonts w:ascii="仿宋_GB2312" w:hAnsi="仿宋_GB2312" w:eastAsia="仿宋_GB2312"/>
                <w:b w:val="0"/>
                <w:color w:val="000000"/>
                <w:sz w:val="32"/>
              </w:rPr>
              <w:t>项目贷、绿色信贷</w:t>
            </w:r>
          </w:p>
        </w:tc>
      </w:tr>
      <w:tr>
        <w:tc>
          <w:tcPr>
            <w:tcW w:type="dxa" w:w="1701"/>
          </w:tcPr>
          <w:p>
            <w:pPr>
              <w:spacing w:lineRule="exact" w:line="600"/>
              <w:jc w:val="center"/>
            </w:pPr>
            <w:r/>
            <w:r>
              <w:rPr>
                <w:rFonts w:ascii="仿宋_GB2312" w:hAnsi="仿宋_GB2312" w:eastAsia="仿宋_GB2312"/>
                <w:b w:val="0"/>
                <w:color w:val="000000"/>
                <w:sz w:val="32"/>
              </w:rPr>
              <w:t>研发标准</w:t>
            </w:r>
          </w:p>
        </w:tc>
        <w:tc>
          <w:tcPr>
            <w:tcW w:type="dxa" w:w="3402"/>
          </w:tcPr>
          <w:p>
            <w:pPr>
              <w:spacing w:lineRule="exact" w:line="600"/>
              <w:jc w:val="center"/>
            </w:pPr>
            <w:r/>
            <w:r>
              <w:rPr>
                <w:rFonts w:ascii="仿宋_GB2312" w:hAnsi="仿宋_GB2312" w:eastAsia="仿宋_GB2312"/>
                <w:b w:val="0"/>
                <w:color w:val="000000"/>
                <w:sz w:val="32"/>
              </w:rPr>
              <w:t>新能源油液、国标制定</w:t>
            </w:r>
          </w:p>
        </w:tc>
        <w:tc>
          <w:tcPr>
            <w:tcW w:type="dxa" w:w="2835"/>
          </w:tcPr>
          <w:p>
            <w:pPr>
              <w:spacing w:lineRule="exact" w:line="600"/>
              <w:jc w:val="center"/>
            </w:pPr>
            <w:r/>
            <w:r>
              <w:rPr>
                <w:rFonts w:ascii="仿宋_GB2312" w:hAnsi="仿宋_GB2312" w:eastAsia="仿宋_GB2312"/>
                <w:b w:val="0"/>
                <w:color w:val="000000"/>
                <w:sz w:val="32"/>
              </w:rPr>
              <w:t>科创贷、产业基金</w:t>
            </w:r>
          </w:p>
        </w:tc>
      </w:tr>
      <w:tr>
        <w:tc>
          <w:tcPr>
            <w:tcW w:type="dxa" w:w="1701"/>
          </w:tcPr>
          <w:p>
            <w:pPr>
              <w:spacing w:lineRule="exact" w:line="600"/>
              <w:jc w:val="center"/>
            </w:pPr>
            <w:r/>
            <w:r>
              <w:rPr>
                <w:rFonts w:ascii="仿宋_GB2312" w:hAnsi="仿宋_GB2312" w:eastAsia="仿宋_GB2312"/>
                <w:b w:val="0"/>
                <w:color w:val="000000"/>
                <w:sz w:val="32"/>
              </w:rPr>
              <w:t>产线改造</w:t>
            </w:r>
          </w:p>
        </w:tc>
        <w:tc>
          <w:tcPr>
            <w:tcW w:type="dxa" w:w="3402"/>
          </w:tcPr>
          <w:p>
            <w:pPr>
              <w:spacing w:lineRule="exact" w:line="600"/>
              <w:jc w:val="center"/>
            </w:pPr>
            <w:r/>
            <w:r>
              <w:rPr>
                <w:rFonts w:ascii="仿宋_GB2312" w:hAnsi="仿宋_GB2312" w:eastAsia="仿宋_GB2312"/>
                <w:b w:val="0"/>
                <w:color w:val="000000"/>
                <w:sz w:val="32"/>
              </w:rPr>
              <w:t>机器人换人、工业互联网</w:t>
            </w:r>
          </w:p>
        </w:tc>
        <w:tc>
          <w:tcPr>
            <w:tcW w:type="dxa" w:w="2835"/>
          </w:tcPr>
          <w:p>
            <w:pPr>
              <w:spacing w:lineRule="exact" w:line="600"/>
              <w:jc w:val="center"/>
            </w:pPr>
            <w:r/>
            <w:r>
              <w:rPr>
                <w:rFonts w:ascii="仿宋_GB2312" w:hAnsi="仿宋_GB2312" w:eastAsia="仿宋_GB2312"/>
                <w:b w:val="0"/>
                <w:color w:val="000000"/>
                <w:sz w:val="32"/>
              </w:rPr>
              <w:t>设备更新再贷款</w:t>
            </w:r>
          </w:p>
        </w:tc>
      </w:tr>
    </w:tbl>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源根石油化工有限公司：成立于1998年，注册资本1.8亿元，济宁生产基地占地270余亩，建有九大润滑油/脂生产车间（建筑面积6万余平方米），基础油储存能力4.5万吨以上、产成品储存2.5万多吨，自动生产线60余条，具备年产各类润滑油脂35万吨能力；获国家高新技术企业、国家火炬计划重点高新技术企业、中国石油和化工企业500强、国家知识产权示范企业、国家专精特新「小巨人」、中国工程机械工业用油品生产基地等荣誉；拥有CNAS认证实验室（检测设备60余台）、科研团队60余人（国务院津贴专家1人），国家专利140余项，主持制定行业标准2项、参与国标8项；品牌「源根」「小松」为中国驰名商标（来源：源根石化官网、中国网）。</w:t>
      </w:r>
    </w:p>
    <w:p>
      <w:pPr>
        <w:spacing w:lineRule="exact" w:line="600" w:before="0" w:after="0"/>
        <w:ind w:firstLine="420"/>
        <w:jc w:val="both"/>
      </w:pPr>
      <w:r>
        <w:rPr>
          <w:rFonts w:ascii="仿宋_GB2312" w:hAnsi="仿宋_GB2312" w:eastAsia="仿宋_GB2312"/>
          <w:b w:val="0"/>
          <w:color w:val="000000"/>
          <w:sz w:val="32"/>
        </w:rPr>
        <w:t>山推工程机械股份有限公司（智能产线主体）：注册济宁高新区327国道58号，建成智慧施工综合调度平台，突破工作装置自动控制、机群协同无人施工、智慧调度三大核心技术，综合施工效率提升50%以上，是道路机械智能产线的整机与系统集成代表（来源：济宁高新区官网、2023年报）。</w:t>
      </w:r>
    </w:p>
    <w:p>
      <w:pPr>
        <w:spacing w:lineRule="exact" w:line="600" w:before="0" w:after="0"/>
        <w:ind w:firstLine="420"/>
        <w:jc w:val="both"/>
      </w:pPr>
      <w:r>
        <w:rPr>
          <w:rFonts w:ascii="仿宋_GB2312" w:hAnsi="仿宋_GB2312" w:eastAsia="仿宋_GB2312"/>
          <w:b w:val="0"/>
          <w:color w:val="000000"/>
          <w:sz w:val="32"/>
        </w:rPr>
        <w:t>小松山推工程机械有限公司（全球智能制造基地）：2024年5月签约总投资106亿元的小松全球智能制造产业基地，建成后实现「主机+配套」全产业链、零部件供应达全球70%，是济宁道路机械智能产线的标志性重大项目（来源：山东商报）。</w:t>
      </w:r>
    </w:p>
    <w:p>
      <w:pPr>
        <w:spacing w:lineRule="exact" w:line="600" w:before="0" w:after="0"/>
        <w:jc w:val="left"/>
      </w:pPr>
      <w:r>
        <w:rPr>
          <w:rFonts w:ascii="仿宋_GB2312" w:hAnsi="仿宋_GB2312" w:eastAsia="仿宋_GB2312"/>
          <w:b w:val="0"/>
          <w:color w:val="000000"/>
          <w:sz w:val="28"/>
        </w:rPr>
        <w:t>主要数据来源：山东源根石油化工有限公司官网：公司简介与资质荣誉，yuangensh.com；中国网：《探访一滴油的绿色「蜕变」——走进济宁高新区源根石化》，2025-10；济宁高新区管委会：《济宁高新区：全力打造高端装备产业高地》《小挖机撬动大市场》，jnhn.gov.cn，2023-12、2026-07；山东商报/今日头条：《从产线聚集到覆盖全球看济宁高新区工程机械产业集群》，2026-05；山推工程机械股份有限公司2023年年度报告（000680），巨潮资讯网</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