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山东济宁兖州区(智能农机装备)特色产业集群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农机动力与底盘行业深度分析报告</w:t>
      </w:r>
    </w:p>
    <w:p>
      <w:pPr>
        <w:spacing w:lineRule="exact" w:line="600" w:before="0" w:after="0"/>
        <w:jc w:val="left"/>
      </w:pPr>
      <w:r>
        <w:rPr>
          <w:rFonts w:ascii="仿宋_GB2312" w:hAnsi="仿宋_GB2312" w:eastAsia="仿宋_GB2312"/>
          <w:b w:val="0"/>
          <w:color w:val="000000"/>
          <w:sz w:val="28"/>
        </w:rPr>
        <w:t>数据来源于农业农村部、山东省及济宁市兖州区公开资料与企业信息，截至2023年；动力与底盘企业多为非上市民企，量化财务数据公开有限，相关处标注「公开资料有限」。</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农机动力与底盘涵盖柴油机、变速箱、驱动桥、车架与行走系统，是决定整机性能与可靠性的核心基础环节。兖州农机集群在整机带动下形成动力与底盘配套能力，国丰机械等企业的拖拉机底盘与金大丰等整机自配动力总成协同发展。行业向大马力、动力换挡、无级变速与新能源动力升级。机遇来自高端动力总成国产替代与智能底盘需求，挑战在于大马力发动机、CVT变速箱等仍依赖外部，以及排放升级带来的研发压力。融资需求集中于动力总成产线、试验台架与电控研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综合机械化率(2023)：超73%（来源：农业农村部2024）</w:t>
      </w:r>
    </w:p>
    <w:p>
      <w:pPr>
        <w:spacing w:lineRule="exact" w:line="600" w:before="0" w:after="0"/>
        <w:ind w:firstLine="420"/>
        <w:jc w:val="both"/>
      </w:pPr>
      <w:r>
        <w:rPr>
          <w:rFonts w:ascii="仿宋_GB2312" w:hAnsi="仿宋_GB2312" w:eastAsia="仿宋_GB2312"/>
          <w:b w:val="0"/>
          <w:color w:val="000000"/>
          <w:sz w:val="32"/>
        </w:rPr>
        <w:t>· 非道路排放阶段：国四实施（来源：生态环境部2022）</w:t>
      </w:r>
    </w:p>
    <w:p>
      <w:pPr>
        <w:spacing w:lineRule="exact" w:line="600" w:before="0" w:after="0"/>
        <w:ind w:firstLine="420"/>
        <w:jc w:val="both"/>
      </w:pPr>
      <w:r>
        <w:rPr>
          <w:rFonts w:ascii="仿宋_GB2312" w:hAnsi="仿宋_GB2312" w:eastAsia="仿宋_GB2312"/>
          <w:b w:val="0"/>
          <w:color w:val="000000"/>
          <w:sz w:val="32"/>
        </w:rPr>
        <w:t>· 兖州动力底盘骨干：国丰机械（来源：兖州区企业信息2023）</w:t>
      </w:r>
    </w:p>
    <w:p>
      <w:pPr>
        <w:spacing w:lineRule="exact" w:line="600" w:before="0" w:after="0"/>
        <w:ind w:firstLine="420"/>
        <w:jc w:val="both"/>
      </w:pPr>
      <w:r>
        <w:rPr>
          <w:rFonts w:ascii="仿宋_GB2312" w:hAnsi="仿宋_GB2312" w:eastAsia="仿宋_GB2312"/>
          <w:b w:val="0"/>
          <w:color w:val="000000"/>
          <w:sz w:val="32"/>
        </w:rPr>
        <w:t>· 集群级别：省级特色产业集群（来源：兖州区政府2023）</w:t>
      </w:r>
    </w:p>
    <w:p>
      <w:pPr>
        <w:spacing w:lineRule="exact" w:line="600" w:before="0" w:after="0"/>
        <w:ind w:firstLine="420"/>
        <w:jc w:val="both"/>
      </w:pPr>
      <w:r>
        <w:rPr>
          <w:rFonts w:ascii="仿宋_GB2312" w:hAnsi="仿宋_GB2312" w:eastAsia="仿宋_GB2312"/>
          <w:b w:val="0"/>
          <w:color w:val="000000"/>
          <w:sz w:val="32"/>
        </w:rPr>
        <w:t>· 骨干资质：高新技术企业/专精特新（来源：山东省工信厅2023）</w:t>
      </w:r>
    </w:p>
    <w:p>
      <w:pPr>
        <w:spacing w:lineRule="exact" w:line="600" w:before="0" w:after="0"/>
        <w:ind w:firstLine="420"/>
        <w:jc w:val="both"/>
      </w:pPr>
      <w:r>
        <w:rPr>
          <w:rFonts w:ascii="仿宋_GB2312" w:hAnsi="仿宋_GB2312" w:eastAsia="仿宋_GB2312"/>
          <w:b w:val="0"/>
          <w:color w:val="000000"/>
          <w:sz w:val="32"/>
        </w:rPr>
        <w:t>· 山东产业基础：内燃机与传动产业（来源：山东省工信厅2023）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（一）需求背景</w:t>
      </w:r>
    </w:p>
    <w:p>
      <w:pPr>
        <w:spacing w:lineRule="exact" w:line="600" w:before="0" w:after="0"/>
        <w:ind w:firstLine="420"/>
        <w:jc w:val="both"/>
      </w:pPr>
      <w:r>
        <w:rPr>
          <w:rFonts w:ascii="仿宋_GB2312" w:hAnsi="仿宋_GB2312" w:eastAsia="仿宋_GB2312"/>
          <w:b w:val="0"/>
          <w:color w:val="000000"/>
          <w:sz w:val="32"/>
        </w:rPr>
        <w:t>2023年全国农作物耕种收综合机械化率超73%，带动动力底盘配套需求（来源：农业农村部2024）。大中型拖拉机向200马力以上发展，动力底盘技术门槛提升（来源：行业共性研判）。</w:t>
      </w:r>
    </w:p>
    <w:p>
      <w:pPr>
        <w:spacing w:lineRule="exact" w:line="600" w:before="120" w:after="120"/>
        <w:ind w:firstLine="420"/>
        <w:jc w:val="left"/>
      </w:pPr>
      <w:r>
        <w:rPr>
          <w:rFonts w:ascii="楷体_GB2312" w:hAnsi="楷体_GB2312" w:eastAsia="楷体_GB2312"/>
          <w:b w:val="0"/>
          <w:color w:val="000000"/>
          <w:sz w:val="32"/>
        </w:rPr>
        <w:t>（二）政策导向</w:t>
      </w:r>
    </w:p>
    <w:p>
      <w:pPr>
        <w:spacing w:lineRule="exact" w:line="600" w:before="0" w:after="0"/>
        <w:ind w:firstLine="420"/>
        <w:jc w:val="both"/>
      </w:pPr>
      <w:r>
        <w:rPr>
          <w:rFonts w:ascii="仿宋_GB2312" w:hAnsi="仿宋_GB2312" w:eastAsia="仿宋_GB2312"/>
          <w:b w:val="0"/>
          <w:color w:val="000000"/>
          <w:sz w:val="32"/>
        </w:rPr>
        <w:t>农机补短板将动力换挡、无级变速等高端底盘列为攻关重点（来源：农业农村部2022）。非道路国四排放标准实施，倒逼动力系统升级换代（来源：生态环境部2022）。</w:t>
      </w:r>
    </w:p>
    <w:p>
      <w:pPr>
        <w:spacing w:lineRule="exact" w:line="600" w:before="120" w:after="120"/>
        <w:ind w:firstLine="420"/>
        <w:jc w:val="left"/>
      </w:pPr>
      <w:r>
        <w:rPr>
          <w:rFonts w:ascii="楷体_GB2312" w:hAnsi="楷体_GB2312" w:eastAsia="楷体_GB2312"/>
          <w:b w:val="0"/>
          <w:color w:val="000000"/>
          <w:sz w:val="32"/>
        </w:rPr>
        <w:t>（三）区域承接</w:t>
      </w:r>
    </w:p>
    <w:p>
      <w:pPr>
        <w:spacing w:lineRule="exact" w:line="600" w:before="0" w:after="0"/>
        <w:ind w:firstLine="420"/>
        <w:jc w:val="both"/>
      </w:pPr>
      <w:r>
        <w:rPr>
          <w:rFonts w:ascii="仿宋_GB2312" w:hAnsi="仿宋_GB2312" w:eastAsia="仿宋_GB2312"/>
          <w:b w:val="0"/>
          <w:color w:val="000000"/>
          <w:sz w:val="32"/>
        </w:rPr>
        <w:t>兖州整机集群拉动本地动力底盘配套，形成就近协同（来源：兖州区政府2023）。山东省内燃机与传动产业基础为农机动力提供支撑（来源：山东省工信厅2023）。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综合研判：本维度各项真实数据点相互印证，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综合研判：本维度各项真实数据点相互印证，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综合研判：本维度各项真实数据点相互印证，本维度围绕「（一）需求背景、（二）政策导向、（三）区域承接」展开系统梳理，其中「2023年全国农作物耕种收综合机械化率超73%，带动动力底盘配套需求（来源：农业农村部2024）」与「大中型拖拉机向200马力以上发展，动力底盘技术门槛提升（来源：行业共性研判）」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本维度围绕「（一）柴油动力、（二）传动与底盘、（三）行走与车架」展开系统梳理，下文逐层展开，力求以可溯源的量化事实支撑后续研判。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（一）柴油动力</w:t>
      </w:r>
    </w:p>
    <w:p>
      <w:pPr>
        <w:spacing w:lineRule="exact" w:line="600" w:before="0" w:after="0"/>
        <w:ind w:firstLine="420"/>
        <w:jc w:val="both"/>
      </w:pPr>
      <w:r>
        <w:rPr>
          <w:rFonts w:ascii="仿宋_GB2312" w:hAnsi="仿宋_GB2312" w:eastAsia="仿宋_GB2312"/>
          <w:b w:val="0"/>
          <w:color w:val="000000"/>
          <w:sz w:val="32"/>
        </w:rPr>
        <w:t>非道路国四柴油机是农机主流动力，增压中冷与后处理为技术要点（来源：行业共性研判）。区域整机企业外采玉柴、潍柴等发动机，部分自配动力总成（来源：公开资料有限）。</w:t>
      </w:r>
    </w:p>
    <w:p>
      <w:pPr>
        <w:spacing w:lineRule="exact" w:line="600" w:before="120" w:after="120"/>
        <w:ind w:firstLine="420"/>
        <w:jc w:val="left"/>
      </w:pPr>
      <w:r>
        <w:rPr>
          <w:rFonts w:ascii="楷体_GB2312" w:hAnsi="楷体_GB2312" w:eastAsia="楷体_GB2312"/>
          <w:b w:val="0"/>
          <w:color w:val="000000"/>
          <w:sz w:val="32"/>
        </w:rPr>
        <w:t>（二）传动与底盘</w:t>
      </w:r>
    </w:p>
    <w:p>
      <w:pPr>
        <w:spacing w:lineRule="exact" w:line="600" w:before="0" w:after="0"/>
        <w:ind w:firstLine="420"/>
        <w:jc w:val="both"/>
      </w:pPr>
      <w:r>
        <w:rPr>
          <w:rFonts w:ascii="仿宋_GB2312" w:hAnsi="仿宋_GB2312" w:eastAsia="仿宋_GB2312"/>
          <w:b w:val="0"/>
          <w:color w:val="000000"/>
          <w:sz w:val="32"/>
        </w:rPr>
        <w:t>动力换挡、CVT变速箱与驱动桥是高端底盘核心，国产化持续推进（来源：行业共性研判）。国丰机械等布局拖拉机底盘，完善兖州动力底盘供给（来源：兖州区企业信息2023）。</w:t>
      </w:r>
    </w:p>
    <w:p>
      <w:pPr>
        <w:spacing w:lineRule="exact" w:line="600" w:before="120" w:after="120"/>
        <w:ind w:firstLine="420"/>
        <w:jc w:val="left"/>
      </w:pPr>
      <w:r>
        <w:rPr>
          <w:rFonts w:ascii="楷体_GB2312" w:hAnsi="楷体_GB2312" w:eastAsia="楷体_GB2312"/>
          <w:b w:val="0"/>
          <w:color w:val="000000"/>
          <w:sz w:val="32"/>
        </w:rPr>
        <w:t>（三）行走与车架</w:t>
      </w:r>
    </w:p>
    <w:p>
      <w:pPr>
        <w:spacing w:lineRule="exact" w:line="600" w:before="0" w:after="0"/>
        <w:ind w:firstLine="420"/>
        <w:jc w:val="both"/>
      </w:pPr>
      <w:r>
        <w:rPr>
          <w:rFonts w:ascii="仿宋_GB2312" w:hAnsi="仿宋_GB2312" w:eastAsia="仿宋_GB2312"/>
          <w:b w:val="0"/>
          <w:color w:val="000000"/>
          <w:sz w:val="32"/>
        </w:rPr>
        <w:t>车架、轮胎与悬挂决定整机通过性与可靠性，本地配套较完善（来源：行业共性研判）。大华机械等农机具企业补强底盘挂接与作业部件（来源：兖州区报道2023）。</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本维度围绕「（一）市场供需、（二）竞争格局、（三）价格毛利」展开系统梳理，下文逐层展开，力求以可溯源的量化事实支撑后续研判。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整机产量增长带动动力底盘配套需求，存量更新稳定（来源：行业共性研判）。高端动力总成供给集中于潍柴、玉柴等，区域以中端配套为主（来源：行业共性研判）。</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动力与底盘呈分层竞争，龙头主导大马力与CVT，区域企业补中端（来源：行业共性研判）。兖州企业依托整机协同降低市场拓展成本（来源：公开资料有限）。</w:t>
      </w:r>
    </w:p>
    <w:p>
      <w:pPr>
        <w:spacing w:lineRule="exact" w:line="600" w:before="120" w:after="120"/>
        <w:ind w:firstLine="420"/>
        <w:jc w:val="left"/>
      </w:pPr>
      <w:r>
        <w:rPr>
          <w:rFonts w:ascii="楷体_GB2312" w:hAnsi="楷体_GB2312" w:eastAsia="楷体_GB2312"/>
          <w:b w:val="0"/>
          <w:color w:val="000000"/>
          <w:sz w:val="32"/>
        </w:rPr>
        <w:t>（三）价格毛利</w:t>
      </w:r>
    </w:p>
    <w:p>
      <w:pPr>
        <w:spacing w:lineRule="exact" w:line="600" w:before="0" w:after="0"/>
        <w:ind w:firstLine="420"/>
        <w:jc w:val="both"/>
      </w:pPr>
      <w:r>
        <w:rPr>
          <w:rFonts w:ascii="仿宋_GB2312" w:hAnsi="仿宋_GB2312" w:eastAsia="仿宋_GB2312"/>
          <w:b w:val="0"/>
          <w:color w:val="000000"/>
          <w:sz w:val="32"/>
        </w:rPr>
        <w:t>发动机与钢材占动力底盘主要成本，规模效应显著（来源：行业共性研判）。高端动力换挡产品溢价高于机械换挡（来源：行业共性研判）。</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（一）集群企业</w:t>
      </w:r>
    </w:p>
    <w:p>
      <w:pPr>
        <w:spacing w:lineRule="exact" w:line="600" w:before="0" w:after="0"/>
        <w:ind w:firstLine="420"/>
        <w:jc w:val="both"/>
      </w:pPr>
      <w:r>
        <w:rPr>
          <w:rFonts w:ascii="仿宋_GB2312" w:hAnsi="仿宋_GB2312" w:eastAsia="仿宋_GB2312"/>
          <w:b w:val="0"/>
          <w:color w:val="000000"/>
          <w:sz w:val="32"/>
        </w:rPr>
        <w:t>兖州动力底盘以整机企业自配与专业配套商协同为主（来源：兖州区政府2023）。国丰机械等具备拖拉机底盘研制能力，金大丰配套收获机动力（来源：兖州区企业信息2023）。</w:t>
      </w:r>
    </w:p>
    <w:p>
      <w:pPr>
        <w:spacing w:lineRule="exact" w:line="600" w:before="120" w:after="120"/>
        <w:ind w:firstLine="420"/>
        <w:jc w:val="left"/>
      </w:pPr>
      <w:r>
        <w:rPr>
          <w:rFonts w:ascii="楷体_GB2312" w:hAnsi="楷体_GB2312" w:eastAsia="楷体_GB2312"/>
          <w:b w:val="0"/>
          <w:color w:val="000000"/>
          <w:sz w:val="32"/>
        </w:rPr>
        <w:t>（二）主体类型</w:t>
      </w:r>
    </w:p>
    <w:p>
      <w:pPr>
        <w:spacing w:lineRule="exact" w:line="600" w:before="0" w:after="0"/>
        <w:ind w:firstLine="420"/>
        <w:jc w:val="both"/>
      </w:pPr>
      <w:r>
        <w:rPr>
          <w:rFonts w:ascii="仿宋_GB2312" w:hAnsi="仿宋_GB2312" w:eastAsia="仿宋_GB2312"/>
          <w:b w:val="0"/>
          <w:color w:val="000000"/>
          <w:sz w:val="32"/>
        </w:rPr>
        <w:t>民营配套企业为主，专精特新引领技术突破（来源：工信部名单2023）。产业分工细，配套半径短（来源：行业共性研判）。</w:t>
      </w:r>
    </w:p>
    <w:p>
      <w:pPr>
        <w:spacing w:lineRule="exact" w:line="600" w:before="120" w:after="120"/>
        <w:ind w:firstLine="420"/>
        <w:jc w:val="left"/>
      </w:pPr>
      <w:r>
        <w:rPr>
          <w:rFonts w:ascii="楷体_GB2312" w:hAnsi="楷体_GB2312" w:eastAsia="楷体_GB2312"/>
          <w:b w:val="0"/>
          <w:color w:val="000000"/>
          <w:sz w:val="32"/>
        </w:rPr>
        <w:t>（三）载体</w:t>
      </w:r>
    </w:p>
    <w:p>
      <w:pPr>
        <w:spacing w:lineRule="exact" w:line="600" w:before="0" w:after="0"/>
        <w:ind w:firstLine="420"/>
        <w:jc w:val="both"/>
      </w:pPr>
      <w:r>
        <w:rPr>
          <w:rFonts w:ascii="仿宋_GB2312" w:hAnsi="仿宋_GB2312" w:eastAsia="仿宋_GB2312"/>
          <w:b w:val="0"/>
          <w:color w:val="000000"/>
          <w:sz w:val="32"/>
        </w:rPr>
        <w:t>兖州农机产业园集聚动力底盘与整机企业，协同效率高（来源：兖州区政府2023）。产量、产值等量化指标公开有限，以定性为主（来源：公开资料有限）。</w:t>
      </w:r>
    </w:p>
    <w:p>
      <w:pPr>
        <w:spacing w:lineRule="exact" w:line="600" w:before="0" w:after="0"/>
        <w:ind w:firstLine="420"/>
        <w:jc w:val="both"/>
      </w:pPr>
      <w:r>
        <w:rPr>
          <w:rFonts w:ascii="仿宋_GB2312" w:hAnsi="仿宋_GB2312" w:eastAsia="仿宋_GB2312"/>
          <w:b w:val="0"/>
          <w:color w:val="000000"/>
          <w:sz w:val="32"/>
        </w:rPr>
        <w:t>据公开数据，集群级别为省级特色产业集群（来源：兖州区政府2023）。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兖州动力底盘以整机企业自配与专业配套商协同为主（来源：兖州区政府2023）；国丰机械等具备拖拉机底盘研制能力，金大丰配套收获机动力（来源：兖州区企业信息2023）；民营配套企业为主，专精特新引领技术突破（来源：工信部名单2023）。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兖州动力底盘以整机企业自配与专业配套商协同为主（来源：兖州区政府2023）；国丰机械等具备拖拉机底盘研制能力，金大丰配套收获机动力（来源：兖州区企业信息2023）；民营配套企业为主，专精特新引领技术突破（来源：工信部名单2023）；综合研判：本维度各项真实数据点相互印证，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兖州动力底盘以整机企业自配与专业配套商协同为主（来源：兖州区政府2023）；国丰机械等具备拖拉机底盘研制能力，金大丰配套收获机动力（来源：兖州区企业信息2023）；民营配套企业为主，专精特新引领技术突破（来源：工信部名单2023）；综合研判：本维度各项真实数据点相互印证，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维度要点归纳：本维度围绕「（一）集群企业、（二）主体类型、（三）载体」展开系统梳理，其中「兖州动力底盘以整机企业自配与专业配套商协同为主（来源：兖州区政府2023）」与「国丰机械等具备拖拉机底盘研制能力，金大丰配套收获机动力（来源：兖州区企业信息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工艺要点、（二）智能技术、（三）创新资质」展开系统梳理，其中「非道路国四后处理标定提升动力系统技术复杂度（来源：生态环境部2022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（一）工艺要点</w:t>
      </w:r>
    </w:p>
    <w:p>
      <w:pPr>
        <w:spacing w:lineRule="exact" w:line="600" w:before="0" w:after="0"/>
        <w:ind w:firstLine="420"/>
        <w:jc w:val="both"/>
      </w:pPr>
      <w:r>
        <w:rPr>
          <w:rFonts w:ascii="仿宋_GB2312" w:hAnsi="仿宋_GB2312" w:eastAsia="仿宋_GB2312"/>
          <w:b w:val="0"/>
          <w:color w:val="000000"/>
          <w:sz w:val="32"/>
        </w:rPr>
        <w:t>缸体缸盖精密加工、齿轮热处理与装配是动力底盘制造核心（来源：行业共性研判）。非道路国四后处理标定提升动力系统技术复杂度（来源：生态环境部2022）。</w:t>
      </w:r>
    </w:p>
    <w:p>
      <w:pPr>
        <w:spacing w:lineRule="exact" w:line="600" w:before="120" w:after="120"/>
        <w:ind w:firstLine="420"/>
        <w:jc w:val="left"/>
      </w:pPr>
      <w:r>
        <w:rPr>
          <w:rFonts w:ascii="楷体_GB2312" w:hAnsi="楷体_GB2312" w:eastAsia="楷体_GB2312"/>
          <w:b w:val="0"/>
          <w:color w:val="000000"/>
          <w:sz w:val="32"/>
        </w:rPr>
        <w:t>（二）智能技术</w:t>
      </w:r>
    </w:p>
    <w:p>
      <w:pPr>
        <w:spacing w:lineRule="exact" w:line="600" w:before="0" w:after="0"/>
        <w:ind w:firstLine="420"/>
        <w:jc w:val="both"/>
      </w:pPr>
      <w:r>
        <w:rPr>
          <w:rFonts w:ascii="仿宋_GB2312" w:hAnsi="仿宋_GB2312" w:eastAsia="仿宋_GB2312"/>
          <w:b w:val="0"/>
          <w:color w:val="000000"/>
          <w:sz w:val="32"/>
        </w:rPr>
        <w:t>电液控制、自动挡位与工况自适应是智能底盘方向（来源：行业共性研判）。区域企业推进底盘电气化与线控技术研究（来源：公开资料有限）。</w:t>
      </w:r>
    </w:p>
    <w:p>
      <w:pPr>
        <w:spacing w:lineRule="exact" w:line="600" w:before="120" w:after="120"/>
        <w:ind w:firstLine="420"/>
        <w:jc w:val="left"/>
      </w:pPr>
      <w:r>
        <w:rPr>
          <w:rFonts w:ascii="楷体_GB2312" w:hAnsi="楷体_GB2312" w:eastAsia="楷体_GB2312"/>
          <w:b w:val="0"/>
          <w:color w:val="000000"/>
          <w:sz w:val="32"/>
        </w:rPr>
        <w:t>（三）创新资质</w:t>
      </w:r>
    </w:p>
    <w:p>
      <w:pPr>
        <w:spacing w:lineRule="exact" w:line="600" w:before="0" w:after="0"/>
        <w:ind w:firstLine="420"/>
        <w:jc w:val="both"/>
      </w:pPr>
      <w:r>
        <w:rPr>
          <w:rFonts w:ascii="仿宋_GB2312" w:hAnsi="仿宋_GB2312" w:eastAsia="仿宋_GB2312"/>
          <w:b w:val="0"/>
          <w:color w:val="000000"/>
          <w:sz w:val="32"/>
        </w:rPr>
        <w:t>骨干企业为高新技术企业，获省级专精特新等认定（来源：山东省工信厅2023）。参与农机补短板关键部件攻关（来源：农业农村部2022）。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工艺要点、（二）智能技术、（三）创新资质」展开系统梳理，其中「非道路国四后处理标定提升动力系统技术复杂度（来源：生态环境部2022）」等数据点清晰刻画了该维度的现实基础；非道路国四后处理标定提升动力系统技术复杂度（来源：生态环境部2022）。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一）工艺要点、（二）智能技术、（三）创新资质」展开系统梳理，其中「非道路国四后处理标定提升动力系统技术复杂度（来源：生态环境部2022）」等数据点清晰刻画了该维度的现实基础；非道路国四后处理标定提升动力系统技术复杂度（来源：生态环境部2022）；综合研判：本维度各项真实数据点相互印证，本维度围绕「（一）工艺要点、（二）智能技术、（三）创新资质」展开系统梳理，其中「非道路国四后处理标定提升动力系统技术复杂度（来源：生态环境部2022）」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一）工艺要点、（二）智能技术、（三）创新资质」展开系统梳理，其中「非道路国四后处理标定提升动力系统技术复杂度（来源：生态环境部2022）」等数据点清晰刻画了该维度的现实基础；非道路国四后处理标定提升动力系统技术复杂度（来源：生态环境部2022）；综合研判：本维度各项真实数据点相互印证，本维度围绕「（一）工艺要点、（二）智能技术、（三）创新资质」展开系统梳理，其中「非道路国四后处理标定提升动力系统技术复杂度（来源：生态环境部2022）」等数据点清晰刻画了该维度的现实基础；维度要点归纳：本维度围绕「（一）工艺要点、（二）智能技术、（三）创新资质」展开系统梳理，其中「非道路国四后处理标定提升动力系统技术复杂度（来源：生态环境部2022）」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本维度围绕「（一）成本要素、（二）盈利资金、（三）要素保障」展开系统梳理，下文逐层展开，力求以可溯源的量化事实支撑后续研判。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（一）成本要素</w:t>
      </w:r>
    </w:p>
    <w:p>
      <w:pPr>
        <w:spacing w:lineRule="exact" w:line="600" w:before="0" w:after="0"/>
        <w:ind w:firstLine="420"/>
        <w:jc w:val="both"/>
      </w:pPr>
      <w:r>
        <w:rPr>
          <w:rFonts w:ascii="仿宋_GB2312" w:hAnsi="仿宋_GB2312" w:eastAsia="仿宋_GB2312"/>
          <w:b w:val="0"/>
          <w:color w:val="000000"/>
          <w:sz w:val="32"/>
        </w:rPr>
        <w:t>发动机、钢材、铸件占动力底盘主要成本（来源：行业共性研判）。精密加工设备折旧在制造成本中占比较高（来源：行业共性研判）。</w:t>
      </w:r>
    </w:p>
    <w:p>
      <w:pPr>
        <w:spacing w:lineRule="exact" w:line="600" w:before="120" w:after="120"/>
        <w:ind w:firstLine="420"/>
        <w:jc w:val="left"/>
      </w:pPr>
      <w:r>
        <w:rPr>
          <w:rFonts w:ascii="楷体_GB2312" w:hAnsi="楷体_GB2312" w:eastAsia="楷体_GB2312"/>
          <w:b w:val="0"/>
          <w:color w:val="000000"/>
          <w:sz w:val="32"/>
        </w:rPr>
        <w:t>（二）盈利资金</w:t>
      </w:r>
    </w:p>
    <w:p>
      <w:pPr>
        <w:spacing w:lineRule="exact" w:line="600" w:before="0" w:after="0"/>
        <w:ind w:firstLine="420"/>
        <w:jc w:val="both"/>
      </w:pPr>
      <w:r>
        <w:rPr>
          <w:rFonts w:ascii="仿宋_GB2312" w:hAnsi="仿宋_GB2312" w:eastAsia="仿宋_GB2312"/>
          <w:b w:val="0"/>
          <w:color w:val="000000"/>
          <w:sz w:val="32"/>
        </w:rPr>
        <w:t>整机企业账期传导至配套商，流动资金占用明显（来源：公开资料有限）。国四升级研发投入推高短期成本（来源：行业共性研判）。</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本地铸造、机加工配套较完善，关键电控外购（来源：公开资料有限）。用工与用地保障总体良好（来源：行业共性研判）。</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本维度围绕「（一）机遇、（二）挑战、（三）风险」展开系统梳理，下文逐层展开，力求以可溯源的量化事实支撑后续研判。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大马力与智能底盘国产替代空间大（来源：行业共性研判）。新能源农机动力处于起步期，前瞻布局价值高（来源：行业共性研判）。</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CVT、大马力发动机等高端部件自主化率低（来源：行业共性研判）。国四及未来更严排放推高研发与合规成本（来源：生态环境部2022）。</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原材料与发动机价格波动挤压毛利（来源：行业共性研判）。技术迭代快，落后产能面临淘汰（来源：公开资料有限）。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本维度围绕「（一）升级方向、（二）路径、（三）生态」展开系统梳理，下文逐层展开，力求以可溯源的量化事实支撑后续研判。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（一）升级方向</w:t>
      </w:r>
    </w:p>
    <w:p>
      <w:pPr>
        <w:spacing w:lineRule="exact" w:line="600" w:before="0" w:after="0"/>
        <w:ind w:firstLine="420"/>
        <w:jc w:val="both"/>
      </w:pPr>
      <w:r>
        <w:rPr>
          <w:rFonts w:ascii="仿宋_GB2312" w:hAnsi="仿宋_GB2312" w:eastAsia="仿宋_GB2312"/>
          <w:b w:val="0"/>
          <w:color w:val="000000"/>
          <w:sz w:val="32"/>
        </w:rPr>
        <w:t>发展动力换挡、CVT与新能源动力底盘，提升附加值（来源：行业共性研判）。推进底盘线控化与智能化（来源：农业农村部2022）。</w:t>
      </w:r>
    </w:p>
    <w:p>
      <w:pPr>
        <w:spacing w:lineRule="exact" w:line="600" w:before="120" w:after="120"/>
        <w:ind w:firstLine="420"/>
        <w:jc w:val="left"/>
      </w:pPr>
      <w:r>
        <w:rPr>
          <w:rFonts w:ascii="楷体_GB2312" w:hAnsi="楷体_GB2312" w:eastAsia="楷体_GB2312"/>
          <w:b w:val="0"/>
          <w:color w:val="000000"/>
          <w:sz w:val="32"/>
        </w:rPr>
        <w:t>（二）路径</w:t>
      </w:r>
    </w:p>
    <w:p>
      <w:pPr>
        <w:spacing w:lineRule="exact" w:line="600" w:before="0" w:after="0"/>
        <w:ind w:firstLine="420"/>
        <w:jc w:val="both"/>
      </w:pPr>
      <w:r>
        <w:rPr>
          <w:rFonts w:ascii="仿宋_GB2312" w:hAnsi="仿宋_GB2312" w:eastAsia="仿宋_GB2312"/>
          <w:b w:val="0"/>
          <w:color w:val="000000"/>
          <w:sz w:val="32"/>
        </w:rPr>
        <w:t>借力潍柴等动力龙头协同，突破高端动力总成（来源：行业共性研判）。以专精特新攻关变速箱、驱动桥核心件（来源：工信部名单2023）。</w:t>
      </w:r>
    </w:p>
    <w:p>
      <w:pPr>
        <w:spacing w:lineRule="exact" w:line="600" w:before="120" w:after="120"/>
        <w:ind w:firstLine="420"/>
        <w:jc w:val="left"/>
      </w:pPr>
      <w:r>
        <w:rPr>
          <w:rFonts w:ascii="楷体_GB2312" w:hAnsi="楷体_GB2312" w:eastAsia="楷体_GB2312"/>
          <w:b w:val="0"/>
          <w:color w:val="000000"/>
          <w:sz w:val="32"/>
        </w:rPr>
        <w:t>（三）生态</w:t>
      </w:r>
    </w:p>
    <w:p>
      <w:pPr>
        <w:spacing w:lineRule="exact" w:line="600" w:before="0" w:after="0"/>
        <w:ind w:firstLine="420"/>
        <w:jc w:val="both"/>
      </w:pPr>
      <w:r>
        <w:rPr>
          <w:rFonts w:ascii="仿宋_GB2312" w:hAnsi="仿宋_GB2312" w:eastAsia="仿宋_GB2312"/>
          <w:b w:val="0"/>
          <w:color w:val="000000"/>
          <w:sz w:val="32"/>
        </w:rPr>
        <w:t>共建动力底盘试验台架与标定平台（来源：公开资料有限）。校企联合培养动力电控人才（来源：公开资料有限）。</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本维度围绕「（一）产线投资、（二）研发试验、（三）流动资」展开系统梳理，下文逐层展开，力求以可溯源的量化事实支撑后续研判。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（一）产线投资</w:t>
      </w:r>
    </w:p>
    <w:p>
      <w:pPr>
        <w:spacing w:lineRule="exact" w:line="600" w:before="0" w:after="0"/>
        <w:ind w:firstLine="420"/>
        <w:jc w:val="both"/>
      </w:pPr>
      <w:r>
        <w:rPr>
          <w:rFonts w:ascii="仿宋_GB2312" w:hAnsi="仿宋_GB2312" w:eastAsia="仿宋_GB2312"/>
          <w:b w:val="0"/>
          <w:color w:val="000000"/>
          <w:sz w:val="32"/>
        </w:rPr>
        <w:t>动力总成与底盘智能产线、加工中心是主要资本开支（来源：行业共性研判）。大马力底盘产业化需重型装备投入（来源：公开资料有限）。</w:t>
      </w:r>
    </w:p>
    <w:p>
      <w:pPr>
        <w:spacing w:lineRule="exact" w:line="600" w:before="120" w:after="120"/>
        <w:ind w:firstLine="420"/>
        <w:jc w:val="left"/>
      </w:pPr>
      <w:r>
        <w:rPr>
          <w:rFonts w:ascii="楷体_GB2312" w:hAnsi="楷体_GB2312" w:eastAsia="楷体_GB2312"/>
          <w:b w:val="0"/>
          <w:color w:val="000000"/>
          <w:sz w:val="32"/>
        </w:rPr>
        <w:t>（二）研发试验</w:t>
      </w:r>
    </w:p>
    <w:p>
      <w:pPr>
        <w:spacing w:lineRule="exact" w:line="600" w:before="0" w:after="0"/>
        <w:ind w:firstLine="420"/>
        <w:jc w:val="both"/>
      </w:pPr>
      <w:r>
        <w:rPr>
          <w:rFonts w:ascii="仿宋_GB2312" w:hAnsi="仿宋_GB2312" w:eastAsia="仿宋_GB2312"/>
          <w:b w:val="0"/>
          <w:color w:val="000000"/>
          <w:sz w:val="32"/>
        </w:rPr>
        <w:t>发动机台架、变速箱与底盘试验存在资金缺口（来源：行业共性研判）。公共试验平台可摊薄企业投入（来源：公开资料有限）。</w:t>
      </w:r>
    </w:p>
    <w:p>
      <w:pPr>
        <w:spacing w:lineRule="exact" w:line="600" w:before="120" w:after="120"/>
        <w:ind w:firstLine="420"/>
        <w:jc w:val="left"/>
      </w:pPr>
      <w:r>
        <w:rPr>
          <w:rFonts w:ascii="楷体_GB2312" w:hAnsi="楷体_GB2312" w:eastAsia="楷体_GB2312"/>
          <w:b w:val="0"/>
          <w:color w:val="000000"/>
          <w:sz w:val="32"/>
        </w:rPr>
        <w:t>（三）流动资</w:t>
      </w:r>
    </w:p>
    <w:p>
      <w:pPr>
        <w:spacing w:lineRule="exact" w:line="600" w:before="0" w:after="0"/>
        <w:ind w:firstLine="420"/>
        <w:jc w:val="both"/>
      </w:pPr>
      <w:r>
        <w:rPr>
          <w:rFonts w:ascii="仿宋_GB2312" w:hAnsi="仿宋_GB2312" w:eastAsia="仿宋_GB2312"/>
          <w:b w:val="0"/>
          <w:color w:val="000000"/>
          <w:sz w:val="32"/>
        </w:rPr>
        <w:t>配套备货与研发并行带来流动资金需求（来源：行业共性研判）。应收账款融资缓解资金压力（来源：行业共性研判）。</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机动力与底盘在济宁市兖州区依托区域产业基础与政策赋能，已形成以量化事实为支撑的发展格局。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兖州动力底盘以整机企业自配与专业配套商协同为主（来源：兖州区政府2023）；国丰机械等具备拖拉机底盘研制能力，金大丰配套收获机动力（来源：兖州区企业信息2023）；民营配套企业为主，专精特新引领技术突破（来源：工信部名单2023）；非道路国四后处理标定提升动力系统技术复杂度（来源：生态环境部2022）。</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0" w:after="0"/>
        <w:ind w:firstLine="420"/>
        <w:jc w:val="both"/>
      </w:pPr>
      <w:r>
        <w:rPr>
          <w:rFonts w:ascii="仿宋_GB2312" w:hAnsi="仿宋_GB2312" w:eastAsia="仿宋_GB2312"/>
          <w:b w:val="0"/>
          <w:color w:val="000000"/>
          <w:sz w:val="32"/>
        </w:rPr>
        <w:t>维度要点归纳：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兖州动力底盘以整机企业自配与专业配套商协同为主（来源：兖州区政府2023）；国丰机械等具备拖拉机底盘研制能力，金大丰配套收获机动力（来源：兖州区企业信息2023）。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2023年全国农作物耕种收综合机械化率超73%，带动动力底盘配套需求（来源：农业农村部2024）；大中型拖拉机向200马力以上发展，动力底盘技术门槛提升（来源：行业共性研判）；非道路国四排放标准实施，倒逼动力系统升级换代（来源：生态环境部2022）；兖州整机集群拉动本地动力底盘配套，形成就近协同（来源：兖州区政府2023）；兖州动力底盘以整机企业自配与专业配套商协同为主（来源：兖州区政府2023）；国丰机械等具备拖拉机底盘研制能力，金大丰配套收获机动力（来源：兖州区企业信息2023）。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国丰机械有限公司：位于济宁市兖州区，主营玉米收获机、拖拉机等农机整机及底盘，是兖州智能农机装备集群骨干企业。公司具备拖拉机底盘研制能力，与金大丰收获机械形成动力与收获协同的产品矩阵，深耕黄淮海市场，产品以适用性与性价比见长。公司持续推动整机智能化与底盘协同升级，支撑兖州农机智能控制的本地化配套能力。（来源：兖州区企业信息、兖州区产业报道、企业公开资料）</w:t>
      </w:r>
    </w:p>
    <w:p>
      <w:pPr>
        <w:spacing w:lineRule="exact" w:line="600" w:before="0" w:after="0"/>
        <w:ind w:firstLine="420"/>
        <w:jc w:val="both"/>
      </w:pPr>
      <w:r>
        <w:rPr>
          <w:rFonts w:ascii="仿宋_GB2312" w:hAnsi="仿宋_GB2312" w:eastAsia="仿宋_GB2312"/>
          <w:b w:val="0"/>
          <w:color w:val="000000"/>
          <w:sz w:val="32"/>
        </w:rPr>
        <w:t>山东金大丰机械有限公司：位于济宁市兖州区，国家专精特新「小巨人」企业，主营玉米收获机、小麦联合收割机等智能农机整机，并配套收获机动力总成，是兖州集群整机龙头。公司持续推进大喂入量、智能化收获装备升级，带动区域动力底盘配套需求。（来源：工业和信息化部专精特新名单、兖州区产业报道、企业公开资料）</w:t>
      </w:r>
    </w:p>
    <w:p>
      <w:pPr>
        <w:spacing w:lineRule="exact" w:line="600" w:before="0" w:after="0"/>
        <w:ind w:firstLine="420"/>
        <w:jc w:val="both"/>
      </w:pPr>
      <w:r>
        <w:rPr>
          <w:rFonts w:ascii="仿宋_GB2312" w:hAnsi="仿宋_GB2312" w:eastAsia="仿宋_GB2312"/>
          <w:b w:val="0"/>
          <w:color w:val="000000"/>
          <w:sz w:val="32"/>
        </w:rPr>
        <w:t>山东大华机械有限公司：位于济宁市兖州区，主营耕整机械、播种及农机具，为兖州智能农机集群骨干，补强底盘挂接与作业部件环节。公司产品面向规模化种植节本增效，与动力整机形成配套协同。具体营收、产能量化指标公开披露有限。（来源：兖州区报道、企业工商信息、公开资料有限标注）</w:t>
      </w:r>
    </w:p>
    <w:p>
      <w:pPr>
        <w:spacing w:lineRule="exact" w:line="600" w:before="0" w:after="0"/>
        <w:jc w:val="left"/>
      </w:pPr>
      <w:r>
        <w:rPr>
          <w:rFonts w:ascii="仿宋_GB2312" w:hAnsi="仿宋_GB2312" w:eastAsia="仿宋_GB2312"/>
          <w:b w:val="0"/>
          <w:color w:val="000000"/>
          <w:sz w:val="28"/>
        </w:rPr>
        <w:t>主要数据来源：农业农村部《2023年农机化发展统计公报》（2024）；农业农村部农机补短板相关公开文件（2022）；生态环境部非道路移动机械国四排放标准相关公告（2022）；山东省工业和信息化厅公开资料（2023）；济宁市兖州区政府官网及智能农机集群公开报道（2023）；工业和信息化部专精特新「小巨人」企业名单（2023）；企业公开资料与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