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农药与医药中间体制造行业深度分析报告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岱岳区将精细化工作为「4+X」产业体系的重要一极，规划建设高端化工助剂产业园、医药化工产业园，加快环境友好型农药生产及研发基地建设，精细化工产业链产值突破80亿元。联合农药、汉威集团等骨干企业构成农药与医药中间体制造主体，其中联合农药的联苯菊酯、二氯五氯甲基吡啶项目厂房主体竣工并完成设备采购，啶虫脒原药项目于3月底或4月初试生产；汉威集团获批第八批国家级制造业单项冠军企业，2024年1-10月西尼尔、汉威、联合农药营收分别增长41.7%、30.6%、22.4%。大汶口工业园71家规上工业总产值完成181.1亿元、同比增长12.1%，为中间体制造提供载体。园区推动农药向低毒高效、环境友好升级，并布局医药中间体，构建从基础化工到高端专用化学品的递进体系，新材料和新型建材产业集群入选省首批支柱型雁阵集群。</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精细化工产业链产值：突破80亿元（来源：2024年）</w:t>
      </w:r>
    </w:p>
    <w:p>
      <w:pPr>
        <w:spacing w:lineRule="exact" w:line="600" w:before="0" w:after="0"/>
        <w:ind w:firstLine="420"/>
        <w:jc w:val="both"/>
      </w:pPr>
      <w:r>
        <w:rPr>
          <w:rFonts w:ascii="仿宋_GB2312" w:hAnsi="仿宋_GB2312" w:eastAsia="仿宋_GB2312"/>
          <w:b w:val="0"/>
          <w:color w:val="000000"/>
          <w:sz w:val="32"/>
        </w:rPr>
        <w:t>· 大汶口工业园规上产值：181.1亿元（来源：2024年）</w:t>
      </w:r>
    </w:p>
    <w:p>
      <w:pPr>
        <w:spacing w:lineRule="exact" w:line="600" w:before="0" w:after="0"/>
        <w:ind w:firstLine="420"/>
        <w:jc w:val="both"/>
      </w:pPr>
      <w:r>
        <w:rPr>
          <w:rFonts w:ascii="仿宋_GB2312" w:hAnsi="仿宋_GB2312" w:eastAsia="仿宋_GB2312"/>
          <w:b w:val="0"/>
          <w:color w:val="000000"/>
          <w:sz w:val="32"/>
        </w:rPr>
        <w:t>· 规上产值增速：12.1%（来源：2024年）</w:t>
      </w:r>
    </w:p>
    <w:p>
      <w:pPr>
        <w:spacing w:lineRule="exact" w:line="600" w:before="0" w:after="0"/>
        <w:ind w:firstLine="420"/>
        <w:jc w:val="both"/>
      </w:pPr>
      <w:r>
        <w:rPr>
          <w:rFonts w:ascii="仿宋_GB2312" w:hAnsi="仿宋_GB2312" w:eastAsia="仿宋_GB2312"/>
          <w:b w:val="0"/>
          <w:color w:val="000000"/>
          <w:sz w:val="32"/>
        </w:rPr>
        <w:t>· 汉威营收增速：30.6%（来源：2024年）</w:t>
      </w:r>
    </w:p>
    <w:p>
      <w:pPr>
        <w:spacing w:lineRule="exact" w:line="600" w:before="0" w:after="0"/>
        <w:ind w:firstLine="420"/>
        <w:jc w:val="both"/>
      </w:pPr>
      <w:r>
        <w:rPr>
          <w:rFonts w:ascii="仿宋_GB2312" w:hAnsi="仿宋_GB2312" w:eastAsia="仿宋_GB2312"/>
          <w:b w:val="0"/>
          <w:color w:val="000000"/>
          <w:sz w:val="32"/>
        </w:rPr>
        <w:t>· 联合农药营收增速：22.4%（来源：2024年）</w:t>
      </w:r>
    </w:p>
    <w:p>
      <w:pPr>
        <w:spacing w:lineRule="exact" w:line="600" w:before="0" w:after="0"/>
        <w:ind w:firstLine="420"/>
        <w:jc w:val="both"/>
      </w:pPr>
      <w:r>
        <w:rPr>
          <w:rFonts w:ascii="仿宋_GB2312" w:hAnsi="仿宋_GB2312" w:eastAsia="仿宋_GB2312"/>
          <w:b w:val="0"/>
          <w:color w:val="000000"/>
          <w:sz w:val="32"/>
        </w:rPr>
        <w:t>· 西尼尔营收增速：41.7%（来源：2024年）</w:t>
      </w:r>
    </w:p>
    <w:p>
      <w:pPr>
        <w:spacing w:lineRule="exact" w:line="600" w:before="0" w:after="0"/>
        <w:ind w:firstLine="420"/>
        <w:jc w:val="both"/>
      </w:pPr>
      <w:r>
        <w:rPr>
          <w:rFonts w:ascii="仿宋_GB2312" w:hAnsi="仿宋_GB2312" w:eastAsia="仿宋_GB2312"/>
          <w:b w:val="0"/>
          <w:color w:val="000000"/>
          <w:sz w:val="32"/>
        </w:rPr>
        <w:t>· 高端化工助剂园投资：42亿元（来源：2024年）</w:t>
      </w:r>
    </w:p>
    <w:p>
      <w:pPr>
        <w:spacing w:lineRule="exact" w:line="600" w:before="0" w:after="0"/>
        <w:ind w:firstLine="420"/>
        <w:jc w:val="both"/>
      </w:pPr>
      <w:r>
        <w:rPr>
          <w:rFonts w:ascii="仿宋_GB2312" w:hAnsi="仿宋_GB2312" w:eastAsia="仿宋_GB2312"/>
          <w:b w:val="0"/>
          <w:color w:val="000000"/>
          <w:sz w:val="32"/>
        </w:rPr>
        <w:t>· 在办项目(功能橡胶助剂等)：8个（来源：2024年）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岱岳区精细化工产业链产值突破80亿元（来源：2024年岱岳区政府工作报告）」与「大汶口工业园71家规上工业总产值181.1亿元增12.1%（来源：2024年岱岳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岱岳区精细化工产业链产值突破80亿元（来源：2024年岱岳区政府工作报告）。规划高端化工助剂产业园、医药化工产业园（来源：2024年岱岳区政府工作报告）。大汶口工业园71家规上工业总产值181.1亿元增12.1%（来源：2024年岱岳融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加快环境友好型农药生产及研发基地建设（来源：2024年岱岳区政府工作报告）。精细化工列入4+X产业体系重点培育（来源：2024年岱岳区政府工作报告）。新材料和新型建材产业集群入选省首批支柱型雁阵集群（来源：2024年泰安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园区配套蒸汽天然气等生产要素（来源：2024年岱岳区政府工作报告）。工业项目规划审查平均1个工作日提速（来源：2024年泰安日报）。驻区银行工业企业贷款余额166.2亿元（来源：2024年泰安日报）。</w:t>
      </w:r>
    </w:p>
    <w:p>
      <w:pPr>
        <w:spacing w:lineRule="exact" w:line="600" w:before="0" w:after="0"/>
        <w:ind w:firstLine="420"/>
        <w:jc w:val="both"/>
      </w:pPr>
      <w:r>
        <w:rPr>
          <w:rFonts w:ascii="仿宋_GB2312" w:hAnsi="仿宋_GB2312" w:eastAsia="仿宋_GB2312"/>
          <w:b w:val="0"/>
          <w:color w:val="000000"/>
          <w:sz w:val="32"/>
        </w:rPr>
        <w:t>据公开数据，精细化工产业链产值为突破80亿元（来源：2024年）。</w:t>
      </w:r>
    </w:p>
    <w:p>
      <w:pPr>
        <w:spacing w:lineRule="exact" w:line="600" w:before="0" w:after="0"/>
        <w:ind w:firstLine="420"/>
        <w:jc w:val="both"/>
      </w:pPr>
      <w:r>
        <w:rPr>
          <w:rFonts w:ascii="仿宋_GB2312" w:hAnsi="仿宋_GB2312" w:eastAsia="仿宋_GB2312"/>
          <w:b w:val="0"/>
          <w:color w:val="000000"/>
          <w:sz w:val="32"/>
        </w:rPr>
        <w:t>据公开数据，大汶口工业园规上产值为181.1亿元（来源：2024年）。</w:t>
      </w:r>
    </w:p>
    <w:p>
      <w:pPr>
        <w:spacing w:lineRule="exact" w:line="600" w:before="0" w:after="0"/>
        <w:ind w:firstLine="420"/>
        <w:jc w:val="both"/>
      </w:pPr>
      <w:r>
        <w:rPr>
          <w:rFonts w:ascii="仿宋_GB2312" w:hAnsi="仿宋_GB2312" w:eastAsia="仿宋_GB2312"/>
          <w:b w:val="0"/>
          <w:color w:val="000000"/>
          <w:sz w:val="32"/>
        </w:rPr>
        <w:t>据公开数据，规上产值增速为12.1%（来源：2024年）。</w:t>
      </w:r>
    </w:p>
    <w:p>
      <w:pPr>
        <w:spacing w:lineRule="exact" w:line="600" w:before="0" w:after="0"/>
        <w:ind w:firstLine="420"/>
        <w:jc w:val="both"/>
      </w:pPr>
      <w:r>
        <w:rPr>
          <w:rFonts w:ascii="仿宋_GB2312" w:hAnsi="仿宋_GB2312" w:eastAsia="仿宋_GB2312"/>
          <w:b w:val="0"/>
          <w:color w:val="000000"/>
          <w:sz w:val="32"/>
        </w:rPr>
        <w:t>据公开数据，汉威营收增速为30.6%（来源：2024年）。</w:t>
      </w:r>
    </w:p>
    <w:p>
      <w:pPr>
        <w:spacing w:lineRule="exact" w:line="600" w:before="0" w:after="0"/>
        <w:ind w:firstLine="420"/>
        <w:jc w:val="both"/>
      </w:pPr>
      <w:r>
        <w:rPr>
          <w:rFonts w:ascii="仿宋_GB2312" w:hAnsi="仿宋_GB2312" w:eastAsia="仿宋_GB2312"/>
          <w:b w:val="0"/>
          <w:color w:val="000000"/>
          <w:sz w:val="32"/>
        </w:rPr>
        <w:t>据公开数据，联合农药营收增速为22.4%（来源：2024年）。</w:t>
      </w:r>
    </w:p>
    <w:p>
      <w:pPr>
        <w:spacing w:lineRule="exact" w:line="600" w:before="0" w:after="0"/>
        <w:ind w:firstLine="420"/>
        <w:jc w:val="both"/>
      </w:pPr>
      <w:r>
        <w:rPr>
          <w:rFonts w:ascii="仿宋_GB2312" w:hAnsi="仿宋_GB2312" w:eastAsia="仿宋_GB2312"/>
          <w:b w:val="0"/>
          <w:color w:val="000000"/>
          <w:sz w:val="32"/>
        </w:rPr>
        <w:t>据公开数据，西尼尔营收增速为41.7%（来源：2024年）。</w:t>
      </w:r>
    </w:p>
    <w:p>
      <w:pPr>
        <w:spacing w:lineRule="exact" w:line="600" w:before="0" w:after="0"/>
        <w:ind w:firstLine="420"/>
        <w:jc w:val="both"/>
      </w:pPr>
      <w:r>
        <w:rPr>
          <w:rFonts w:ascii="仿宋_GB2312" w:hAnsi="仿宋_GB2312" w:eastAsia="仿宋_GB2312"/>
          <w:b w:val="0"/>
          <w:color w:val="000000"/>
          <w:sz w:val="32"/>
        </w:rPr>
        <w:t>据公开数据，高端化工助剂园投资为42亿元（来源：2024年）。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岱岳区精细化工产业链产值突破80亿元（来源：2024年岱岳区政府工作报告）」与「大汶口工业园71家规上工业总产值181.1亿元增12.1%（来源：2024年岱岳融媒）」等数据点清晰刻画了该维度的现实基础；岱岳区精细化工产业链产值突破80亿元（来源：2024年岱岳区政府工作报告）；大汶口工业园71家规上工业总产值181.1亿元增12.1%（来源：2024年岱岳融媒）；园区配套蒸汽天然气等生产要素（来源：2024年岱岳区政府工作报告）；工业项目规划审查平均1个工作日提速（来源：2024年泰安日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岱岳区精细化工产业链产值突破80亿元（来源：2024年岱岳区政府工作报告）」与「大汶口工业园71家规上工业总产值181.1亿元增12.1%（来源：2024年岱岳融媒）」等数据点清晰刻画了该维度的现实基础；岱岳区精细化工产业链产值突破80亿元（来源：2024年岱岳区政府工作报告）；大汶口工业园71家规上工业总产值181.1亿元增12.1%（来源：2024年岱岳融媒）；园区配套蒸汽天然气等生产要素（来源：2024年岱岳区政府工作报告）；工业项目规划审查平均1个工作日提速（来源：2024年泰安日报）；驻区银行工业企业贷款余额166.2亿元（来源：2024年泰安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中间体、下游制剂」展开系统梳理，其中「公用配套保障原药生产稳定（来源：2024年泰安日报）」与「啶虫脒原药项目3月底或4月初试生产（来源：2024年岱岳进展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基础化工原料支撑农药中间体合成（来源：2024年岱岳区政府工作报告）。园区内企业互为上下游耦合供应（来源：2024年岱岳区政府工作报告）。公用配套保障原药生产稳定（来源：2024年泰安日报）。</w:t>
      </w:r>
    </w:p>
    <w:p>
      <w:pPr>
        <w:spacing w:lineRule="exact" w:line="600" w:before="120" w:after="120"/>
        <w:ind w:firstLine="420"/>
        <w:jc w:val="left"/>
      </w:pPr>
      <w:r>
        <w:rPr>
          <w:rFonts w:ascii="楷体_GB2312" w:hAnsi="楷体_GB2312" w:eastAsia="楷体_GB2312"/>
          <w:b w:val="0"/>
          <w:color w:val="000000"/>
          <w:sz w:val="32"/>
        </w:rPr>
        <w:t>中游中间体</w:t>
      </w:r>
    </w:p>
    <w:p>
      <w:pPr>
        <w:spacing w:lineRule="exact" w:line="600" w:before="0" w:after="0"/>
        <w:ind w:firstLine="420"/>
        <w:jc w:val="both"/>
      </w:pPr>
      <w:r>
        <w:rPr>
          <w:rFonts w:ascii="仿宋_GB2312" w:hAnsi="仿宋_GB2312" w:eastAsia="仿宋_GB2312"/>
          <w:b w:val="0"/>
          <w:color w:val="000000"/>
          <w:sz w:val="32"/>
        </w:rPr>
        <w:t>联合农药联苯菊酯二氯五氯甲基吡啶厂房竣工（来源：2024年岱岳进展表）。啶虫脒原药项目3月底或4月初试生产（来源：2024年岱岳进展表）。汉威二期推进高端助剂中间体（来源：2024年岱岳区政府工作报告）。</w:t>
      </w:r>
    </w:p>
    <w:p>
      <w:pPr>
        <w:spacing w:lineRule="exact" w:line="600" w:before="120" w:after="120"/>
        <w:ind w:firstLine="420"/>
        <w:jc w:val="left"/>
      </w:pPr>
      <w:r>
        <w:rPr>
          <w:rFonts w:ascii="楷体_GB2312" w:hAnsi="楷体_GB2312" w:eastAsia="楷体_GB2312"/>
          <w:b w:val="0"/>
          <w:color w:val="000000"/>
          <w:sz w:val="32"/>
        </w:rPr>
        <w:t>下游制剂</w:t>
      </w:r>
    </w:p>
    <w:p>
      <w:pPr>
        <w:spacing w:lineRule="exact" w:line="600" w:before="0" w:after="0"/>
        <w:ind w:firstLine="420"/>
        <w:jc w:val="both"/>
      </w:pPr>
      <w:r>
        <w:rPr>
          <w:rFonts w:ascii="仿宋_GB2312" w:hAnsi="仿宋_GB2312" w:eastAsia="仿宋_GB2312"/>
          <w:b w:val="0"/>
          <w:color w:val="000000"/>
          <w:sz w:val="32"/>
        </w:rPr>
        <w:t>环境友好型农药原药向下游制剂延伸（来源：2024年岱岳区政府工作报告）。医药中间体对接医药化工园需求（来源：2024年岱岳区政府工作报告）。功能助剂应用于塑料橡胶等领域（来源：2024年鲁网）。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中间体、下游制剂」展开系统梳理，其中「公用配套保障原药生产稳定（来源：2024年泰安日报）」与「啶虫脒原药项目3月底或4月初试生产（来源：2024年岱岳进展表）」等数据点清晰刻画了该维度的现实基础；公用配套保障原药生产稳定（来源：2024年泰安日报）；啶虫脒原药项目3月底或4月初试生产（来源：2024年岱岳进展表）。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精细化工产业链产值突破80亿元（来源：2024年岱岳区政府工作报告）」与「大汶口工业园规上产值181.1亿元（来源：2024年岱岳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2024年1-10月汉威联合农药等营收双位数增长（来源：2024年泰安日报）。精细化工产业链产值突破80亿元（来源：2024年岱岳区政府工作报告）。大汶口工业园规上产值181.1亿元（来源：2024年岱岳融媒）。</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低毒高效农药与医药中间体需求增长（来源：2024年岱岳区政府工作报告）。功能助剂应用于石化橡塑广泛领域（来源：2024年鲁网）。2024年外贸进出口超20亿元(大汶口园)（来源：2024年岱岳融媒）。</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汉威获批国家级制造业单项冠军（来源：2024年泰安日报）。西尼尔热稳定剂国内市场占有率100%（来源：2024年鲁网）。联合农药环境友好农药形成特色（来源：2024年岱岳进展表）。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精细化工产业链产值突破80亿元（来源：2024年岱岳区政府工作报告）」与「大汶口工业园规上产值181.1亿元（来源：2024年岱岳融媒）」等数据点清晰刻画了该维度的现实基础；精细化工产业链产值突破80亿元（来源：2024年岱岳区政府工作报告）；大汶口工业园规上产值181.1亿元（来源：2024年岱岳融媒）；2024年外贸进出口超20亿元(大汶口园)（来源：2024年岱岳融媒）；汉威获批国家级制造业单项冠军（来源：2024年泰安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大汶口工业园规上企业71家协同（来源：2024年岱岳融媒）」与「新策划高端化工助剂园等重大项目（来源：2024年岱岳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联合农药、汉威、西尼尔等集聚精细化工园（来源：2024年泰安日报）。大汶口工业园规上企业71家协同（来源：2024年岱岳融媒）。新策划高端化工助剂园等重大项目（来源：2024年岱岳融媒）。</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汉威集团第八批国家级制造业单项冠军（来源：2024年泰安日报）。联合农药原药项目试生产骨干（来源：2024年岱岳进展表）。西尼尔全球最大降凝剂生产厂家（来源：2024年鲁网）。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西尼尔为省专精特新企业（来源：2024年鲁网）。全区省级专精特新企业15家以上培育（来源：2024年岱岳区政府工作报告）。新增规上工业企业36家壮大梯队（来源：2024年岱岳区政府工作报告）。</w:t>
      </w:r>
    </w:p>
    <w:p>
      <w:pPr>
        <w:spacing w:lineRule="exact" w:line="600" w:before="0" w:after="0"/>
        <w:ind w:firstLine="420"/>
        <w:jc w:val="both"/>
      </w:pPr>
      <w:r>
        <w:rPr>
          <w:rFonts w:ascii="仿宋_GB2312" w:hAnsi="仿宋_GB2312" w:eastAsia="仿宋_GB2312"/>
          <w:b w:val="0"/>
          <w:color w:val="000000"/>
          <w:sz w:val="32"/>
        </w:rPr>
        <w:t>据公开数据，大汶口工业园规上产值为181.1亿元（来源：2024年）。</w:t>
      </w:r>
    </w:p>
    <w:p>
      <w:pPr>
        <w:spacing w:lineRule="exact" w:line="600" w:before="0" w:after="0"/>
        <w:ind w:firstLine="420"/>
        <w:jc w:val="both"/>
      </w:pPr>
      <w:r>
        <w:rPr>
          <w:rFonts w:ascii="仿宋_GB2312" w:hAnsi="仿宋_GB2312" w:eastAsia="仿宋_GB2312"/>
          <w:b w:val="0"/>
          <w:color w:val="000000"/>
          <w:sz w:val="32"/>
        </w:rPr>
        <w:t>据公开数据，规上产值增速为12.1%（来源：2024年）。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大汶口工业园规上企业71家协同（来源：2024年岱岳融媒）」与「新策划高端化工助剂园等重大项目（来源：2024年岱岳融媒）」等数据点清晰刻画了该维度的现实基础；大汶口工业园规上企业71家协同（来源：2024年岱岳融媒）；新策划高端化工助剂园等重大项目（来源：2024年岱岳融媒）；汉威集团第八批国家级制造业单项冠军（来源：2024年泰安日报）；联合农药原药项目试生产骨干（来源：2024年岱岳进展表）。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绿色技术」展开系统梳理，其中「环境友好型农药原药合成技术升级（来源：2024年岱岳区政府工作报告）」与「西尼尔多项技术打破美日德垄断开创6个行业第一（来源：2024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环境友好型农药原药合成技术升级（来源：2024年岱岳区政府工作报告）。西尼尔多项技术打破美日德垄断开创6个行业第一（来源：2024年鲁网）。高端特种抗氧剂SINAS国际认证实验室（来源：2024年鲁网）。</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西尼尔投入过亿元全自动车间生产效率提高30%（来源：2024年鲁网）。5G信号全覆盖实现管道配送自动化（来源：2024年鲁网）。化工产业智能化改造标杆企业引领（来源：2024年泰安日报）。</w:t>
      </w:r>
    </w:p>
    <w:p>
      <w:pPr>
        <w:spacing w:lineRule="exact" w:line="600" w:before="120" w:after="120"/>
        <w:ind w:firstLine="420"/>
        <w:jc w:val="left"/>
      </w:pPr>
      <w:r>
        <w:rPr>
          <w:rFonts w:ascii="楷体_GB2312" w:hAnsi="楷体_GB2312" w:eastAsia="楷体_GB2312"/>
          <w:b w:val="0"/>
          <w:color w:val="000000"/>
          <w:sz w:val="32"/>
        </w:rPr>
        <w:t>绿色技术</w:t>
      </w:r>
    </w:p>
    <w:p>
      <w:pPr>
        <w:spacing w:lineRule="exact" w:line="600" w:before="0" w:after="0"/>
        <w:ind w:firstLine="420"/>
        <w:jc w:val="both"/>
      </w:pPr>
      <w:r>
        <w:rPr>
          <w:rFonts w:ascii="仿宋_GB2312" w:hAnsi="仿宋_GB2312" w:eastAsia="仿宋_GB2312"/>
          <w:b w:val="0"/>
          <w:color w:val="000000"/>
          <w:sz w:val="32"/>
        </w:rPr>
        <w:t>西尼尔引入RTO尾气处理达欧盟REACH认证（来源：2024年鲁网）。无味环保型助剂国内唯一生产企业（来源：2024年鲁网）。岱岳制盐益海嘉里申报省级绿色工厂（来源：2024年岱岳进展表）。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绿色技术」展开系统梳理，其中「环境友好型农药原药合成技术升级（来源：2024年岱岳区政府工作报告）」与「西尼尔多项技术打破美日德垄断开创6个行业第一（来源：2024年鲁网）」等数据点清晰刻画了该维度的现实基础；环境友好型农药原药合成技术升级（来源：2024年岱岳区政府工作报告）；西尼尔多项技术打破美日德垄断开创6个行业第一（来源：2024年鲁网）；西尼尔投入过亿元全自动车间生产效率提高30%（来源：2024年鲁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高端化工助剂产业园投资42亿元（来源：2024年岱岳融媒）」与「汉威集团产业园项目二期推进（来源：2024年岱岳进展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高端化工助剂产业园投资42亿元（来源：2024年岱岳融媒）。汉威集团产业园项目二期推进（来源：2024年岱岳进展表）。年产18万吨功能橡胶助剂等8个项目在办手续（来源：2024年泰安日报）。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工业项目规划审查平均1个工作日降本提速（来源：2024年泰安日报）。驻区银行工业企业贷款余额166.2亿元（来源：2024年泰安日报）。园区要素跟着项目走保障供给（来源：2024年泰安日报）。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1-10月西尼尔汉威联合农药营收增41.7%/30.6%/22.4%（来源：2024年泰安日报）。精细化工产业链产值突破80亿元（来源：2024年岱岳区政府工作报告）。大汶口工业园规上产值181.1亿元增12.1%（来源：2024年岱岳融媒）。</w:t>
      </w:r>
    </w:p>
    <w:p>
      <w:pPr>
        <w:spacing w:lineRule="exact" w:line="600" w:before="0" w:after="0"/>
        <w:ind w:firstLine="420"/>
        <w:jc w:val="both"/>
      </w:pPr>
      <w:r>
        <w:rPr>
          <w:rFonts w:ascii="仿宋_GB2312" w:hAnsi="仿宋_GB2312" w:eastAsia="仿宋_GB2312"/>
          <w:b w:val="0"/>
          <w:color w:val="000000"/>
          <w:sz w:val="32"/>
        </w:rPr>
        <w:t>据公开数据，汉威营收增速为30.6%（来源：2024年）。</w:t>
      </w:r>
    </w:p>
    <w:p>
      <w:pPr>
        <w:spacing w:lineRule="exact" w:line="600" w:before="0" w:after="0"/>
        <w:ind w:firstLine="420"/>
        <w:jc w:val="both"/>
      </w:pPr>
      <w:r>
        <w:rPr>
          <w:rFonts w:ascii="仿宋_GB2312" w:hAnsi="仿宋_GB2312" w:eastAsia="仿宋_GB2312"/>
          <w:b w:val="0"/>
          <w:color w:val="000000"/>
          <w:sz w:val="32"/>
        </w:rPr>
        <w:t>据公开数据，联合农药营收增速为22.4%（来源：2024年）。</w:t>
      </w:r>
    </w:p>
    <w:p>
      <w:pPr>
        <w:spacing w:lineRule="exact" w:line="600" w:before="0" w:after="0"/>
        <w:ind w:firstLine="420"/>
        <w:jc w:val="both"/>
      </w:pPr>
      <w:r>
        <w:rPr>
          <w:rFonts w:ascii="仿宋_GB2312" w:hAnsi="仿宋_GB2312" w:eastAsia="仿宋_GB2312"/>
          <w:b w:val="0"/>
          <w:color w:val="000000"/>
          <w:sz w:val="32"/>
        </w:rPr>
        <w:t>据公开数据，西尼尔营收增速为41.7%（来源：2024年）。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高端化工助剂产业园投资42亿元（来源：2024年岱岳融媒）」与「汉威集团产业园项目二期推进（来源：2024年岱岳进展表）」等数据点清晰刻画了该维度的现实基础；高端化工助剂产业园投资42亿元（来源：2024年岱岳融媒）；汉威集团产业园项目二期推进（来源：2024年岱岳进展表）；年产18万吨功能橡胶助剂等8个项目在办手续（来源：2024年泰安日报）；工业项目规划审查平均1个工作日降本提速（来源：2024年泰安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合规风险、转型挑战」展开系统梳理，其中「低毒高效农药政策推动需求升级（来源：2024年岱岳区政府工作报告）」与「需由基础化工向高附加值中间体升级（来源：2024年泰安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低毒高效农药政策推动需求升级（来源：2024年岱岳区政府工作报告）。医药中间体对接医药化工园新空间（来源：2024年岱岳区政府工作报告）。功能助剂进口替代空间大（来源：2024年鲁网）。</w:t>
      </w:r>
    </w:p>
    <w:p>
      <w:pPr>
        <w:spacing w:lineRule="exact" w:line="600" w:before="120" w:after="120"/>
        <w:ind w:firstLine="420"/>
        <w:jc w:val="left"/>
      </w:pPr>
      <w:r>
        <w:rPr>
          <w:rFonts w:ascii="楷体_GB2312" w:hAnsi="楷体_GB2312" w:eastAsia="楷体_GB2312"/>
          <w:b w:val="0"/>
          <w:color w:val="000000"/>
          <w:sz w:val="32"/>
        </w:rPr>
        <w:t>合规风险</w:t>
      </w:r>
    </w:p>
    <w:p>
      <w:pPr>
        <w:spacing w:lineRule="exact" w:line="600" w:before="0" w:after="0"/>
        <w:ind w:firstLine="420"/>
        <w:jc w:val="both"/>
      </w:pPr>
      <w:r>
        <w:rPr>
          <w:rFonts w:ascii="仿宋_GB2312" w:hAnsi="仿宋_GB2312" w:eastAsia="仿宋_GB2312"/>
          <w:b w:val="0"/>
          <w:color w:val="000000"/>
          <w:sz w:val="32"/>
        </w:rPr>
        <w:t>农药原药环保与安全监管趋严（来源：2024年岱岳进展表）。绿色壁垒影响出口合规成本（来源：2024年泰安日报）。原料价格波动传导中间体利润（来源：2024年鲁网）。</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需由基础化工向高附加值中间体升级（来源：2024年泰安日报）。中小企业占比高需龙头牵引（来源：2024年岱岳区政府工作报告）。高端助剂技术壁垒待突破（来源：2024年鲁网）。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合规风险、转型挑战」展开系统梳理，其中「低毒高效农药政策推动需求升级（来源：2024年岱岳区政府工作报告）」与「需由基础化工向高附加值中间体升级（来源：2024年泰安日报）」等数据点清晰刻画了该维度的现实基础；低毒高效农药政策推动需求升级（来源：2024年岱岳区政府工作报告）；需由基础化工向高附加值中间体升级（来源：2024年泰安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园区路径、升级路径」展开系统梳理，其中「走访调研4个重点产业链企业88家归纳35类产品（来源：2024年泰安日报）」与「实行工业企业8+2包保机制协调难题170余项（来源：2024年泰安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聚焦4+X产业体系优化产业布局（来源：2024年岱岳区政府工作报告）。走访调研4个重点产业链企业88家归纳35类产品（来源：2024年泰安日报）。实行工业企业8+2包保机制协调难题170余项（来源：2024年泰安日报）。</w:t>
      </w:r>
    </w:p>
    <w:p>
      <w:pPr>
        <w:spacing w:lineRule="exact" w:line="600" w:before="120" w:after="120"/>
        <w:ind w:firstLine="420"/>
        <w:jc w:val="left"/>
      </w:pPr>
      <w:r>
        <w:rPr>
          <w:rFonts w:ascii="楷体_GB2312" w:hAnsi="楷体_GB2312" w:eastAsia="楷体_GB2312"/>
          <w:b w:val="0"/>
          <w:color w:val="000000"/>
          <w:sz w:val="32"/>
        </w:rPr>
        <w:t>园区路径</w:t>
      </w:r>
    </w:p>
    <w:p>
      <w:pPr>
        <w:spacing w:lineRule="exact" w:line="600" w:before="0" w:after="0"/>
        <w:ind w:firstLine="420"/>
        <w:jc w:val="both"/>
      </w:pPr>
      <w:r>
        <w:rPr>
          <w:rFonts w:ascii="仿宋_GB2312" w:hAnsi="仿宋_GB2312" w:eastAsia="仿宋_GB2312"/>
          <w:b w:val="0"/>
          <w:color w:val="000000"/>
          <w:sz w:val="32"/>
        </w:rPr>
        <w:t>规划高端化工助剂与医药化工产业园（来源：2024年岱岳区政府工作报告）。加快环境友好型农药研发生产基地建设（来源：2024年岱岳区政府工作报告）。以园区事园区办服务下沉企业7000余次（来源：2024年泰安日报）。</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推动农药向低毒高效环境友好升级（来源：2024年岱岳区政府工作报告）。发展医药中间体补全链条（来源：2024年岱岳区政府工作报告）。以链主企业开放资源平台协同（来源：2024年泰安日报）。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园区路径、升级路径」展开系统梳理，其中「走访调研4个重点产业链企业88家归纳35类产品（来源：2024年泰安日报）」与「实行工业企业8+2包保机制协调难题170余项（来源：2024年泰安日报）」等数据点清晰刻画了该维度的现实基础；走访调研4个重点产业链企业88家归纳35类产品（来源：2024年泰安日报）；实行工业企业8+2包保机制协调难题170余项（来源：2024年泰安日报）；推动农药向低毒高效环境友好升级（来源：2024年岱岳区政府工作报告）；以链主企业开放资源平台协同（来源：2024年泰安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驻区银行工业企业贷款余额166.2亿元（来源：2024年泰安日报）」与「累计争取资金1.16亿元支持企业（来源：2024年泰安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驻区银行工业企业贷款余额166.2亿元（来源：2024年泰安日报）。累计争取资金1.16亿元支持企业（来源：2024年泰安日报）。建立支持小微企业融资协调机制走访7752家（来源：2024年泰安日报）。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高端化工助剂园投资42亿元需资金（来源：2024年岱岳融媒）。汉威二期与年产18万吨助剂等8项目需投入（来源：2024年泰安日报）。微孔滤膜等19个开工项目需建设资金（来源：2024年岱岳融媒）。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产业链主办银行推出绿色产业贷科创快贷（来源：2024年泰安日报）。信用贷款较年初增长16.3%高于贷款增速（来源：2024年泰安日报）。高效办成一件事压缩办理时限70%以上（来源：2024年泰安日报）。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驻区银行工业企业贷款余额166.2亿元（来源：2024年泰安日报）」与「累计争取资金1.16亿元支持企业（来源：2024年泰安日报）」等数据点清晰刻画了该维度的现实基础；驻区银行工业企业贷款余额166.2亿元（来源：2024年泰安日报）；累计争取资金1.16亿元支持企业（来源：2024年泰安日报）；建立支持小微企业融资协调机制走访7752家（来源：2024年泰安日报）；高端化工助剂园投资42亿元需资金（来源：2024年岱岳融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农药与医药中间体制造在泰安市岱岳区依托区域产业基础与政策赋能，已形成以量化事实为支撑的发展格局。岱岳区精细化工产业链产值突破80亿元（来源：2024年岱岳区政府工作报告）；大汶口工业园71家规上工业总产值181.1亿元增12.1%（来源：2024年岱岳融媒）；园区配套蒸汽天然气等生产要素（来源：2024年岱岳区政府工作报告）；工业项目规划审查平均1个工作日提速（来源：2024年泰安日报）；驻区银行工业企业贷款余额166.2亿元（来源：2024年泰安日报）；公用配套保障原药生产稳定（来源：2024年泰安日报）；啶虫脒原药项目3月底或4月初试生产（来源：2024年岱岳进展表）；精细化工产业链产值突破80亿元（来源：2024年岱岳区政府工作报告）。</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联合农药是岱岳区农药与医药中间体骨干企业，其联苯菊酯、二氯五氯甲基吡啶项目厂房主体竣工并完成设备采购，啶虫脒原药项目于2024年3月底或4月初试生产，企业加快环境友好型农药生产及研发基地建设，2024年1-10月营收同比增长22.4%，是精细化工产业链重要增长极，推动农药原药向低毒高效方向升级。</w:t>
      </w:r>
    </w:p>
    <w:p>
      <w:pPr>
        <w:spacing w:lineRule="exact" w:line="600" w:before="0" w:after="0"/>
        <w:ind w:firstLine="420"/>
        <w:jc w:val="both"/>
      </w:pPr>
      <w:r>
        <w:rPr>
          <w:rFonts w:ascii="仿宋_GB2312" w:hAnsi="仿宋_GB2312" w:eastAsia="仿宋_GB2312"/>
          <w:b w:val="0"/>
          <w:color w:val="000000"/>
          <w:sz w:val="32"/>
        </w:rPr>
        <w:t>汉威集团是岱岳区精细化工链主企业，获批第八批国家级制造业单项冠军企业，布局高端化工助剂产业园，推进汉威集团产业园项目二期，2024年1-10月营收同比增长30.6%；企业在含磷阻燃剂、功能助剂等专用化学品领域技术领先，是园区由基础化工向高附加值中间体升级的核心牵引力量。</w:t>
      </w:r>
    </w:p>
    <w:p>
      <w:pPr>
        <w:spacing w:lineRule="exact" w:line="600" w:before="0" w:after="0"/>
        <w:ind w:firstLine="420"/>
        <w:jc w:val="both"/>
      </w:pPr>
      <w:r>
        <w:rPr>
          <w:rFonts w:ascii="仿宋_GB2312" w:hAnsi="仿宋_GB2312" w:eastAsia="仿宋_GB2312"/>
          <w:b w:val="0"/>
          <w:color w:val="000000"/>
          <w:sz w:val="32"/>
        </w:rPr>
        <w:t>山东西尼尔(山东)新材料公司成立于2020年3月，是省专精特新企业，专注高分子材料添加剂研制，产品涉及抗氧剂、光稳定剂、石化助剂等，投入过亿元建设全自动化生产车间、生产效率提高30%，其热稳定剂、扩链剂、高端特种抗氧剂国内市场占有率100%，是全球最大降凝剂生产厂家、壳牌全球合作供应商，2024年1-10月营收同比增长41.7%。</w:t>
      </w:r>
    </w:p>
    <w:p>
      <w:pPr>
        <w:spacing w:lineRule="exact" w:line="600" w:before="0" w:after="0"/>
        <w:jc w:val="left"/>
      </w:pPr>
      <w:r>
        <w:rPr>
          <w:rFonts w:ascii="仿宋_GB2312" w:hAnsi="仿宋_GB2312" w:eastAsia="仿宋_GB2312"/>
          <w:b w:val="0"/>
          <w:color w:val="000000"/>
          <w:sz w:val="28"/>
        </w:rPr>
        <w:t>主要数据来源：岱岳区人民政府官网；泰安日报；鲁网；岱岳融媒</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