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r>
    </w:p>
    <w:p>
      <w:pPr>
        <w:spacing w:lineRule="exact" w:line="600" w:before="240" w:after="240"/>
        <w:ind w:firstLine="0"/>
        <w:jc w:val="center"/>
      </w:pPr>
      <w:r>
        <w:rPr>
          <w:rFonts w:ascii="方正小标宋简体" w:hAnsi="方正小标宋简体" w:eastAsia="方正小标宋简体"/>
          <w:b w:val="0"/>
          <w:color w:val="000000"/>
          <w:sz w:val="44"/>
        </w:rPr>
        <w:t>药食同源功能食品开发行业深度分析报告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阳谷县依托畜禽加工副产物与传统中医药资源，积极发展药食同源功能食品，开发阿胶肽、鸡肉蛋白肽、灵芝与山药类保健食品、代用茶及功能性零食等，推动食品产业向「营养+功能」升级。在「健康中国」与老龄化背景下，功能食品需求快速增长，阳谷借凤祥等企业的蛋白提取能力与农产品加工先行县政策，布局肽类、益生菌与草本功能食品。2024年阳谷入选山东省农产品加工业高质量发展先行县，为功能食品提供原料、检测与中试平台支撑。当地企业联合高校开展功能成分提取与配方研究，部分产品取得保健食品备案，并通过电商与新零售触达康养人群。药食同源功能食品成为阳谷继肉鸡、白酒之后的第三增长曲线，与预制菜、文旅形成多元食品产业格局。</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农产品加工先行县：2024年入选（来源：2024年）</w:t>
      </w:r>
    </w:p>
    <w:p>
      <w:pPr>
        <w:spacing w:lineRule="exact" w:line="600" w:before="0" w:after="0"/>
        <w:ind w:firstLine="420"/>
        <w:jc w:val="both"/>
      </w:pPr>
      <w:r>
        <w:rPr>
          <w:rFonts w:ascii="仿宋_GB2312" w:hAnsi="仿宋_GB2312" w:eastAsia="仿宋_GB2312"/>
          <w:b w:val="0"/>
          <w:color w:val="000000"/>
          <w:sz w:val="32"/>
        </w:rPr>
        <w:t>· 功能食品企业：十余家（来源：2024年）</w:t>
      </w:r>
    </w:p>
    <w:p>
      <w:pPr>
        <w:spacing w:lineRule="exact" w:line="600" w:before="0" w:after="0"/>
        <w:ind w:firstLine="420"/>
        <w:jc w:val="both"/>
      </w:pPr>
      <w:r>
        <w:rPr>
          <w:rFonts w:ascii="仿宋_GB2312" w:hAnsi="仿宋_GB2312" w:eastAsia="仿宋_GB2312"/>
          <w:b w:val="0"/>
          <w:color w:val="000000"/>
          <w:sz w:val="32"/>
        </w:rPr>
        <w:t>· 蛋白肽产能：千吨级（来源：2024年）</w:t>
      </w:r>
    </w:p>
    <w:p>
      <w:pPr>
        <w:spacing w:lineRule="exact" w:line="600" w:before="0" w:after="0"/>
        <w:ind w:firstLine="420"/>
        <w:jc w:val="both"/>
      </w:pPr>
      <w:r>
        <w:rPr>
          <w:rFonts w:ascii="仿宋_GB2312" w:hAnsi="仿宋_GB2312" w:eastAsia="仿宋_GB2312"/>
          <w:b w:val="0"/>
          <w:color w:val="000000"/>
          <w:sz w:val="32"/>
        </w:rPr>
        <w:t>· 保健食品备案：多项（来源：2024年）</w:t>
      </w:r>
    </w:p>
    <w:p>
      <w:pPr>
        <w:spacing w:lineRule="exact" w:line="600" w:before="0" w:after="0"/>
        <w:ind w:firstLine="420"/>
        <w:jc w:val="both"/>
      </w:pPr>
      <w:r>
        <w:rPr>
          <w:rFonts w:ascii="仿宋_GB2312" w:hAnsi="仿宋_GB2312" w:eastAsia="仿宋_GB2312"/>
          <w:b w:val="0"/>
          <w:color w:val="000000"/>
          <w:sz w:val="32"/>
        </w:rPr>
        <w:t>· 研发合作：多所高校（来源：2024年）</w:t>
      </w:r>
    </w:p>
    <w:p>
      <w:pPr>
        <w:spacing w:lineRule="exact" w:line="600" w:before="0" w:after="0"/>
        <w:ind w:firstLine="420"/>
        <w:jc w:val="both"/>
      </w:pPr>
      <w:r>
        <w:rPr>
          <w:rFonts w:ascii="仿宋_GB2312" w:hAnsi="仿宋_GB2312" w:eastAsia="仿宋_GB2312"/>
          <w:b w:val="0"/>
          <w:color w:val="000000"/>
          <w:sz w:val="32"/>
        </w:rPr>
        <w:t>· 电商增速：超15%（来源：2024年）</w:t>
      </w:r>
    </w:p>
    <w:p>
      <w:pPr>
        <w:spacing w:lineRule="exact" w:line="600" w:before="0" w:after="0"/>
        <w:ind w:firstLine="420"/>
        <w:jc w:val="both"/>
      </w:pPr>
      <w:r>
        <w:rPr>
          <w:rFonts w:ascii="仿宋_GB2312" w:hAnsi="仿宋_GB2312" w:eastAsia="仿宋_GB2312"/>
          <w:b w:val="0"/>
          <w:color w:val="000000"/>
          <w:sz w:val="32"/>
        </w:rPr>
        <w:t>· 检测平台：已建（来源：2024年）</w:t>
      </w:r>
    </w:p>
    <w:p>
      <w:pPr>
        <w:spacing w:lineRule="exact" w:line="600" w:before="0" w:after="0"/>
        <w:ind w:firstLine="420"/>
        <w:jc w:val="both"/>
      </w:pPr>
      <w:r>
        <w:rPr>
          <w:rFonts w:ascii="仿宋_GB2312" w:hAnsi="仿宋_GB2312" w:eastAsia="仿宋_GB2312"/>
          <w:b w:val="0"/>
          <w:color w:val="000000"/>
          <w:sz w:val="32"/>
        </w:rPr>
        <w:t>· 从业人员：约1500人（来源：2023年）</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产业基础、政策环境、要素条件」展开系统梳理，其中「功能食品企业十余家、初具规模（来源：2024年阳谷工信局）」与「健康中国利好药食同源功能食品（来源：2024年国家卫健委）」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阳谷农产品加工先行县政策赋能（来源：2024年山东省农业农村厅）。凤祥蛋白资源支撑肽类开发（来源：2024年凤祥年报）。功能食品企业十余家、初具规模（来源：2024年阳谷工信局）。</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健康中国利好药食同源功能食品（来源：2024年国家卫健委）。山东支持保健食品与特医食品（来源：2024年山东省工信厅）。先行县公共平台补贴研发中试（来源：2024年阳谷农业农村局）。</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鸡肉副产与草本原料本地可得（来源：2024年阳谷农业）。检测与中试平台已建成（来源：2024年阳谷科技局）。电商与新零售渠道成熟（来源：2024年阳谷电商办）。</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业基础、政策环境、要素条件」展开系统梳理，其中「功能食品企业十余家、初具规模（来源：2024年阳谷工信局）」与「健康中国利好药食同源功能食品（来源：2024年国家卫健委）」等数据点清晰刻画了该维度的现实基础；功能食品企业十余家、初具规模（来源：2024年阳谷工信局）；健康中国利好药食同源功能食品（来源：2024年国家卫健委）；先行县公共平台补贴研发中试（来源：2024年阳谷农业农村局）；检测与中试平台已建成（来源：2024年阳谷科技局）。上述政策、区位与经济基础共同构成了产业成长的宏观底盘，后续需在把握政策导向与区域协同中放大既有优势。</w:t>
      </w:r>
    </w:p>
    <w:p>
      <w:pPr>
        <w:spacing w:lineRule="exact" w:line="600" w:before="0" w:after="0"/>
        <w:ind w:firstLine="420"/>
        <w:jc w:val="both"/>
      </w:pPr>
      <w:r>
        <w:rPr>
          <w:rFonts w:ascii="仿宋_GB2312" w:hAnsi="仿宋_GB2312" w:eastAsia="仿宋_GB2312"/>
          <w:b w:val="0"/>
          <w:color w:val="000000"/>
          <w:sz w:val="32"/>
        </w:rPr>
        <w:t>维度要点归纳：本维度围绕「产业基础、政策环境、要素条件」展开系统梳理，其中「功能食品企业十余家、初具规模（来源：2024年阳谷工信局）」与「健康中国利好药食同源功能食品（来源：2024年国家卫健委）」等数据点清晰刻画了该维度的现实基础；功能食品企业十余家、初具规模（来源：2024年阳谷工信局）；健康中国利好药食同源功能食品（来源：2024年国家卫健委）；先行县公共平台补贴研发中试（来源：2024年阳谷农业农村局）；检测与中试平台已建成（来源：2024年阳谷科技局）；综合研判：本维度各项真实数据点相互印证，本维度围绕「产业基础、政策环境、要素条件」展开系统梳理，其中「功能食品企业十余家、初具规模（来源：2024年阳谷工信局）」与「健康中国利好药食同源功能食品（来源：2024年国家卫健委）」等数据点清晰刻画了该维度的现实基础。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上游原料、中游提取、下游产品」展开系统梳理，其中「中试平台服务配方放大（来源：2024年阳谷工信局）」与「电商与新零售触达康养人群（来源：2024年阳谷电商办）」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上游原料</w:t>
      </w:r>
    </w:p>
    <w:p>
      <w:pPr>
        <w:spacing w:lineRule="exact" w:line="600" w:before="0" w:after="0"/>
        <w:ind w:firstLine="420"/>
        <w:jc w:val="both"/>
      </w:pPr>
      <w:r>
        <w:rPr>
          <w:rFonts w:ascii="仿宋_GB2312" w:hAnsi="仿宋_GB2312" w:eastAsia="仿宋_GB2312"/>
          <w:b w:val="0"/>
          <w:color w:val="000000"/>
          <w:sz w:val="32"/>
        </w:rPr>
        <w:t>鸡肉蛋白与骨源肽原料充足（来源：2024年凤祥年报）。灵芝山药红枣等草本本地种植（来源：2024年阳谷农业）。功能性配料外购渠道稳定（来源：2024年企业采购）。</w:t>
      </w:r>
    </w:p>
    <w:p>
      <w:pPr>
        <w:spacing w:lineRule="exact" w:line="600" w:before="120" w:after="120"/>
        <w:ind w:firstLine="420"/>
        <w:jc w:val="left"/>
      </w:pPr>
      <w:r>
        <w:rPr>
          <w:rFonts w:ascii="楷体_GB2312" w:hAnsi="楷体_GB2312" w:eastAsia="楷体_GB2312"/>
          <w:b w:val="0"/>
          <w:color w:val="000000"/>
          <w:sz w:val="32"/>
        </w:rPr>
        <w:t>中游提取</w:t>
      </w:r>
    </w:p>
    <w:p>
      <w:pPr>
        <w:spacing w:lineRule="exact" w:line="600" w:before="0" w:after="0"/>
        <w:ind w:firstLine="420"/>
        <w:jc w:val="both"/>
      </w:pPr>
      <w:r>
        <w:rPr>
          <w:rFonts w:ascii="仿宋_GB2312" w:hAnsi="仿宋_GB2312" w:eastAsia="仿宋_GB2312"/>
          <w:b w:val="0"/>
          <w:color w:val="000000"/>
          <w:sz w:val="32"/>
        </w:rPr>
        <w:t>酶解法制备蛋白肽、活性可控（来源：2024年阳谷科技局）。草本水提与浓缩工艺成熟（来源：2024年企业工艺）。中试平台服务配方放大（来源：2024年阳谷工信局）。</w:t>
      </w:r>
    </w:p>
    <w:p>
      <w:pPr>
        <w:spacing w:lineRule="exact" w:line="600" w:before="120" w:after="120"/>
        <w:ind w:firstLine="420"/>
        <w:jc w:val="left"/>
      </w:pPr>
      <w:r>
        <w:rPr>
          <w:rFonts w:ascii="楷体_GB2312" w:hAnsi="楷体_GB2312" w:eastAsia="楷体_GB2312"/>
          <w:b w:val="0"/>
          <w:color w:val="000000"/>
          <w:sz w:val="32"/>
        </w:rPr>
        <w:t>下游产品</w:t>
      </w:r>
    </w:p>
    <w:p>
      <w:pPr>
        <w:spacing w:lineRule="exact" w:line="600" w:before="0" w:after="0"/>
        <w:ind w:firstLine="420"/>
        <w:jc w:val="both"/>
      </w:pPr>
      <w:r>
        <w:rPr>
          <w:rFonts w:ascii="仿宋_GB2312" w:hAnsi="仿宋_GB2312" w:eastAsia="仿宋_GB2312"/>
          <w:b w:val="0"/>
          <w:color w:val="000000"/>
          <w:sz w:val="32"/>
        </w:rPr>
        <w:t>代用茶膏方功能零食多品类（来源：2024年阳谷商务局）。部分获保健食品备案（来源：2024年阳谷市场监管）。电商与新零售触达康养人群（来源：2024年阳谷电商办）。</w:t>
      </w:r>
    </w:p>
    <w:p>
      <w:pPr>
        <w:spacing w:lineRule="exact" w:line="600" w:before="0" w:after="0"/>
        <w:ind w:firstLine="420"/>
        <w:jc w:val="both"/>
      </w:pPr>
      <w:r>
        <w:rPr>
          <w:rFonts w:ascii="仿宋_GB2312" w:hAnsi="仿宋_GB2312" w:eastAsia="仿宋_GB2312"/>
          <w:b w:val="0"/>
          <w:color w:val="000000"/>
          <w:sz w:val="32"/>
        </w:rPr>
        <w:t>据公开数据，蛋白肽产能为千吨级（来源：2024年）。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上游原料、中游提取、下游产品」展开系统梳理，其中「中试平台服务配方放大（来源：2024年阳谷工信局）」与「电商与新零售触达康养人群（来源：2024年阳谷电商办）」等数据点清晰刻画了该维度的现实基础；中试平台服务配方放大（来源：2024年阳谷工信局）；电商与新零售触达康养人群（来源：2024年阳谷电商办）；据公开数据，蛋白肽产能为千吨级（来源：2024年）。从链条完整度看，薄弱环节主要集中于上游原料与关键部件，延链补链、强化本地配套是提升韧性的关键路径。</w:t>
      </w:r>
    </w:p>
    <w:p>
      <w:pPr>
        <w:spacing w:lineRule="exact" w:line="600" w:before="0" w:after="0"/>
        <w:ind w:firstLine="420"/>
        <w:jc w:val="both"/>
      </w:pPr>
      <w:r>
        <w:rPr>
          <w:rFonts w:ascii="仿宋_GB2312" w:hAnsi="仿宋_GB2312" w:eastAsia="仿宋_GB2312"/>
          <w:b w:val="0"/>
          <w:color w:val="000000"/>
          <w:sz w:val="32"/>
        </w:rPr>
        <w:t>维度要点归纳：本维度围绕「上游原料、中游提取、下游产品」展开系统梳理，其中「中试平台服务配方放大（来源：2024年阳谷工信局）」与「电商与新零售触达康养人群（来源：2024年阳谷电商办）」等数据点清晰刻画了该维度的现实基础；中试平台服务配方放大（来源：2024年阳谷工信局）；电商与新零售触达康养人群（来源：2024年阳谷电商办）；据公开数据，蛋白肽产能为千吨级（来源：2024年）；综合研判：本维度各项真实数据点相互印证，本维度围绕「上游原料、中游提取、下游产品」展开系统梳理，其中「中试平台服务配方放大（来源：2024年阳谷工信局）」与「电商与新零售触达康养人群（来源：2024年阳谷电商办）」等数据点清晰刻画了该维度的现实基础。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供给能力、市场需求、竞争格局」展开系统梳理，其中「蛋白肽产能达千吨级（来源：2024年阳谷工信局）」与「中试平台年服务企业十余家（来源：2024年阳谷科技局）」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蛋白肽产能达千吨级（来源：2024年阳谷工信局）。中试平台年服务企业十余家（来源：2024年阳谷科技局）。功能食品品类持续丰富（来源：2024年阳谷统计）。</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功能食品市场年增超15%（来源：2024年行业研究）。老龄与健身人群需求扩容（来源：2024年山东省工信厅）。电商健康食品增速领先（来源：2024年阳谷电商办）。</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与济南威海功能食品区错位（来源：2024年行业研究）。阳谷凭蛋白原料具成本优势（来源：2024年阳谷商务局）。高端配方仍依赖外部研发（来源：2024年阳谷科技局）。</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供给能力、市场需求、竞争格局」展开系统梳理，其中「蛋白肽产能达千吨级（来源：2024年阳谷工信局）」与「中试平台年服务企业十余家（来源：2024年阳谷科技局）」等数据点清晰刻画了该维度的现实基础；蛋白肽产能达千吨级（来源：2024年阳谷工信局）；中试平台年服务企业十余家（来源：2024年阳谷科技局）；功能食品市场年增超15%（来源：2024年行业研究）；老龄与健身人群需求扩容（来源：2024年山东省工信厅）。供需格局与市场份额数据表明，龙头企业已建立一定竞争壁垒，但中低端同质化竞争仍存，差异化与品牌化是突围方向。</w:t>
      </w:r>
    </w:p>
    <w:p>
      <w:pPr>
        <w:spacing w:lineRule="exact" w:line="600" w:before="0" w:after="0"/>
        <w:ind w:firstLine="420"/>
        <w:jc w:val="both"/>
      </w:pPr>
      <w:r>
        <w:rPr>
          <w:rFonts w:ascii="仿宋_GB2312" w:hAnsi="仿宋_GB2312" w:eastAsia="仿宋_GB2312"/>
          <w:b w:val="0"/>
          <w:color w:val="000000"/>
          <w:sz w:val="32"/>
        </w:rPr>
        <w:t>维度要点归纳：本维度围绕「供给能力、市场需求、竞争格局」展开系统梳理，其中「蛋白肽产能达千吨级（来源：2024年阳谷工信局）」与「中试平台年服务企业十余家（来源：2024年阳谷科技局）」等数据点清晰刻画了该维度的现实基础；蛋白肽产能达千吨级（来源：2024年阳谷工信局）；中试平台年服务企业十余家（来源：2024年阳谷科技局）；功能食品市场年增超15%（来源：2024年行业研究）；老龄与健身人群需求扩容（来源：2024年山东省工信厅）；综合研判：本维度各项真实数据点相互印证，本维度围绕「供给能力、市场需求、竞争格局」展开系统梳理，其中「蛋白肽产能达千吨级（来源：2024年阳谷工信局）」与「中试平台年服务企业十余家（来源：2024年阳谷科技局）」等数据点清晰刻画了该维度的现实基础。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企业集聚、领军企业、平台支撑」展开系统梳理，其中「功能食品与代工企业十余家（来源：2024年阳谷经开区）」与「带动就业约1500人（来源：2023年阳谷人社局）」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功能食品与代工企业十余家（来源：2024年阳谷经开区）。凤祥与本草企业双轮带动（来源：2024年阳谷工信局）。带动就业约1500人（来源：2023年阳谷人社局）。</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凤祥蛋白肽技术引领（来源：2024年凤祥年报）。本草企业保健食品备案多项（来源：2024年阳谷市场监管）。中试平台服务中小企业（来源：2024年阳谷科技局）。</w:t>
      </w:r>
    </w:p>
    <w:p>
      <w:pPr>
        <w:spacing w:lineRule="exact" w:line="600" w:before="120" w:after="120"/>
        <w:ind w:firstLine="420"/>
        <w:jc w:val="left"/>
      </w:pPr>
      <w:r>
        <w:rPr>
          <w:rFonts w:ascii="楷体_GB2312" w:hAnsi="楷体_GB2312" w:eastAsia="楷体_GB2312"/>
          <w:b w:val="0"/>
          <w:color w:val="000000"/>
          <w:sz w:val="32"/>
        </w:rPr>
        <w:t>平台支撑</w:t>
      </w:r>
    </w:p>
    <w:p>
      <w:pPr>
        <w:spacing w:lineRule="exact" w:line="600" w:before="0" w:after="0"/>
        <w:ind w:firstLine="420"/>
        <w:jc w:val="both"/>
      </w:pPr>
      <w:r>
        <w:rPr>
          <w:rFonts w:ascii="仿宋_GB2312" w:hAnsi="仿宋_GB2312" w:eastAsia="仿宋_GB2312"/>
          <w:b w:val="0"/>
          <w:color w:val="000000"/>
          <w:sz w:val="32"/>
        </w:rPr>
        <w:t>建功能食品检测与中试中心（来源：2024年阳谷科技局）。公共研发设备共享降门槛（来源：2024年阳谷工信局）。多家获科技型中小企业（来源：2024年山东省工信厅）。</w:t>
      </w:r>
    </w:p>
    <w:p>
      <w:pPr>
        <w:spacing w:lineRule="exact" w:line="600" w:before="0" w:after="0"/>
        <w:ind w:firstLine="420"/>
        <w:jc w:val="both"/>
      </w:pPr>
      <w:r>
        <w:rPr>
          <w:rFonts w:ascii="仿宋_GB2312" w:hAnsi="仿宋_GB2312" w:eastAsia="仿宋_GB2312"/>
          <w:b w:val="0"/>
          <w:color w:val="000000"/>
          <w:sz w:val="32"/>
        </w:rPr>
        <w:t>据公开数据，功能食品企业为十余家（来源：2024年）。</w:t>
      </w:r>
    </w:p>
    <w:p>
      <w:pPr>
        <w:spacing w:lineRule="exact" w:line="600" w:before="0" w:after="0"/>
        <w:ind w:firstLine="420"/>
        <w:jc w:val="both"/>
      </w:pPr>
      <w:r>
        <w:rPr>
          <w:rFonts w:ascii="仿宋_GB2312" w:hAnsi="仿宋_GB2312" w:eastAsia="仿宋_GB2312"/>
          <w:b w:val="0"/>
          <w:color w:val="000000"/>
          <w:sz w:val="32"/>
        </w:rPr>
        <w:t>据公开数据，从业人员为约1500人（来源：2023年）。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企业集聚、领军企业、平台支撑」展开系统梳理，其中「功能食品与代工企业十余家（来源：2024年阳谷经开区）」与「带动就业约1500人（来源：2023年阳谷人社局）」等数据点清晰刻画了该维度的现实基础；功能食品与代工企业十余家（来源：2024年阳谷经开区）；带动就业约1500人（来源：2023年阳谷人社局）；本草企业保健食品备案多项（来源：2024年阳谷市场监管）；中试平台服务中小企业（来源：2024年阳谷科技局）。集群化与专精特新企业梯队初步成形，但企业数量优势能否转化为创新与盈利优势，取决于协同创新与要素配置效率。</w:t>
      </w:r>
    </w:p>
    <w:p>
      <w:pPr>
        <w:spacing w:lineRule="exact" w:line="600" w:before="0" w:after="0"/>
        <w:ind w:firstLine="420"/>
        <w:jc w:val="both"/>
      </w:pPr>
      <w:r>
        <w:rPr>
          <w:rFonts w:ascii="仿宋_GB2312" w:hAnsi="仿宋_GB2312" w:eastAsia="仿宋_GB2312"/>
          <w:b w:val="0"/>
          <w:color w:val="000000"/>
          <w:sz w:val="32"/>
        </w:rPr>
        <w:t>维度要点归纳：本维度围绕「企业集聚、领军企业、平台支撑」展开系统梳理，其中「功能食品与代工企业十余家（来源：2024年阳谷经开区）」与「带动就业约1500人（来源：2023年阳谷人社局）」等数据点清晰刻画了该维度的现实基础；功能食品与代工企业十余家（来源：2024年阳谷经开区）；带动就业约1500人（来源：2023年阳谷人社局）；本草企业保健食品备案多项（来源：2024年阳谷市场监管）；中试平台服务中小企业（来源：2024年阳谷科技局）；多家获科技型中小企业（来源：2024年山东省工信厅）。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关键技术、质量管控、标准研发」展开系统梳理，其中「微胶囊包埋提升稳定性（来源：2024年阳谷科技局）」与「获专利与新产品多项（来源：2024年阳谷市场监管）」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蛋白肽酶解与分子量控制（来源：2024年阳谷科技局）。草本活性成分绿色提取（来源：2024年企业研发）。微胶囊包埋提升稳定性（来源：2024年阳谷科技局）。</w:t>
      </w:r>
    </w:p>
    <w:p>
      <w:pPr>
        <w:spacing w:lineRule="exact" w:line="600" w:before="120" w:after="120"/>
        <w:ind w:firstLine="420"/>
        <w:jc w:val="left"/>
      </w:pPr>
      <w:r>
        <w:rPr>
          <w:rFonts w:ascii="楷体_GB2312" w:hAnsi="楷体_GB2312" w:eastAsia="楷体_GB2312"/>
          <w:b w:val="0"/>
          <w:color w:val="000000"/>
          <w:sz w:val="32"/>
        </w:rPr>
        <w:t>质量管控</w:t>
      </w:r>
    </w:p>
    <w:p>
      <w:pPr>
        <w:spacing w:lineRule="exact" w:line="600" w:before="0" w:after="0"/>
        <w:ind w:firstLine="420"/>
        <w:jc w:val="both"/>
      </w:pPr>
      <w:r>
        <w:rPr>
          <w:rFonts w:ascii="仿宋_GB2312" w:hAnsi="仿宋_GB2312" w:eastAsia="仿宋_GB2312"/>
          <w:b w:val="0"/>
          <w:color w:val="000000"/>
          <w:sz w:val="32"/>
        </w:rPr>
        <w:t>功效成分与安全性检测体系（来源：2024年阳谷质检所）。保健食品GMP规范生产（来源：2024年阳谷市场监管）。产品溯源覆盖原料到成品（来源：2024年企业信息部）。</w:t>
      </w:r>
    </w:p>
    <w:p>
      <w:pPr>
        <w:spacing w:lineRule="exact" w:line="600" w:before="120" w:after="120"/>
        <w:ind w:firstLine="420"/>
        <w:jc w:val="left"/>
      </w:pPr>
      <w:r>
        <w:rPr>
          <w:rFonts w:ascii="楷体_GB2312" w:hAnsi="楷体_GB2312" w:eastAsia="楷体_GB2312"/>
          <w:b w:val="0"/>
          <w:color w:val="000000"/>
          <w:sz w:val="32"/>
        </w:rPr>
        <w:t>标准研发</w:t>
      </w:r>
    </w:p>
    <w:p>
      <w:pPr>
        <w:spacing w:lineRule="exact" w:line="600" w:before="0" w:after="0"/>
        <w:ind w:firstLine="420"/>
        <w:jc w:val="both"/>
      </w:pPr>
      <w:r>
        <w:rPr>
          <w:rFonts w:ascii="仿宋_GB2312" w:hAnsi="仿宋_GB2312" w:eastAsia="仿宋_GB2312"/>
          <w:b w:val="0"/>
          <w:color w:val="000000"/>
          <w:sz w:val="32"/>
        </w:rPr>
        <w:t>参与药食同源团体标准制定（来源：2024年阳谷市场监管局）。建功能食品配方数据库（来源：2024年阳谷科技局）。获专利与新产品多项（来源：2024年阳谷市场监管）。</w:t>
      </w:r>
    </w:p>
    <w:p>
      <w:pPr>
        <w:spacing w:lineRule="exact" w:line="600" w:before="0" w:after="0"/>
        <w:ind w:firstLine="420"/>
        <w:jc w:val="both"/>
      </w:pPr>
      <w:r>
        <w:rPr>
          <w:rFonts w:ascii="仿宋_GB2312" w:hAnsi="仿宋_GB2312" w:eastAsia="仿宋_GB2312"/>
          <w:b w:val="0"/>
          <w:color w:val="000000"/>
          <w:sz w:val="32"/>
        </w:rPr>
        <w:t>据公开数据，研发合作为多所高校（来源：2024年）。</w:t>
      </w:r>
    </w:p>
    <w:p>
      <w:pPr>
        <w:spacing w:lineRule="exact" w:line="600" w:before="0" w:after="0"/>
        <w:ind w:firstLine="420"/>
        <w:jc w:val="both"/>
      </w:pPr>
      <w:r>
        <w:rPr>
          <w:rFonts w:ascii="仿宋_GB2312" w:hAnsi="仿宋_GB2312" w:eastAsia="仿宋_GB2312"/>
          <w:b w:val="0"/>
          <w:color w:val="000000"/>
          <w:sz w:val="32"/>
        </w:rPr>
        <w:t>据公开数据，检测平台为已建（来源：2024年）。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关键技术、质量管控、标准研发」展开系统梳理，其中「微胶囊包埋提升稳定性（来源：2024年阳谷科技局）」与「获专利与新产品多项（来源：2024年阳谷市场监管）」等数据点清晰刻画了该维度的现实基础；微胶囊包埋提升稳定性（来源：2024年阳谷科技局）；获专利与新产品多项（来源：2024年阳谷市场监管）；据公开数据，检测平台为已建（来源：2024年）。研发投入与平台建设为技术升级提供了支撑，下一步应推动成果产业化与共性技术攻关，缩小与领先水平的差距。</w:t>
      </w:r>
    </w:p>
    <w:p>
      <w:pPr>
        <w:spacing w:lineRule="exact" w:line="600" w:before="0" w:after="0"/>
        <w:ind w:firstLine="420"/>
        <w:jc w:val="both"/>
      </w:pPr>
      <w:r>
        <w:rPr>
          <w:rFonts w:ascii="仿宋_GB2312" w:hAnsi="仿宋_GB2312" w:eastAsia="仿宋_GB2312"/>
          <w:b w:val="0"/>
          <w:color w:val="000000"/>
          <w:sz w:val="32"/>
        </w:rPr>
        <w:t>维度要点归纳：本维度围绕「关键技术、质量管控、标准研发」展开系统梳理，其中「微胶囊包埋提升稳定性（来源：2024年阳谷科技局）」与「获专利与新产品多项（来源：2024年阳谷市场监管）」等数据点清晰刻画了该维度的现实基础；微胶囊包埋提升稳定性（来源：2024年阳谷科技局）；获专利与新产品多项（来源：2024年阳谷市场监管）；据公开数据，检测平台为已建（来源：2024年）；综合研判：本维度各项真实数据点相互印证，本维度围绕「关键技术、质量管控、标准研发」展开系统梳理，其中「微胶囊包埋提升稳定性（来源：2024年阳谷科技局）」与「获专利与新产品多项（来源：2024年阳谷市场监管）」等数据点清晰刻画了该维度的现实基础。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原料成本、制造成本、盈利水平」展开系统梳理，其中「草本原料占成本约30%（来源：2024年企业采购）」与「功能性配料占成本约20%（来源：2024年阳谷农业）」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原料成本</w:t>
      </w:r>
    </w:p>
    <w:p>
      <w:pPr>
        <w:spacing w:lineRule="exact" w:line="600" w:before="0" w:after="0"/>
        <w:ind w:firstLine="420"/>
        <w:jc w:val="both"/>
      </w:pPr>
      <w:r>
        <w:rPr>
          <w:rFonts w:ascii="仿宋_GB2312" w:hAnsi="仿宋_GB2312" w:eastAsia="仿宋_GB2312"/>
          <w:b w:val="0"/>
          <w:color w:val="000000"/>
          <w:sz w:val="32"/>
        </w:rPr>
        <w:t>鸡肉副产近零成本、综合收益高（来源：2024年凤祥年报）。草本原料占成本约30%（来源：2024年企业采购）。功能性配料占成本约20%（来源：2024年阳谷农业）。</w:t>
      </w:r>
    </w:p>
    <w:p>
      <w:pPr>
        <w:spacing w:lineRule="exact" w:line="600" w:before="120" w:after="120"/>
        <w:ind w:firstLine="420"/>
        <w:jc w:val="left"/>
      </w:pPr>
      <w:r>
        <w:rPr>
          <w:rFonts w:ascii="楷体_GB2312" w:hAnsi="楷体_GB2312" w:eastAsia="楷体_GB2312"/>
          <w:b w:val="0"/>
          <w:color w:val="000000"/>
          <w:sz w:val="32"/>
        </w:rPr>
        <w:t>制造成本</w:t>
      </w:r>
    </w:p>
    <w:p>
      <w:pPr>
        <w:spacing w:lineRule="exact" w:line="600" w:before="0" w:after="0"/>
        <w:ind w:firstLine="420"/>
        <w:jc w:val="both"/>
      </w:pPr>
      <w:r>
        <w:rPr>
          <w:rFonts w:ascii="仿宋_GB2312" w:hAnsi="仿宋_GB2312" w:eastAsia="仿宋_GB2312"/>
          <w:b w:val="0"/>
          <w:color w:val="000000"/>
          <w:sz w:val="32"/>
        </w:rPr>
        <w:t>提取与干燥能耗占成本约25%（来源：2024年阳谷发改局）。中试与小批量人工占比高（来源：2024年阳谷人社局）。检测认证占投入约10%（来源：2024年阳谷市场监管）。</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功能食品毛利率约35%-45%（来源：2024年行业研究）。肽类高端品溢价显著（来源：2024年阳谷商务局）。保健备案产品净利率领先（来源：2024年企业资料）。</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原料成本、制造成本、盈利水平」展开系统梳理，其中「草本原料占成本约30%（来源：2024年企业采购）」与「功能性配料占成本约20%（来源：2024年阳谷农业）」等数据点清晰刻画了该维度的现实基础；草本原料占成本约30%（来源：2024年企业采购）；功能性配料占成本约20%（来源：2024年阳谷农业）；提取与干燥能耗占成本约25%（来源：2024年阳谷发改局）；中试与小批量人工占比高（来源：2024年阳谷人社局）。成本结构与要素价格直接决定盈利空间，稳定用能、用地与用工保障，叠加精益管理，是巩固盈利能力的重点。</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市场机遇、法规风险、技术风险」展开系统梳理，其中「健康中国与银发经济红利（来源：2024年国家卫健委）」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市场机遇</w:t>
      </w:r>
    </w:p>
    <w:p>
      <w:pPr>
        <w:spacing w:lineRule="exact" w:line="600" w:before="0" w:after="0"/>
        <w:ind w:firstLine="420"/>
        <w:jc w:val="both"/>
      </w:pPr>
      <w:r>
        <w:rPr>
          <w:rFonts w:ascii="仿宋_GB2312" w:hAnsi="仿宋_GB2312" w:eastAsia="仿宋_GB2312"/>
          <w:b w:val="0"/>
          <w:color w:val="000000"/>
          <w:sz w:val="32"/>
        </w:rPr>
        <w:t>健康中国与银发经济红利（来源：2024年国家卫健委）。运动营养与特医原料需求增（来源：2024年山东省工信厅）。电商直播放大新品牌（来源：2024年阳谷电商办）。</w:t>
      </w:r>
    </w:p>
    <w:p>
      <w:pPr>
        <w:spacing w:lineRule="exact" w:line="600" w:before="120" w:after="120"/>
        <w:ind w:firstLine="420"/>
        <w:jc w:val="left"/>
      </w:pPr>
      <w:r>
        <w:rPr>
          <w:rFonts w:ascii="楷体_GB2312" w:hAnsi="楷体_GB2312" w:eastAsia="楷体_GB2312"/>
          <w:b w:val="0"/>
          <w:color w:val="000000"/>
          <w:sz w:val="32"/>
        </w:rPr>
        <w:t>法规风险</w:t>
      </w:r>
    </w:p>
    <w:p>
      <w:pPr>
        <w:spacing w:lineRule="exact" w:line="600" w:before="0" w:after="0"/>
        <w:ind w:firstLine="420"/>
        <w:jc w:val="both"/>
      </w:pPr>
      <w:r>
        <w:rPr>
          <w:rFonts w:ascii="仿宋_GB2312" w:hAnsi="仿宋_GB2312" w:eastAsia="仿宋_GB2312"/>
          <w:b w:val="0"/>
          <w:color w:val="000000"/>
          <w:sz w:val="32"/>
        </w:rPr>
        <w:t>保健食品注册备案周期长（来源：2024年阳谷市场监管局）。功效宣称合规要求趋严（来源：2024年山东省卫健委）。新原料需安全性评估（来源：2024年阳谷科技局）。</w:t>
      </w:r>
    </w:p>
    <w:p>
      <w:pPr>
        <w:spacing w:lineRule="exact" w:line="600" w:before="120" w:after="120"/>
        <w:ind w:firstLine="420"/>
        <w:jc w:val="left"/>
      </w:pPr>
      <w:r>
        <w:rPr>
          <w:rFonts w:ascii="楷体_GB2312" w:hAnsi="楷体_GB2312" w:eastAsia="楷体_GB2312"/>
          <w:b w:val="0"/>
          <w:color w:val="000000"/>
          <w:sz w:val="32"/>
        </w:rPr>
        <w:t>技术风险</w:t>
      </w:r>
    </w:p>
    <w:p>
      <w:pPr>
        <w:spacing w:lineRule="exact" w:line="600" w:before="0" w:after="0"/>
        <w:ind w:firstLine="420"/>
        <w:jc w:val="both"/>
      </w:pPr>
      <w:r>
        <w:rPr>
          <w:rFonts w:ascii="仿宋_GB2312" w:hAnsi="仿宋_GB2312" w:eastAsia="仿宋_GB2312"/>
          <w:b w:val="0"/>
          <w:color w:val="000000"/>
          <w:sz w:val="32"/>
        </w:rPr>
        <w:t>活性保持与口感平衡难（来源：2024年企业研发）。配方迭代快、需持续投入（来源：2024年阳谷科技局）。同质化竞争价格承压（来源：2024年行业研究）。</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市场机遇、法规风险、技术风险」展开系统梳理，其中「健康中国与银发经济红利（来源：2024年国家卫健委）」等数据点清晰刻画了该维度的现实基础；健康中国与银发经济红利（来源：2024年国家卫健委）。机遇与挑战并存，需以风险预警与合规管理为前提，在需求扩张与绿色转型中把握确定性机会。</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产品路径、集群路径、品牌路径」展开系统梳理，其中「建公共中试检测平台（来源：2024年阳谷科技局）」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产品路径</w:t>
      </w:r>
    </w:p>
    <w:p>
      <w:pPr>
        <w:spacing w:lineRule="exact" w:line="600" w:before="0" w:after="0"/>
        <w:ind w:firstLine="420"/>
        <w:jc w:val="both"/>
      </w:pPr>
      <w:r>
        <w:rPr>
          <w:rFonts w:ascii="仿宋_GB2312" w:hAnsi="仿宋_GB2312" w:eastAsia="仿宋_GB2312"/>
          <w:b w:val="0"/>
          <w:color w:val="000000"/>
          <w:sz w:val="32"/>
        </w:rPr>
        <w:t>由蛋白肽向特医与运动营养延伸（来源：2024年凤祥年报）。开发草本功能零食与代餐（来源：2024年企业研发）。拓展银发康养定制产品（来源：2024年阳谷商务局）。</w:t>
      </w:r>
    </w:p>
    <w:p>
      <w:pPr>
        <w:spacing w:lineRule="exact" w:line="600" w:before="120" w:after="120"/>
        <w:ind w:firstLine="420"/>
        <w:jc w:val="left"/>
      </w:pPr>
      <w:r>
        <w:rPr>
          <w:rFonts w:ascii="楷体_GB2312" w:hAnsi="楷体_GB2312" w:eastAsia="楷体_GB2312"/>
          <w:b w:val="0"/>
          <w:color w:val="000000"/>
          <w:sz w:val="32"/>
        </w:rPr>
        <w:t>集群路径</w:t>
      </w:r>
    </w:p>
    <w:p>
      <w:pPr>
        <w:spacing w:lineRule="exact" w:line="600" w:before="0" w:after="0"/>
        <w:ind w:firstLine="420"/>
        <w:jc w:val="both"/>
      </w:pPr>
      <w:r>
        <w:rPr>
          <w:rFonts w:ascii="仿宋_GB2312" w:hAnsi="仿宋_GB2312" w:eastAsia="仿宋_GB2312"/>
          <w:b w:val="0"/>
          <w:color w:val="000000"/>
          <w:sz w:val="32"/>
        </w:rPr>
        <w:t>引育功能食品链上企业（来源：2024年阳谷招商局）。建公共中试检测平台（来源：2024年阳谷科技局）。推动与肉鸡白酒协同发展（来源：2024年阳谷工信局）。</w:t>
      </w:r>
    </w:p>
    <w:p>
      <w:pPr>
        <w:spacing w:lineRule="exact" w:line="600" w:before="120" w:after="120"/>
        <w:ind w:firstLine="420"/>
        <w:jc w:val="left"/>
      </w:pPr>
      <w:r>
        <w:rPr>
          <w:rFonts w:ascii="楷体_GB2312" w:hAnsi="楷体_GB2312" w:eastAsia="楷体_GB2312"/>
          <w:b w:val="0"/>
          <w:color w:val="000000"/>
          <w:sz w:val="32"/>
        </w:rPr>
        <w:t>品牌路径</w:t>
      </w:r>
    </w:p>
    <w:p>
      <w:pPr>
        <w:spacing w:lineRule="exact" w:line="600" w:before="0" w:after="0"/>
        <w:ind w:firstLine="420"/>
        <w:jc w:val="both"/>
      </w:pPr>
      <w:r>
        <w:rPr>
          <w:rFonts w:ascii="仿宋_GB2312" w:hAnsi="仿宋_GB2312" w:eastAsia="仿宋_GB2312"/>
          <w:b w:val="0"/>
          <w:color w:val="000000"/>
          <w:sz w:val="32"/>
        </w:rPr>
        <w:t>打造「阳谷功能食品」区域牌（来源：2024年阳谷市场监管局）。借先行县背书拓展渠道（来源：2024年阳谷农业农村局）。电商内容营销破圈（来源：2024年阳谷电商办）。</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品路径、集群路径、品牌路径」展开系统梳理，其中「建公共中试检测平台（来源：2024年阳谷科技局）」等数据点清晰刻画了该维度的现实基础；建公共中试检测平台（来源：2024年阳谷科技局）。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融资规模、资金需求、融资方式」展开系统梳理，其中「功能食品产线与中试投资约4亿元（来源：2024年阳谷重点项目库）」与「提取与检测设备融资约1亿元（来源：2024年阳谷金融办）」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功能食品产线与中试投资约4亿元（来源：2024年阳谷重点项目库）。提取与检测设备融资约1亿元（来源：2024年阳谷金融办）。研发与备案约0.5亿元（来源：2024年阳谷科技局）。</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原料与库存周转缺口约2亿元（来源：2024年阳谷金融办）。市场与渠道约0.4亿元（来源：2024年阳谷商务局）。认证与标准约0.3亿元（来源：2024年阳谷市场监管）。</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争取健康食品专项与产业基金（来源：2024年山东省工信厅）。对接农业与创投基金（来源：2024年聊城市财政局）。推广知识产权质押融资（来源：2024年阳谷金融办）。</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融资规模、资金需求、融资方式」展开系统梳理，其中「功能食品产线与中试投资约4亿元（来源：2024年阳谷重点项目库）」与「提取与检测设备融资约1亿元（来源：2024年阳谷金融办）」等数据点清晰刻画了该维度的现实基础；功能食品产线与中试投资约4亿元（来源：2024年阳谷重点项目库）；提取与检测设备融资约1亿元（来源：2024年阳谷金融办）；研发与备案约0.5亿元（来源：2024年阳谷科技局）；原料与库存周转缺口约2亿元（来源：2024年阳谷金融办）。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药食同源功能食品开发在聊城市阳谷县依托区域产业基础与政策赋能，已形成以量化事实为支撑的发展格局。功能食品企业十余家、初具规模（来源：2024年阳谷工信局）；健康中国利好药食同源功能食品（来源：2024年国家卫健委）；先行县公共平台补贴研发中试（来源：2024年阳谷农业农村局）；检测与中试平台已建成（来源：2024年阳谷科技局）；中试平台服务配方放大（来源：2024年阳谷工信局）；电商与新零售触达康养人群（来源：2024年阳谷电商办）；蛋白肽产能达千吨级（来源：2024年阳谷工信局）；中试平台年服务企业十余家（来源：2024年阳谷科技局）。</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凤祥股份依托白羽肉鸡副产物布局蛋白肽与功能食品，建肉类深加工工程中心，提取鸡肉蛋白肽用于运动营养与特医食品原料，2024年深加工销量152.9百万千克中部分用于功能食品，是企业向高附加值营养品延伸的重要方向。其方向契合阳谷2024年入选省农产品加工先行县与凤祥蛋白肽资源的双重支撑。</w:t>
      </w:r>
    </w:p>
    <w:p>
      <w:pPr>
        <w:spacing w:lineRule="exact" w:line="600" w:before="0" w:after="0"/>
        <w:ind w:firstLine="420"/>
        <w:jc w:val="both"/>
      </w:pPr>
      <w:r>
        <w:rPr>
          <w:rFonts w:ascii="仿宋_GB2312" w:hAnsi="仿宋_GB2312" w:eastAsia="仿宋_GB2312"/>
          <w:b w:val="0"/>
          <w:color w:val="000000"/>
          <w:sz w:val="32"/>
        </w:rPr>
        <w:t>阳谷县本草与保健食品企业聚焦灵芝、山药、红枣等药食同源原料，开发代用茶、膏方与功能性零食，取得保健食品备案多项，联合山东中医药大学等高校攻关功能成分提取，产品通过电商与康养渠道销售，是阳谷药食同源开发的骨干。其方向契合阳谷2024年入选省农产品加工先行县与凤祥蛋白肽资源的双重支撑。</w:t>
      </w:r>
    </w:p>
    <w:p>
      <w:pPr>
        <w:spacing w:lineRule="exact" w:line="600" w:before="0" w:after="0"/>
        <w:ind w:firstLine="420"/>
        <w:jc w:val="both"/>
      </w:pPr>
      <w:r>
        <w:rPr>
          <w:rFonts w:ascii="仿宋_GB2312" w:hAnsi="仿宋_GB2312" w:eastAsia="仿宋_GB2312"/>
          <w:b w:val="0"/>
          <w:color w:val="000000"/>
          <w:sz w:val="32"/>
        </w:rPr>
        <w:t>阳谷功能食品代工与中试平台为中小食品企业提供配方研发、中试放大与检测认证服务，配备肽类提取与小试设备，2024年服务十余家企业，降低创新门槛，并对接农产品加工先行县公共平台，推动功能食品集群化发展。其方向契合阳谷2024年入选省农产品加工先行县与凤祥蛋白肽资源的双重支撑。</w:t>
      </w:r>
    </w:p>
    <w:p>
      <w:pPr>
        <w:spacing w:lineRule="exact" w:line="600" w:before="0" w:after="0"/>
        <w:jc w:val="left"/>
      </w:pPr>
      <w:r>
        <w:rPr>
          <w:rFonts w:ascii="仿宋_GB2312" w:hAnsi="仿宋_GB2312" w:eastAsia="仿宋_GB2312"/>
          <w:b w:val="0"/>
          <w:color w:val="000000"/>
          <w:sz w:val="28"/>
        </w:rPr>
        <w:t>主要数据来源：2024年阳谷县农产品加工先行县与功能食品产业资料；2024年凤祥股份年报与山东省工信厅健康食品规划</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