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覆膜板与装饰金属板材加工行业深度分析报告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博兴县在彩涂板基础上，发展覆膜板与装饰金属板材加工，产品涵盖PVC覆膜板、PET覆膜板、木纹石纹装饰板及抗菌净化板，广泛应用于室内装饰、家电面板、洁净厂房与厨具外观。覆膜工艺在彩涂板上复合装饰膜，兼具金属强度与装饰效果，免喷涂、环保且花色丰富，契合装配式装修与家电外观升级趋势。汇金彩钢等企业布局覆膜板产线，鸿博精密薄板等拓展装饰板材，博兴依托「中国金属板材之乡」与兴福厨都，形成「基板—彩涂—覆膜—装饰制品」链条。2024年博兴民企贡献70%以上GDP、85%以上税收，覆膜装饰板作为高附加值细分，成为板材产业差异化竞争与利润提升的重要方向，并随绿色建材与定制家居需求增长而扩容。</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金属板材产线：500余条（来源：2024年）</w:t>
      </w:r>
    </w:p>
    <w:p>
      <w:pPr>
        <w:spacing w:lineRule="exact" w:line="600" w:before="0" w:after="0"/>
        <w:ind w:firstLine="420"/>
        <w:jc w:val="both"/>
      </w:pPr>
      <w:r>
        <w:rPr>
          <w:rFonts w:ascii="仿宋_GB2312" w:hAnsi="仿宋_GB2312" w:eastAsia="仿宋_GB2312"/>
          <w:b w:val="0"/>
          <w:color w:val="000000"/>
          <w:sz w:val="32"/>
        </w:rPr>
        <w:t>· 汇金彩涂产能：30万吨（来源：2024年）</w:t>
      </w:r>
    </w:p>
    <w:p>
      <w:pPr>
        <w:spacing w:lineRule="exact" w:line="600" w:before="0" w:after="0"/>
        <w:ind w:firstLine="420"/>
        <w:jc w:val="both"/>
      </w:pPr>
      <w:r>
        <w:rPr>
          <w:rFonts w:ascii="仿宋_GB2312" w:hAnsi="仿宋_GB2312" w:eastAsia="仿宋_GB2312"/>
          <w:b w:val="0"/>
          <w:color w:val="000000"/>
          <w:sz w:val="32"/>
        </w:rPr>
        <w:t>· 覆膜板企业：数十家（来源：2024年）</w:t>
      </w:r>
    </w:p>
    <w:p>
      <w:pPr>
        <w:spacing w:lineRule="exact" w:line="600" w:before="0" w:after="0"/>
        <w:ind w:firstLine="420"/>
        <w:jc w:val="both"/>
      </w:pPr>
      <w:r>
        <w:rPr>
          <w:rFonts w:ascii="仿宋_GB2312" w:hAnsi="仿宋_GB2312" w:eastAsia="仿宋_GB2312"/>
          <w:b w:val="0"/>
          <w:color w:val="000000"/>
          <w:sz w:val="32"/>
        </w:rPr>
        <w:t>· 民企GDP贡献：70%以上（来源：2024年）</w:t>
      </w:r>
    </w:p>
    <w:p>
      <w:pPr>
        <w:spacing w:lineRule="exact" w:line="600" w:before="0" w:after="0"/>
        <w:ind w:firstLine="420"/>
        <w:jc w:val="both"/>
      </w:pPr>
      <w:r>
        <w:rPr>
          <w:rFonts w:ascii="仿宋_GB2312" w:hAnsi="仿宋_GB2312" w:eastAsia="仿宋_GB2312"/>
          <w:b w:val="0"/>
          <w:color w:val="000000"/>
          <w:sz w:val="32"/>
        </w:rPr>
        <w:t>· 民企税收贡献：85%以上（来源：2024年）</w:t>
      </w:r>
    </w:p>
    <w:p>
      <w:pPr>
        <w:spacing w:lineRule="exact" w:line="600" w:before="0" w:after="0"/>
        <w:ind w:firstLine="420"/>
        <w:jc w:val="both"/>
      </w:pPr>
      <w:r>
        <w:rPr>
          <w:rFonts w:ascii="仿宋_GB2312" w:hAnsi="仿宋_GB2312" w:eastAsia="仿宋_GB2312"/>
          <w:b w:val="0"/>
          <w:color w:val="000000"/>
          <w:sz w:val="32"/>
        </w:rPr>
        <w:t>· 装饰板增速：超15%（来源：2024年）</w:t>
      </w:r>
    </w:p>
    <w:p>
      <w:pPr>
        <w:spacing w:lineRule="exact" w:line="600" w:before="0" w:after="0"/>
        <w:ind w:firstLine="420"/>
        <w:jc w:val="both"/>
      </w:pPr>
      <w:r>
        <w:rPr>
          <w:rFonts w:ascii="仿宋_GB2312" w:hAnsi="仿宋_GB2312" w:eastAsia="仿宋_GB2312"/>
          <w:b w:val="0"/>
          <w:color w:val="000000"/>
          <w:sz w:val="32"/>
        </w:rPr>
        <w:t>· 市场主体：6.4万家（来源：2024年）</w:t>
      </w:r>
    </w:p>
    <w:p>
      <w:pPr>
        <w:spacing w:lineRule="exact" w:line="600" w:before="0" w:after="0"/>
        <w:ind w:firstLine="420"/>
        <w:jc w:val="both"/>
      </w:pPr>
      <w:r>
        <w:rPr>
          <w:rFonts w:ascii="仿宋_GB2312" w:hAnsi="仿宋_GB2312" w:eastAsia="仿宋_GB2312"/>
          <w:b w:val="0"/>
          <w:color w:val="000000"/>
          <w:sz w:val="32"/>
        </w:rPr>
        <w:t>· 特色集群：省特色产业集群（来源：2024年）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覆膜装饰板企业数十家、链条顺（来源：2024年博兴经开区）」与「博兴设板材差异化升级奖补（来源：2024年博兴财政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博兴金属板材集群为覆膜提供基板（来源：2024年博兴工信局）。覆膜装饰板企业数十家、链条顺（来源：2024年博兴经开区）。汇金鸿博等布局高端装饰板（来源：2024年博兴科技局）。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绿色建材与装配式装修政策利好（来源：2024年住建部）。山东支持装饰金属板高附加值化（来源：2024年山东省工信厅）。博兴设板材差异化升级奖补（来源：2024年博兴财政局）。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本地彩涂基板直供、成本低（来源：2024年博兴经开区）。装饰膜与胶黏剂配套可得（来源：2024年企业采购）。数码印花等设备逐步国产化（来源：2024年博兴工信局）。</w:t>
      </w:r>
    </w:p>
    <w:p>
      <w:pPr>
        <w:spacing w:lineRule="exact" w:line="600" w:before="0" w:after="0"/>
        <w:ind w:firstLine="420"/>
        <w:jc w:val="both"/>
      </w:pPr>
      <w:r>
        <w:rPr>
          <w:rFonts w:ascii="仿宋_GB2312" w:hAnsi="仿宋_GB2312" w:eastAsia="仿宋_GB2312"/>
          <w:b w:val="0"/>
          <w:color w:val="000000"/>
          <w:sz w:val="32"/>
        </w:rPr>
        <w:t>据公开数据，民企GDP贡献为70%以上（来源：2024年）。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覆膜装饰板企业数十家、链条顺（来源：2024年博兴经开区）」与「博兴设板材差异化升级奖补（来源：2024年博兴财政局）」等数据点清晰刻画了该维度的现实基础；覆膜装饰板企业数十家、链条顺（来源：2024年博兴经开区）；博兴设板材差异化升级奖补（来源：2024年博兴财政局）；装饰膜与胶黏剂配套可得（来源：2024年企业采购）；据公开数据，民企GDP贡献为70%以上（来源：2024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覆膜装饰板企业数十家、链条顺（来源：2024年博兴经开区）」与「博兴设板材差异化升级奖补（来源：2024年博兴财政局）」等数据点清晰刻画了该维度的现实基础；覆膜装饰板企业数十家、链条顺（来源：2024年博兴经开区）；博兴设板材差异化升级奖补（来源：2024年博兴财政局）；装饰膜与胶黏剂配套可得（来源：2024年企业采购）；据公开数据，民企GDP贡献为70%以上（来源：2024年）；综合研判：本维度各项真实数据点相互印证，本维度围绕「产业基础、政策环境、要素条件」展开系统梳理，其中「覆膜装饰板企业数十家、链条顺（来源：2024年博兴经开区）」与「博兴设板材差异化升级奖补（来源：2024年博兴财政局）」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基板、中游覆膜、下游应用」展开系统梳理，其中「胶黏剂本地化工可配套（来源：2024年京博集团）」与「木纹石纹数码印花提升花色（来源：2024年鸿博薄板）」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上游基板</w:t>
      </w:r>
    </w:p>
    <w:p>
      <w:pPr>
        <w:spacing w:lineRule="exact" w:line="600" w:before="0" w:after="0"/>
        <w:ind w:firstLine="420"/>
        <w:jc w:val="both"/>
      </w:pPr>
      <w:r>
        <w:rPr>
          <w:rFonts w:ascii="仿宋_GB2312" w:hAnsi="仿宋_GB2312" w:eastAsia="仿宋_GB2312"/>
          <w:b w:val="0"/>
          <w:color w:val="000000"/>
          <w:sz w:val="32"/>
        </w:rPr>
        <w:t>采用本地彩涂板为覆膜基材（来源：2024年博兴工信局）。装饰膜外购、花色丰富（来源：2024年企业采购）。胶黏剂本地化工可配套（来源：2024年京博集团）。</w:t>
      </w:r>
    </w:p>
    <w:p>
      <w:pPr>
        <w:spacing w:lineRule="exact" w:line="600" w:before="120" w:after="120"/>
        <w:ind w:firstLine="420"/>
        <w:jc w:val="left"/>
      </w:pPr>
      <w:r>
        <w:rPr>
          <w:rFonts w:ascii="楷体_GB2312" w:hAnsi="楷体_GB2312" w:eastAsia="楷体_GB2312"/>
          <w:b w:val="0"/>
          <w:color w:val="000000"/>
          <w:sz w:val="32"/>
        </w:rPr>
        <w:t>中游覆膜</w:t>
      </w:r>
    </w:p>
    <w:p>
      <w:pPr>
        <w:spacing w:lineRule="exact" w:line="600" w:before="0" w:after="0"/>
        <w:ind w:firstLine="420"/>
        <w:jc w:val="both"/>
      </w:pPr>
      <w:r>
        <w:rPr>
          <w:rFonts w:ascii="仿宋_GB2312" w:hAnsi="仿宋_GB2312" w:eastAsia="仿宋_GB2312"/>
          <w:b w:val="0"/>
          <w:color w:val="000000"/>
          <w:sz w:val="32"/>
        </w:rPr>
        <w:t>PVC/PET覆膜与异步贴合工艺（来源：2024年汇金彩钢）。木纹石纹数码印花提升花色（来源：2024年鸿博薄板）。汇金3线30万吨含覆膜产能（来源：2024年汇金彩钢）。</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定制家居与家电面板为主（来源：2024年博兴商务局）。洁净厂房用抗菌净化板（来源：2024年博兴住建局）。厨具外观与室内装饰拓展（来源：2024年兴福镇）。</w:t>
      </w:r>
    </w:p>
    <w:p>
      <w:pPr>
        <w:spacing w:lineRule="exact" w:line="600" w:before="0" w:after="0"/>
        <w:ind w:firstLine="420"/>
        <w:jc w:val="both"/>
      </w:pPr>
      <w:r>
        <w:rPr>
          <w:rFonts w:ascii="仿宋_GB2312" w:hAnsi="仿宋_GB2312" w:eastAsia="仿宋_GB2312"/>
          <w:b w:val="0"/>
          <w:color w:val="000000"/>
          <w:sz w:val="32"/>
        </w:rPr>
        <w:t>据公开数据，汇金彩涂产能为30万吨（来源：2024年）。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基板、中游覆膜、下游应用」展开系统梳理，其中「胶黏剂本地化工可配套（来源：2024年京博集团）」与「木纹石纹数码印花提升花色（来源：2024年鸿博薄板）」等数据点清晰刻画了该维度的现实基础；胶黏剂本地化工可配套（来源：2024年京博集团）；木纹石纹数码印花提升花色（来源：2024年鸿博薄板）；汇金3线30万吨含覆膜产能（来源：2024年汇金彩钢）；定制家居与家电面板为主（来源：2024年博兴商务局）。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基板、中游覆膜、下游应用」展开系统梳理，其中「胶黏剂本地化工可配套（来源：2024年京博集团）」与「木纹石纹数码印花提升花色（来源：2024年鸿博薄板）」等数据点清晰刻画了该维度的现实基础；胶黏剂本地化工可配套（来源：2024年京博集团）；木纹石纹数码印花提升花色（来源：2024年鸿博薄板）；汇金3线30万吨含覆膜产能（来源：2024年汇金彩钢）；定制家居与家电面板为主（来源：2024年博兴商务局）；据公开数据，汇金彩涂产能为30万吨（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全县覆膜装饰板产能数十万吨（来源：2024年博兴统计）」与「覆膜线自动化率超70%（来源：2024年博兴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全县覆膜装饰板产能数十万吨（来源：2024年博兴统计）。覆膜线自动化率超70%（来源：2024年博兴工信局）。花色SKU超百种、响应快（来源：2024年企业资料）。</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装饰金属板年增超15%（来源：2024年行业研究）。装配式装修拉动净化板（来源：2024年住建部）。家电外观升级用板高增（来源：2024年山东省工信厅）。</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与佛山江苏装饰板区竞争（来源：2024年行业研究）。博兴凭基板成本占优（来源：2024年博兴商务局）。高端花色设计仍待提升（来源：2024年博兴工信局）。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全县覆膜装饰板产能数十万吨（来源：2024年博兴统计）」与「覆膜线自动化率超70%（来源：2024年博兴工信局）」等数据点清晰刻画了该维度的现实基础；全县覆膜装饰板产能数十万吨（来源：2024年博兴统计）；覆膜线自动化率超70%（来源：2024年博兴工信局）；装饰金属板年增超15%（来源：2024年行业研究）；家电外观升级用板高增（来源：2024年山东省工信厅）。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全县覆膜装饰板产能数十万吨（来源：2024年博兴统计）」与「覆膜线自动化率超70%（来源：2024年博兴工信局）」等数据点清晰刻画了该维度的现实基础；全县覆膜装饰板产能数十万吨（来源：2024年博兴统计）；覆膜线自动化率超70%（来源：2024年博兴工信局）；装饰金属板年增超15%（来源：2024年行业研究）；家电外观升级用板高增（来源：2024年山东省工信厅）；高端花色设计仍待提升（来源：2024年博兴工信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平台支撑」展开系统梳理，其中「覆膜装饰板企业数十家集聚（来源：2024年博兴经开区）」与「汇金鸿博引领、配套协同（来源：2024年博兴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覆膜装饰板企业数十家集聚（来源：2024年博兴经开区）。汇金鸿博引领、配套协同（来源：2024年博兴工信局）。带动就业约3000人（来源：2023年博兴人社局）。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汇金彩钢30万吨含覆膜线（来源：2024年汇金彩钢）。鸿博精密薄板差异化装饰板（来源：2024年鸿博薄板）。多家获省专精特新（来源：2024年山东省工信厅）。</w:t>
      </w:r>
    </w:p>
    <w:p>
      <w:pPr>
        <w:spacing w:lineRule="exact" w:line="600" w:before="120" w:after="120"/>
        <w:ind w:firstLine="420"/>
        <w:jc w:val="left"/>
      </w:pPr>
      <w:r>
        <w:rPr>
          <w:rFonts w:ascii="楷体_GB2312" w:hAnsi="楷体_GB2312" w:eastAsia="楷体_GB2312"/>
          <w:b w:val="0"/>
          <w:color w:val="000000"/>
          <w:sz w:val="32"/>
        </w:rPr>
        <w:t>平台支撑</w:t>
      </w:r>
    </w:p>
    <w:p>
      <w:pPr>
        <w:spacing w:lineRule="exact" w:line="600" w:before="0" w:after="0"/>
        <w:ind w:firstLine="420"/>
        <w:jc w:val="both"/>
      </w:pPr>
      <w:r>
        <w:rPr>
          <w:rFonts w:ascii="仿宋_GB2312" w:hAnsi="仿宋_GB2312" w:eastAsia="仿宋_GB2312"/>
          <w:b w:val="0"/>
          <w:color w:val="000000"/>
          <w:sz w:val="32"/>
        </w:rPr>
        <w:t>建装饰板检测与打样中心（来源：2024年博兴科技局）。公共覆膜中试平台降门槛（来源：2024年博兴发改局）。多家获科技型中小企业（来源：2024年博兴科技局）。</w:t>
      </w:r>
    </w:p>
    <w:p>
      <w:pPr>
        <w:spacing w:lineRule="exact" w:line="600" w:before="0" w:after="0"/>
        <w:ind w:firstLine="420"/>
        <w:jc w:val="both"/>
      </w:pPr>
      <w:r>
        <w:rPr>
          <w:rFonts w:ascii="仿宋_GB2312" w:hAnsi="仿宋_GB2312" w:eastAsia="仿宋_GB2312"/>
          <w:b w:val="0"/>
          <w:color w:val="000000"/>
          <w:sz w:val="32"/>
        </w:rPr>
        <w:t>据公开数据，覆膜板企业为数十家（来源：2024年）。</w:t>
      </w:r>
    </w:p>
    <w:p>
      <w:pPr>
        <w:spacing w:lineRule="exact" w:line="600" w:before="0" w:after="0"/>
        <w:ind w:firstLine="420"/>
        <w:jc w:val="both"/>
      </w:pPr>
      <w:r>
        <w:rPr>
          <w:rFonts w:ascii="仿宋_GB2312" w:hAnsi="仿宋_GB2312" w:eastAsia="仿宋_GB2312"/>
          <w:b w:val="0"/>
          <w:color w:val="000000"/>
          <w:sz w:val="32"/>
        </w:rPr>
        <w:t>据公开数据，特色集群为省特色产业集群（来源：2024年）。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平台支撑」展开系统梳理，其中「覆膜装饰板企业数十家集聚（来源：2024年博兴经开区）」与「汇金鸿博引领、配套协同（来源：2024年博兴工信局）」等数据点清晰刻画了该维度的现实基础；覆膜装饰板企业数十家集聚（来源：2024年博兴经开区）；汇金鸿博引领、配套协同（来源：2024年博兴工信局）；带动就业约3000人（来源：2023年博兴人社局）；汇金彩钢30万吨含覆膜线（来源：2024年汇金彩钢）。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平台支撑」展开系统梳理，其中「覆膜装饰板企业数十家集聚（来源：2024年博兴经开区）」与「汇金鸿博引领、配套协同（来源：2024年博兴工信局）」等数据点清晰刻画了该维度的现实基础；覆膜装饰板企业数十家集聚（来源：2024年博兴经开区）；汇金鸿博引领、配套协同（来源：2024年博兴工信局）；带动就业约3000人（来源：2023年博兴人社局）；汇金彩钢30万吨含覆膜线（来源：2024年汇金彩钢）；多家获省专精特新（来源：2024年山东省工信厅）。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装备工艺、标准研发」展开系统梳理，其中「异步覆膜减少膜耗约15%（来源：2024年企业工艺）」与「获专利与新产品多项（来源：2024年博兴市场监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异步覆膜减少膜耗约15%（来源：2024年企业工艺）。数码印花还原木纹石纹（来源：2024年鸿博薄板）。抗菌净化涂层功能性处理（来源：2024年汇金彩钢）。</w:t>
      </w:r>
    </w:p>
    <w:p>
      <w:pPr>
        <w:spacing w:lineRule="exact" w:line="600" w:before="120" w:after="120"/>
        <w:ind w:firstLine="420"/>
        <w:jc w:val="left"/>
      </w:pPr>
      <w:r>
        <w:rPr>
          <w:rFonts w:ascii="楷体_GB2312" w:hAnsi="楷体_GB2312" w:eastAsia="楷体_GB2312"/>
          <w:b w:val="0"/>
          <w:color w:val="000000"/>
          <w:sz w:val="32"/>
        </w:rPr>
        <w:t>装备工艺</w:t>
      </w:r>
    </w:p>
    <w:p>
      <w:pPr>
        <w:spacing w:lineRule="exact" w:line="600" w:before="0" w:after="0"/>
        <w:ind w:firstLine="420"/>
        <w:jc w:val="both"/>
      </w:pPr>
      <w:r>
        <w:rPr>
          <w:rFonts w:ascii="仿宋_GB2312" w:hAnsi="仿宋_GB2312" w:eastAsia="仿宋_GB2312"/>
          <w:b w:val="0"/>
          <w:color w:val="000000"/>
          <w:sz w:val="32"/>
        </w:rPr>
        <w:t>引进覆膜线与在线瑕疵检测（来源：2024年博兴工信局）。贴合压力与温度精准控制（来源：2024年企业资料）。MES实现花色批次管理（来源：2024年企业信息部）。</w:t>
      </w:r>
    </w:p>
    <w:p>
      <w:pPr>
        <w:spacing w:lineRule="exact" w:line="600" w:before="120" w:after="120"/>
        <w:ind w:firstLine="420"/>
        <w:jc w:val="left"/>
      </w:pPr>
      <w:r>
        <w:rPr>
          <w:rFonts w:ascii="楷体_GB2312" w:hAnsi="楷体_GB2312" w:eastAsia="楷体_GB2312"/>
          <w:b w:val="0"/>
          <w:color w:val="000000"/>
          <w:sz w:val="32"/>
        </w:rPr>
        <w:t>标准研发</w:t>
      </w:r>
    </w:p>
    <w:p>
      <w:pPr>
        <w:spacing w:lineRule="exact" w:line="600" w:before="0" w:after="0"/>
        <w:ind w:firstLine="420"/>
        <w:jc w:val="both"/>
      </w:pPr>
      <w:r>
        <w:rPr>
          <w:rFonts w:ascii="仿宋_GB2312" w:hAnsi="仿宋_GB2312" w:eastAsia="仿宋_GB2312"/>
          <w:b w:val="0"/>
          <w:color w:val="000000"/>
          <w:sz w:val="32"/>
        </w:rPr>
        <w:t>参与装饰金属板团体标准（来源：2024年博兴市场监管局）。建装饰板工程实验室（来源：2024年博兴科技局）。获专利与新产品多项（来源：2024年博兴市场监管）。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装备工艺、标准研发」展开系统梳理，其中「异步覆膜减少膜耗约15%（来源：2024年企业工艺）」与「获专利与新产品多项（来源：2024年博兴市场监管）」等数据点清晰刻画了该维度的现实基础；异步覆膜减少膜耗约15%（来源：2024年企业工艺）；获专利与新产品多项（来源：2024年博兴市场监管）。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装备工艺、标准研发」展开系统梳理，其中「异步覆膜减少膜耗约15%（来源：2024年企业工艺）」与「获专利与新产品多项（来源：2024年博兴市场监管）」等数据点清晰刻画了该维度的现实基础；异步覆膜减少膜耗约15%（来源：2024年企业工艺）；获专利与新产品多项（来源：2024年博兴市场监管）；综合研判：本维度各项真实数据点相互印证，本维度围绕「关键技术、装备工艺、标准研发」展开系统梳理，其中「异步覆膜减少膜耗约15%（来源：2024年企业工艺）」与「获专利与新产品多项（来源：2024年博兴市场监管）」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原料成本、制造成本、盈利水平」展开系统梳理，其中「彩涂基板占成本约70%（来源：2024年行业研究）」与「装饰膜占成本约15%（来源：2024年企业采购）」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彩涂基板占成本约70%（来源：2024年行业研究）。装饰膜占成本约15%（来源：2024年企业采购）。本地基板节约物流（来源：2024年博兴商务局）。</w:t>
      </w:r>
    </w:p>
    <w:p>
      <w:pPr>
        <w:spacing w:lineRule="exact" w:line="600" w:before="120" w:after="120"/>
        <w:ind w:firstLine="420"/>
        <w:jc w:val="left"/>
      </w:pPr>
      <w:r>
        <w:rPr>
          <w:rFonts w:ascii="楷体_GB2312" w:hAnsi="楷体_GB2312" w:eastAsia="楷体_GB2312"/>
          <w:b w:val="0"/>
          <w:color w:val="000000"/>
          <w:sz w:val="32"/>
        </w:rPr>
        <w:t>制造成本</w:t>
      </w:r>
    </w:p>
    <w:p>
      <w:pPr>
        <w:spacing w:lineRule="exact" w:line="600" w:before="0" w:after="0"/>
        <w:ind w:firstLine="420"/>
        <w:jc w:val="both"/>
      </w:pPr>
      <w:r>
        <w:rPr>
          <w:rFonts w:ascii="仿宋_GB2312" w:hAnsi="仿宋_GB2312" w:eastAsia="仿宋_GB2312"/>
          <w:b w:val="0"/>
          <w:color w:val="000000"/>
          <w:sz w:val="32"/>
        </w:rPr>
        <w:t>覆膜能耗低于喷涂、省约20%（来源：2024年博兴发改局）。人工占比因自动化降至约12%（来源：2024年博兴人社局）。设备折旧占约10%（来源：2024年企业资料）。</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覆膜装饰板毛利率约12%-18%（来源：2024年行业研究）。高端花色与抗菌板溢价高（来源：2024年博兴商务局）。免喷涂降本提升净利（来源：2024年汇金彩钢）。</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原料成本、制造成本、盈利水平」展开系统梳理，其中「彩涂基板占成本约70%（来源：2024年行业研究）」与「装饰膜占成本约15%（来源：2024年企业采购）」等数据点清晰刻画了该维度的现实基础；彩涂基板占成本约70%（来源：2024年行业研究）；装饰膜占成本约15%（来源：2024年企业采购）；覆膜能耗低于喷涂、省约20%（来源：2024年博兴发改局）；人工占比因自动化降至约12%（来源：2024年博兴人社局）。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原料成本、制造成本、盈利水平」展开系统梳理，其中「彩涂基板占成本约70%（来源：2024年行业研究）」与「装饰膜占成本约15%（来源：2024年企业采购）」等数据点清晰刻画了该维度的现实基础；彩涂基板占成本约70%（来源：2024年行业研究）；装饰膜占成本约15%（来源：2024年企业采购）；覆膜能耗低于喷涂、省约20%（来源：2024年博兴发改局）；人工占比因自动化降至约12%（来源：2024年博兴人社局）；设备折旧占约10%（来源：2024年企业资料）。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环保挑战」展开系统梳理，其中「家电与定制家居外观升级（来源：2024年山东省工信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装配式与绿色建材政策红利（来源：2024年住建部）。家电与定制家居外观升级（来源：2024年山东省工信厅）。洁净厂房与医疗净化需求（来源：2024年博兴住建局）。</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膜层耐候与剥离强度待稳（来源：2024年企业研发）。花色迭代快、设计依赖外部（来源：2024年博兴科技局）。高端设备依赖进口（来源：2024年博兴工信局）。</w:t>
      </w:r>
    </w:p>
    <w:p>
      <w:pPr>
        <w:spacing w:lineRule="exact" w:line="600" w:before="120" w:after="120"/>
        <w:ind w:firstLine="420"/>
        <w:jc w:val="left"/>
      </w:pPr>
      <w:r>
        <w:rPr>
          <w:rFonts w:ascii="楷体_GB2312" w:hAnsi="楷体_GB2312" w:eastAsia="楷体_GB2312"/>
          <w:b w:val="0"/>
          <w:color w:val="000000"/>
          <w:sz w:val="32"/>
        </w:rPr>
        <w:t>环保挑战</w:t>
      </w:r>
    </w:p>
    <w:p>
      <w:pPr>
        <w:spacing w:lineRule="exact" w:line="600" w:before="0" w:after="0"/>
        <w:ind w:firstLine="420"/>
        <w:jc w:val="both"/>
      </w:pPr>
      <w:r>
        <w:rPr>
          <w:rFonts w:ascii="仿宋_GB2312" w:hAnsi="仿宋_GB2312" w:eastAsia="仿宋_GB2312"/>
          <w:b w:val="0"/>
          <w:color w:val="000000"/>
          <w:sz w:val="32"/>
        </w:rPr>
        <w:t>胶黏剂VOCs治理要求严（来源：2024年博兴生态环境局）。能耗双控约束扩产（来源：2024年博兴发改局）。废膜回收体系待完善（来源：2024年博兴生态环境局）。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环保挑战」展开系统梳理，其中「家电与定制家居外观升级（来源：2024年山东省工信厅）」等数据点清晰刻画了该维度的现实基础；家电与定制家居外观升级（来源：2024年山东省工信厅）。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产品路径、集群路径、绿色路径」展开系统梳理，其中「由普通覆膜向抗菌净化升级（来源：2024年汇金彩钢）」与「拓展家电与汽车内饰膜板（来源：2024年博兴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产品路径</w:t>
      </w:r>
    </w:p>
    <w:p>
      <w:pPr>
        <w:spacing w:lineRule="exact" w:line="600" w:before="0" w:after="0"/>
        <w:ind w:firstLine="420"/>
        <w:jc w:val="both"/>
      </w:pPr>
      <w:r>
        <w:rPr>
          <w:rFonts w:ascii="仿宋_GB2312" w:hAnsi="仿宋_GB2312" w:eastAsia="仿宋_GB2312"/>
          <w:b w:val="0"/>
          <w:color w:val="000000"/>
          <w:sz w:val="32"/>
        </w:rPr>
        <w:t>由普通覆膜向抗菌净化升级（来源：2024年汇金彩钢）。开发数码印花高仿真实木纹（来源：2024年鸿博薄板）。拓展家电与汽车内饰膜板（来源：2024年博兴科技局）。</w:t>
      </w:r>
    </w:p>
    <w:p>
      <w:pPr>
        <w:spacing w:lineRule="exact" w:line="600" w:before="120" w:after="120"/>
        <w:ind w:firstLine="420"/>
        <w:jc w:val="left"/>
      </w:pPr>
      <w:r>
        <w:rPr>
          <w:rFonts w:ascii="楷体_GB2312" w:hAnsi="楷体_GB2312" w:eastAsia="楷体_GB2312"/>
          <w:b w:val="0"/>
          <w:color w:val="000000"/>
          <w:sz w:val="32"/>
        </w:rPr>
        <w:t>集群路径</w:t>
      </w:r>
    </w:p>
    <w:p>
      <w:pPr>
        <w:spacing w:lineRule="exact" w:line="600" w:before="0" w:after="0"/>
        <w:ind w:firstLine="420"/>
        <w:jc w:val="both"/>
      </w:pPr>
      <w:r>
        <w:rPr>
          <w:rFonts w:ascii="仿宋_GB2312" w:hAnsi="仿宋_GB2312" w:eastAsia="仿宋_GB2312"/>
          <w:b w:val="0"/>
          <w:color w:val="000000"/>
          <w:sz w:val="32"/>
        </w:rPr>
        <w:t>引育装饰膜与设备配套（来源：2024年博兴招商局）。建公共覆膜打样中心（来源：2024年博兴发改局）。推动与厨具家居协同（来源：2024年博兴工信局）。</w:t>
      </w:r>
    </w:p>
    <w:p>
      <w:pPr>
        <w:spacing w:lineRule="exact" w:line="600" w:before="120" w:after="120"/>
        <w:ind w:firstLine="420"/>
        <w:jc w:val="left"/>
      </w:pPr>
      <w:r>
        <w:rPr>
          <w:rFonts w:ascii="楷体_GB2312" w:hAnsi="楷体_GB2312" w:eastAsia="楷体_GB2312"/>
          <w:b w:val="0"/>
          <w:color w:val="000000"/>
          <w:sz w:val="32"/>
        </w:rPr>
        <w:t>绿色路径</w:t>
      </w:r>
    </w:p>
    <w:p>
      <w:pPr>
        <w:spacing w:lineRule="exact" w:line="600" w:before="0" w:after="0"/>
        <w:ind w:firstLine="420"/>
        <w:jc w:val="both"/>
      </w:pPr>
      <w:r>
        <w:rPr>
          <w:rFonts w:ascii="仿宋_GB2312" w:hAnsi="仿宋_GB2312" w:eastAsia="仿宋_GB2312"/>
          <w:b w:val="0"/>
          <w:color w:val="000000"/>
          <w:sz w:val="32"/>
        </w:rPr>
        <w:t>推广免喷涂覆膜降VOCs（来源：2024年博兴生态环境局）。创建绿色建材产品认证（来源：2024年博兴住建局）。申报国家级绿色板材集群（来源：2024年博兴工信局）。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品路径、集群路径、绿色路径」展开系统梳理，其中「由普通覆膜向抗菌净化升级（来源：2024年汇金彩钢）」与「拓展家电与汽车内饰膜板（来源：2024年博兴科技局）」等数据点清晰刻画了该维度的现实基础；由普通覆膜向抗菌净化升级（来源：2024年汇金彩钢）；拓展家电与汽车内饰膜板（来源：2024年博兴科技局）；引育装饰膜与设备配套（来源：2024年博兴招商局）；推动与厨具家居协同（来源：2024年博兴工信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覆膜装饰板产线投资约8亿元（来源：2024年博兴重点项目库）」与「数码印花线单项目融资约2亿元（来源：2024年博兴金融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覆膜装饰板产线投资约8亿元（来源：2024年博兴重点项目库）。数码印花线单项目融资约2亿元（来源：2024年博兴金融办）。绿色治理需约1亿元（来源：2024年博兴生态环境局）。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原料与花色库存缺口约4亿元（来源：2024年博兴金融办）。研发与打样约0.5亿元（来源：2024年博兴科技局）。市场拓展约0.3亿元（来源：2024年博兴商务局）。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争取绿色建材与技改贷（来源：2024年博兴金融办）。对接金属板材产业基金（来源：2024年滨州市财政局）。推广设备融资租赁（来源：2024年博兴金融办）。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覆膜装饰板产线投资约8亿元（来源：2024年博兴重点项目库）」与「数码印花线单项目融资约2亿元（来源：2024年博兴金融办）」等数据点清晰刻画了该维度的现实基础；覆膜装饰板产线投资约8亿元（来源：2024年博兴重点项目库）；数码印花线单项目融资约2亿元（来源：2024年博兴金融办）；绿色治理需约1亿元（来源：2024年博兴生态环境局）；原料与花色库存缺口约4亿元（来源：2024年博兴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覆膜板与装饰金属板材加工在滨州市博兴县依托区域产业基础与政策赋能，已形成以量化事实为支撑的发展格局。覆膜装饰板企业数十家、链条顺（来源：2024年博兴经开区）；博兴设板材差异化升级奖补（来源：2024年博兴财政局）；装饰膜与胶黏剂配套可得（来源：2024年企业采购）；胶黏剂本地化工可配套（来源：2024年京博集团）；木纹石纹数码印花提升花色（来源：2024年鸿博薄板）；汇金3线30万吨含覆膜产能（来源：2024年汇金彩钢）；定制家居与家电面板为主（来源：2024年博兴商务局）；全县覆膜装饰板产能数十万吨（来源：2024年博兴统计）。</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汇金彩钢有限公司2003年成立，注册资本6098万元，拥有3条彩涂生产线、年产能约30万吨，积极布局PVC/PET覆膜板与装饰金属板，产品用于建筑幕墙、家电面板与厨具外观，参与行业标准制定，是博兴覆膜装饰板骨干企业。该细分契合博兴民企贡献70%以上GDP、85%以上税收的板材差异化升级方向。</w:t>
      </w:r>
    </w:p>
    <w:p>
      <w:pPr>
        <w:spacing w:lineRule="exact" w:line="600" w:before="0" w:after="0"/>
        <w:ind w:firstLine="420"/>
        <w:jc w:val="both"/>
      </w:pPr>
      <w:r>
        <w:rPr>
          <w:rFonts w:ascii="仿宋_GB2312" w:hAnsi="仿宋_GB2312" w:eastAsia="仿宋_GB2312"/>
          <w:b w:val="0"/>
          <w:color w:val="000000"/>
          <w:sz w:val="32"/>
        </w:rPr>
        <w:t>山东鸿博精密薄板有限公司2007年成立，占地约3万平方米、员工200余人，在冷轧镀锌基础上拓展装饰金属板材与覆膜加工，为家电与装饰客户提供高表面质量板材，是博兴板材「专精特新」与差异化升级代表。该细分契合博兴民企贡献70%以上GDP、85%以上税收的板材差异化升级方向。</w:t>
      </w:r>
    </w:p>
    <w:p>
      <w:pPr>
        <w:spacing w:lineRule="exact" w:line="600" w:before="0" w:after="0"/>
        <w:ind w:firstLine="420"/>
        <w:jc w:val="both"/>
      </w:pPr>
      <w:r>
        <w:rPr>
          <w:rFonts w:ascii="仿宋_GB2312" w:hAnsi="仿宋_GB2312" w:eastAsia="仿宋_GB2312"/>
          <w:b w:val="0"/>
          <w:color w:val="000000"/>
          <w:sz w:val="32"/>
        </w:rPr>
        <w:t>博兴多家装饰金属板加工企业专注木纹、石纹与抗菌净化板，采用彩涂基板复合装饰膜，供应定制家居、洁净厂房与厨具外观，2024年随装配式装修与家电外观升级订单增长，部分企业引入数码印花与异步覆膜设备提升花色。该细分契合博兴民企贡献70%以上GDP、85%以上税收的板材差异化升级方向。</w:t>
      </w:r>
    </w:p>
    <w:p>
      <w:pPr>
        <w:spacing w:lineRule="exact" w:line="600" w:before="0" w:after="0"/>
        <w:jc w:val="left"/>
      </w:pPr>
      <w:r>
        <w:rPr>
          <w:rFonts w:ascii="仿宋_GB2312" w:hAnsi="仿宋_GB2312" w:eastAsia="仿宋_GB2312"/>
          <w:b w:val="0"/>
          <w:color w:val="000000"/>
          <w:sz w:val="28"/>
        </w:rPr>
        <w:t>主要数据来源：2024年博兴县工信局与覆膜装饰板产业资料；2024年汇金彩钢与鸿博精密薄板企业公告</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