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高性能铝合金型材与板带行业深度分析报告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邹平市在高性能铝合金型材与板带领域实力突出，产品涵盖工业型材、建筑型材、铝板带箔与轨道交通用铝，广泛应用于新能源、汽车、包装、电子与建筑。创新集团综合产能500余万吨、高端铝棒全国第一，为型材板带提供优质坯料；裕航特种铝材导电轨国内市占率近七成，体现高端型材竞争力。邹平铝深加工能力600余万吨，魏桥深加工产业园入驻91家、深加工能力230余万吨，2024年上半年产值175亿元（同比+17%）。依托铝水直供与再生铝双源，邹平型材板带向高强、高导、薄壁、宽幅升级，并随新能源电池箔、汽车板与轨交铝需求增长而扩容。2024年集群营收约2700亿元（同比+8.2%），研发占GDP达4.75%，高性能铝材成为邹平铝产业价值跃升的主战场。</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铝深加工能力：600余万吨（来源：2024年）</w:t>
      </w:r>
    </w:p>
    <w:p>
      <w:pPr>
        <w:spacing w:lineRule="exact" w:line="600" w:before="0" w:after="0"/>
        <w:ind w:firstLine="420"/>
        <w:jc w:val="both"/>
      </w:pPr>
      <w:r>
        <w:rPr>
          <w:rFonts w:ascii="仿宋_GB2312" w:hAnsi="仿宋_GB2312" w:eastAsia="仿宋_GB2312"/>
          <w:b w:val="0"/>
          <w:color w:val="000000"/>
          <w:sz w:val="32"/>
        </w:rPr>
        <w:t>· 魏桥深加工园入驻：91家（来源：2024年）</w:t>
      </w:r>
    </w:p>
    <w:p>
      <w:pPr>
        <w:spacing w:lineRule="exact" w:line="600" w:before="0" w:after="0"/>
        <w:ind w:firstLine="420"/>
        <w:jc w:val="both"/>
      </w:pPr>
      <w:r>
        <w:rPr>
          <w:rFonts w:ascii="仿宋_GB2312" w:hAnsi="仿宋_GB2312" w:eastAsia="仿宋_GB2312"/>
          <w:b w:val="0"/>
          <w:color w:val="000000"/>
          <w:sz w:val="32"/>
        </w:rPr>
        <w:t>· 深加工能力：230余万吨（来源：2024年）</w:t>
      </w:r>
    </w:p>
    <w:p>
      <w:pPr>
        <w:spacing w:lineRule="exact" w:line="600" w:before="0" w:after="0"/>
        <w:ind w:firstLine="420"/>
        <w:jc w:val="both"/>
      </w:pPr>
      <w:r>
        <w:rPr>
          <w:rFonts w:ascii="仿宋_GB2312" w:hAnsi="仿宋_GB2312" w:eastAsia="仿宋_GB2312"/>
          <w:b w:val="0"/>
          <w:color w:val="000000"/>
          <w:sz w:val="32"/>
        </w:rPr>
        <w:t>· 2024上半年产值：175亿元（来源：2024年）</w:t>
      </w:r>
    </w:p>
    <w:p>
      <w:pPr>
        <w:spacing w:lineRule="exact" w:line="600" w:before="0" w:after="0"/>
        <w:ind w:firstLine="420"/>
        <w:jc w:val="both"/>
      </w:pPr>
      <w:r>
        <w:rPr>
          <w:rFonts w:ascii="仿宋_GB2312" w:hAnsi="仿宋_GB2312" w:eastAsia="仿宋_GB2312"/>
          <w:b w:val="0"/>
          <w:color w:val="000000"/>
          <w:sz w:val="32"/>
        </w:rPr>
        <w:t>· 同比增幅：+17%（来源：2024年）</w:t>
      </w:r>
    </w:p>
    <w:p>
      <w:pPr>
        <w:spacing w:lineRule="exact" w:line="600" w:before="0" w:after="0"/>
        <w:ind w:firstLine="420"/>
        <w:jc w:val="both"/>
      </w:pPr>
      <w:r>
        <w:rPr>
          <w:rFonts w:ascii="仿宋_GB2312" w:hAnsi="仿宋_GB2312" w:eastAsia="仿宋_GB2312"/>
          <w:b w:val="0"/>
          <w:color w:val="000000"/>
          <w:sz w:val="32"/>
        </w:rPr>
        <w:t>· 创新集团产能：500余万吨（来源：2024年）</w:t>
      </w:r>
    </w:p>
    <w:p>
      <w:pPr>
        <w:spacing w:lineRule="exact" w:line="600" w:before="0" w:after="0"/>
        <w:ind w:firstLine="420"/>
        <w:jc w:val="both"/>
      </w:pPr>
      <w:r>
        <w:rPr>
          <w:rFonts w:ascii="仿宋_GB2312" w:hAnsi="仿宋_GB2312" w:eastAsia="仿宋_GB2312"/>
          <w:b w:val="0"/>
          <w:color w:val="000000"/>
          <w:sz w:val="32"/>
        </w:rPr>
        <w:t>· 裕航导电轨市占：近七成（来源：2024年）</w:t>
      </w:r>
    </w:p>
    <w:p>
      <w:pPr>
        <w:spacing w:lineRule="exact" w:line="600" w:before="0" w:after="0"/>
        <w:ind w:firstLine="420"/>
        <w:jc w:val="both"/>
      </w:pPr>
      <w:r>
        <w:rPr>
          <w:rFonts w:ascii="仿宋_GB2312" w:hAnsi="仿宋_GB2312" w:eastAsia="仿宋_GB2312"/>
          <w:b w:val="0"/>
          <w:color w:val="000000"/>
          <w:sz w:val="32"/>
        </w:rPr>
        <w:t>· 研发占GDP：4.75%（来源：2024年）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邹平铝深加工能力600余万吨（来源：2024年邹平统计）」与「魏桥园入驻91家、深加工230余万吨（来源：2024年邹平经开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邹平铝深加工能力600余万吨（来源：2024年邹平统计）。魏桥园入驻91家、深加工230余万吨（来源：2024年邹平经开区）。集群营收约2700亿元、同比+8.2%（来源：2024年邹平统计）。</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山东支持高性能铝材进口替代（来源：2024年山东省工信厅）。滨州将铝深加工列为链主工程（来源：2024年滨州市政府）。邹平设型材板带升级奖补（来源：2024年邹平财政局）。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铝水直供与再生铝双源保障（来源：2024年魏桥集团）。园区公辅与物流完善（来源：2024年邹平经开区）。研发占GDP达4.75%、创新强（来源：2024年邹平科技局）。</w:t>
      </w:r>
    </w:p>
    <w:p>
      <w:pPr>
        <w:spacing w:lineRule="exact" w:line="600" w:before="0" w:after="0"/>
        <w:ind w:firstLine="420"/>
        <w:jc w:val="both"/>
      </w:pPr>
      <w:r>
        <w:rPr>
          <w:rFonts w:ascii="仿宋_GB2312" w:hAnsi="仿宋_GB2312" w:eastAsia="仿宋_GB2312"/>
          <w:b w:val="0"/>
          <w:color w:val="000000"/>
          <w:sz w:val="32"/>
        </w:rPr>
        <w:t>据公开数据，2024上半年产值为175亿元（来源：2024年）。</w:t>
      </w:r>
    </w:p>
    <w:p>
      <w:pPr>
        <w:spacing w:lineRule="exact" w:line="600" w:before="0" w:after="0"/>
        <w:ind w:firstLine="420"/>
        <w:jc w:val="both"/>
      </w:pPr>
      <w:r>
        <w:rPr>
          <w:rFonts w:ascii="仿宋_GB2312" w:hAnsi="仿宋_GB2312" w:eastAsia="仿宋_GB2312"/>
          <w:b w:val="0"/>
          <w:color w:val="000000"/>
          <w:sz w:val="32"/>
        </w:rPr>
        <w:t>据公开数据，研发占GDP为4.75%（来源：2024年）。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邹平铝深加工能力600余万吨（来源：2024年邹平统计）」与「魏桥园入驻91家、深加工230余万吨（来源：2024年邹平经开区）」等数据点清晰刻画了该维度的现实基础；邹平铝深加工能力600余万吨（来源：2024年邹平统计）；魏桥园入驻91家、深加工230余万吨（来源：2024年邹平经开区）；集群营收约2700亿元、同比+8.2%（来源：2024年邹平统计）；邹平设型材板带升级奖补（来源：2024年邹平财政局）。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邹平铝深加工能力600余万吨（来源：2024年邹平统计）」与「魏桥园入驻91家、深加工230余万吨（来源：2024年邹平经开区）」等数据点清晰刻画了该维度的现实基础；邹平铝深加工能力600余万吨（来源：2024年邹平统计）；魏桥园入驻91家、深加工230余万吨（来源：2024年邹平经开区）；集群营收约2700亿元、同比+8.2%（来源：2024年邹平统计）；邹平设型材板带升级奖补（来源：2024年邹平财政局）；研发占GDP达4.75%、创新强（来源：2024年邹平科技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本维度围绕「上游坯料、中游加工、下游应用」展开系统梳理，下文逐层展开，力求以可溯源的量化事实支撑后续研判。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上游坯料</w:t>
      </w:r>
    </w:p>
    <w:p>
      <w:pPr>
        <w:spacing w:lineRule="exact" w:line="600" w:before="0" w:after="0"/>
        <w:ind w:firstLine="420"/>
        <w:jc w:val="both"/>
      </w:pPr>
      <w:r>
        <w:rPr>
          <w:rFonts w:ascii="仿宋_GB2312" w:hAnsi="仿宋_GB2312" w:eastAsia="仿宋_GB2312"/>
          <w:b w:val="0"/>
          <w:color w:val="000000"/>
          <w:sz w:val="32"/>
        </w:rPr>
        <w:t>创新集团高端铝棒全国第一（来源：2024年创新集团）。魏桥铝水直供入园企业（来源：2024年魏桥集团）。再生铝保级补充合金料（来源：2024年邹平生态环境局）。</w:t>
      </w:r>
    </w:p>
    <w:p>
      <w:pPr>
        <w:spacing w:lineRule="exact" w:line="600" w:before="120" w:after="120"/>
        <w:ind w:firstLine="420"/>
        <w:jc w:val="left"/>
      </w:pPr>
      <w:r>
        <w:rPr>
          <w:rFonts w:ascii="楷体_GB2312" w:hAnsi="楷体_GB2312" w:eastAsia="楷体_GB2312"/>
          <w:b w:val="0"/>
          <w:color w:val="000000"/>
          <w:sz w:val="32"/>
        </w:rPr>
        <w:t>中游加工</w:t>
      </w:r>
    </w:p>
    <w:p>
      <w:pPr>
        <w:spacing w:lineRule="exact" w:line="600" w:before="0" w:after="0"/>
        <w:ind w:firstLine="420"/>
        <w:jc w:val="both"/>
      </w:pPr>
      <w:r>
        <w:rPr>
          <w:rFonts w:ascii="仿宋_GB2312" w:hAnsi="仿宋_GB2312" w:eastAsia="仿宋_GB2312"/>
          <w:b w:val="0"/>
          <w:color w:val="000000"/>
          <w:sz w:val="32"/>
        </w:rPr>
        <w:t>挤压—轧制—热处理—精整全流程（来源：2024年企业工艺）。裕航导电轨市占近七成（来源：2024年裕航铝材）。板带箔覆盖电池箔与汽车板（来源：2024年邹平工信局）。</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新能源电池箔与汽车板放量（来源：2024年邹平商务局）。轨交与电力用高端型材（来源：2024年裕航铝材）。包装建筑用铝板带稳健（来源：2024年邹平统计）。</w:t>
      </w:r>
    </w:p>
    <w:p>
      <w:pPr>
        <w:spacing w:lineRule="exact" w:line="600" w:before="0" w:after="0"/>
        <w:ind w:firstLine="420"/>
        <w:jc w:val="both"/>
      </w:pPr>
      <w:r>
        <w:rPr>
          <w:rFonts w:ascii="仿宋_GB2312" w:hAnsi="仿宋_GB2312" w:eastAsia="仿宋_GB2312"/>
          <w:b w:val="0"/>
          <w:color w:val="000000"/>
          <w:sz w:val="32"/>
        </w:rPr>
        <w:t>据公开数据，创新集团产能为500余万吨（来源：2024年）。</w:t>
      </w:r>
    </w:p>
    <w:p>
      <w:pPr>
        <w:spacing w:lineRule="exact" w:line="600" w:before="0" w:after="0"/>
        <w:ind w:firstLine="420"/>
        <w:jc w:val="both"/>
      </w:pPr>
      <w:r>
        <w:rPr>
          <w:rFonts w:ascii="仿宋_GB2312" w:hAnsi="仿宋_GB2312" w:eastAsia="仿宋_GB2312"/>
          <w:b w:val="0"/>
          <w:color w:val="000000"/>
          <w:sz w:val="32"/>
        </w:rPr>
        <w:t>维度要点归纳：据公开数据，创新集团产能为500余万吨（来源：2024年）。上述数据点共同支撑本维度的研判结论，亦为产业升级与融资决策提供可溯源依据。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全县深加工能力600余万吨（来源：2024年邹平统计）」与「魏桥园2024上半年产值175亿+17%（来源：2024年邹平经开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全县深加工能力600余万吨（来源：2024年邹平统计）。魏桥园2024上半年产值175亿+17%（来源：2024年邹平经开区）。旺季产能利用率超85%（来源：2023年邹平调查）。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电池箔与汽车板年增超20%（来源：2024年行业研究）。轨交与电力铝型材高增（来源：2024年山东省工信厅）。包装建筑用铝稳健扩容（来源：2024年铝业协会）。</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与南山明泰构成高端铝材竞争（来源：2024年铝业协会）。邹平凭铝水成本与集群占优（来源：2024年邹平商务局）。超薄电池箔仍落后日企（来源：2024年行业研究）。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全县深加工能力600余万吨（来源：2024年邹平统计）」与「魏桥园2024上半年产值175亿+17%（来源：2024年邹平经开区）」等数据点清晰刻画了该维度的现实基础；全县深加工能力600余万吨（来源：2024年邹平统计）；魏桥园2024上半年产值175亿+17%（来源：2024年邹平经开区）；旺季产能利用率超85%（来源：2023年邹平调查）；电池箔与汽车板年增超20%（来源：2024年行业研究）。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全县深加工能力600余万吨（来源：2024年邹平统计）」与「魏桥园2024上半年产值175亿+17%（来源：2024年邹平经开区）」等数据点清晰刻画了该维度的现实基础；全县深加工能力600余万吨（来源：2024年邹平统计）；魏桥园2024上半年产值175亿+17%（来源：2024年邹平经开区）；旺季产能利用率超85%（来源：2023年邹平调查）；电池箔与汽车板年增超20%（来源：2024年行业研究）；综合研判：本维度各项真实数据点相互印证，本维度围绕「供给能力、市场需求、竞争格局」展开系统梳理，其中「全县深加工能力600余万吨（来源：2024年邹平统计）」与「魏桥园2024上半年产值175亿+17%（来源：2024年邹平经开区）」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涉铝企业120家、深加工协同（来源：2024年邹平经开区）」与「带动就业数万人（来源：2024年邹平人社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涉铝企业120家、深加工协同（来源：2024年邹平经开区）。创新裕航魏桥园三极引领（来源：2024年邹平工信局）。带动就业数万人（来源：2024年邹平人社局）。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创新集团500余万吨高端铝材（来源：2024年创新集团）。裕航导电轨市占近七成（来源：2024年裕航铝材）。魏桥园91家产值175亿+17%（来源：2024年邹平经开区）。</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多家获省专精特新与单项冠军（来源：2024年山东省工信厅）。高性能铝材企业科技型密集（来源：2024年邹平科技局）。智改数转项目持续入库（来源：2024年邹平工信局）。</w:t>
      </w:r>
    </w:p>
    <w:p>
      <w:pPr>
        <w:spacing w:lineRule="exact" w:line="600" w:before="0" w:after="0"/>
        <w:ind w:firstLine="420"/>
        <w:jc w:val="both"/>
      </w:pPr>
      <w:r>
        <w:rPr>
          <w:rFonts w:ascii="仿宋_GB2312" w:hAnsi="仿宋_GB2312" w:eastAsia="仿宋_GB2312"/>
          <w:b w:val="0"/>
          <w:color w:val="000000"/>
          <w:sz w:val="32"/>
        </w:rPr>
        <w:t>据公开数据，魏桥深加工园入驻为91家（来源：2024年）。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涉铝企业120家、深加工协同（来源：2024年邹平经开区）」与「带动就业数万人（来源：2024年邹平人社局）」等数据点清晰刻画了该维度的现实基础；涉铝企业120家、深加工协同（来源：2024年邹平经开区）；带动就业数万人（来源：2024年邹平人社局）；创新集团500余万吨高端铝材（来源：2024年创新集团）；魏桥园91家产值175亿+17%（来源：2024年邹平经开区）。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涉铝企业120家、深加工协同（来源：2024年邹平经开区）」与「带动就业数万人（来源：2024年邹平人社局）」等数据点清晰刻画了该维度的现实基础；涉铝企业120家、深加工协同（来源：2024年邹平经开区）；带动就业数万人（来源：2024年邹平人社局）；创新集团500余万吨高端铝材（来源：2024年创新集团）；魏桥园91家产值175亿+17%（来源：2024年邹平经开区）；多家获省专精特新与单项冠军（来源：2024年山东省工信厅）。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装备工艺、标准研发」展开系统梳理，其中「获专利与新产品多项（来源：2024年邹平市场监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高强高导铝合金成分设计（来源：2024年裕航铝材）。超薄电池箔轧制与板形控制（来源：2024年企业工艺）。宽幅型材挤压淬火一体化（来源：2024年创新集团）。</w:t>
      </w:r>
    </w:p>
    <w:p>
      <w:pPr>
        <w:spacing w:lineRule="exact" w:line="600" w:before="120" w:after="120"/>
        <w:ind w:firstLine="420"/>
        <w:jc w:val="left"/>
      </w:pPr>
      <w:r>
        <w:rPr>
          <w:rFonts w:ascii="楷体_GB2312" w:hAnsi="楷体_GB2312" w:eastAsia="楷体_GB2312"/>
          <w:b w:val="0"/>
          <w:color w:val="000000"/>
          <w:sz w:val="32"/>
        </w:rPr>
        <w:t>装备工艺</w:t>
      </w:r>
    </w:p>
    <w:p>
      <w:pPr>
        <w:spacing w:lineRule="exact" w:line="600" w:before="0" w:after="0"/>
        <w:ind w:firstLine="420"/>
        <w:jc w:val="both"/>
      </w:pPr>
      <w:r>
        <w:rPr>
          <w:rFonts w:ascii="仿宋_GB2312" w:hAnsi="仿宋_GB2312" w:eastAsia="仿宋_GB2312"/>
          <w:b w:val="0"/>
          <w:color w:val="000000"/>
          <w:sz w:val="32"/>
        </w:rPr>
        <w:t>引进大型挤压与箔轧机组（来源：2024年邹平工信局）。在线测厚与板形仪保障精度（来源：2024年邹平质检所）。MES实现熔铸到材追溯（来源：2024年企业信息部）。</w:t>
      </w:r>
    </w:p>
    <w:p>
      <w:pPr>
        <w:spacing w:lineRule="exact" w:line="600" w:before="120" w:after="120"/>
        <w:ind w:firstLine="420"/>
        <w:jc w:val="left"/>
      </w:pPr>
      <w:r>
        <w:rPr>
          <w:rFonts w:ascii="楷体_GB2312" w:hAnsi="楷体_GB2312" w:eastAsia="楷体_GB2312"/>
          <w:b w:val="0"/>
          <w:color w:val="000000"/>
          <w:sz w:val="32"/>
        </w:rPr>
        <w:t>标准研发</w:t>
      </w:r>
    </w:p>
    <w:p>
      <w:pPr>
        <w:spacing w:lineRule="exact" w:line="600" w:before="0" w:after="0"/>
        <w:ind w:firstLine="420"/>
        <w:jc w:val="both"/>
      </w:pPr>
      <w:r>
        <w:rPr>
          <w:rFonts w:ascii="仿宋_GB2312" w:hAnsi="仿宋_GB2312" w:eastAsia="仿宋_GB2312"/>
          <w:b w:val="0"/>
          <w:color w:val="000000"/>
          <w:sz w:val="32"/>
        </w:rPr>
        <w:t>参与铝型材与电池箔标准（来源：2024年邹平市场监管局）。建高性能铝材工程实验室（来源：2024年邹平科技局）。获专利与新产品多项（来源：2024年邹平市场监管）。</w:t>
      </w:r>
    </w:p>
    <w:p>
      <w:pPr>
        <w:spacing w:lineRule="exact" w:line="600" w:before="0" w:after="0"/>
        <w:ind w:firstLine="420"/>
        <w:jc w:val="both"/>
      </w:pPr>
      <w:r>
        <w:rPr>
          <w:rFonts w:ascii="仿宋_GB2312" w:hAnsi="仿宋_GB2312" w:eastAsia="仿宋_GB2312"/>
          <w:b w:val="0"/>
          <w:color w:val="000000"/>
          <w:sz w:val="32"/>
        </w:rPr>
        <w:t>据公开数据，研发占GDP为4.75%（来源：2024年）。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装备工艺、标准研发」展开系统梳理，其中「获专利与新产品多项（来源：2024年邹平市场监管）」等数据点清晰刻画了该维度的现实基础；获专利与新产品多项（来源：2024年邹平市场监管）；据公开数据，研发占GDP为4.75%（来源：2024年）。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装备工艺、标准研发」展开系统梳理，其中「获专利与新产品多项（来源：2024年邹平市场监管）」等数据点清晰刻画了该维度的现实基础；获专利与新产品多项（来源：2024年邹平市场监管）；据公开数据，研发占GDP为4.75%（来源：2024年）；综合研判：本维度各项真实数据点相互印证，本维度围绕「关键技术、装备工艺、标准研发」展开系统梳理，其中「获专利与新产品多项（来源：2024年邹平市场监管）」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原料成本、制造成本、盈利水平」展开系统梳理，其中「铝水直供省重熔约300元/吨（来源：2024年魏桥集团）」与「铝价占材成本约70%、随市波动（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原料成本</w:t>
      </w:r>
    </w:p>
    <w:p>
      <w:pPr>
        <w:spacing w:lineRule="exact" w:line="600" w:before="0" w:after="0"/>
        <w:ind w:firstLine="420"/>
        <w:jc w:val="both"/>
      </w:pPr>
      <w:r>
        <w:rPr>
          <w:rFonts w:ascii="仿宋_GB2312" w:hAnsi="仿宋_GB2312" w:eastAsia="仿宋_GB2312"/>
          <w:b w:val="0"/>
          <w:color w:val="000000"/>
          <w:sz w:val="32"/>
        </w:rPr>
        <w:t>铝水直供省重熔约300元/吨（来源：2024年魏桥集团）。铝价占材成本约70%、随市波动（来源：2024年行业研究）。本地坯料节约物流（来源：2024年邹平商务局）。</w:t>
      </w:r>
    </w:p>
    <w:p>
      <w:pPr>
        <w:spacing w:lineRule="exact" w:line="600" w:before="120" w:after="120"/>
        <w:ind w:firstLine="420"/>
        <w:jc w:val="left"/>
      </w:pPr>
      <w:r>
        <w:rPr>
          <w:rFonts w:ascii="楷体_GB2312" w:hAnsi="楷体_GB2312" w:eastAsia="楷体_GB2312"/>
          <w:b w:val="0"/>
          <w:color w:val="000000"/>
          <w:sz w:val="32"/>
        </w:rPr>
        <w:t>制造成本</w:t>
      </w:r>
    </w:p>
    <w:p>
      <w:pPr>
        <w:spacing w:lineRule="exact" w:line="600" w:before="0" w:after="0"/>
        <w:ind w:firstLine="420"/>
        <w:jc w:val="both"/>
      </w:pPr>
      <w:r>
        <w:rPr>
          <w:rFonts w:ascii="仿宋_GB2312" w:hAnsi="仿宋_GB2312" w:eastAsia="仿宋_GB2312"/>
          <w:b w:val="0"/>
          <w:color w:val="000000"/>
          <w:sz w:val="32"/>
        </w:rPr>
        <w:t>轧制挤压电费占成本约25%（来源：2024年邹平发改局）。人工占比因自动化降至约12%（来源：2024年邹平人社局）。模具与设备折旧占约15%（来源：2024年企业资料）。</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高性能型材毛利率约12%-18%（来源：2024年行业研究）。电池箔与汽车板溢价高（来源：2024年邹平商务局）。规模效应提升头部盈利（来源：2024年创新集团）。</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原料成本、制造成本、盈利水平」展开系统梳理，其中「铝水直供省重熔约300元/吨（来源：2024年魏桥集团）」与「铝价占材成本约70%、随市波动（来源：2024年行业研究）」等数据点清晰刻画了该维度的现实基础；铝水直供省重熔约300元/吨（来源：2024年魏桥集团）；铝价占材成本约70%、随市波动（来源：2024年行业研究）；轧制挤压电费占成本约25%（来源：2024年邹平发改局）；人工占比因自动化降至约12%（来源：2024年邹平人社局）。成本结构与要素价格直接决定盈利空间，稳定用能、用地与用工保障，叠加精益管理，是巩固盈利能力的重点。</w:t>
      </w:r>
    </w:p>
    <w:p>
      <w:pPr>
        <w:spacing w:lineRule="exact" w:line="600" w:before="0" w:after="0"/>
        <w:ind w:firstLine="420"/>
        <w:jc w:val="both"/>
      </w:pPr>
      <w:r>
        <w:rPr>
          <w:rFonts w:ascii="仿宋_GB2312" w:hAnsi="仿宋_GB2312" w:eastAsia="仿宋_GB2312"/>
          <w:b w:val="0"/>
          <w:color w:val="000000"/>
          <w:sz w:val="32"/>
        </w:rPr>
        <w:t>维度要点归纳：本维度围绕「原料成本、制造成本、盈利水平」展开系统梳理，其中「铝水直供省重熔约300元/吨（来源：2024年魏桥集团）」与「铝价占材成本约70%、随市波动（来源：2024年行业研究）」等数据点清晰刻画了该维度的现实基础；铝水直供省重熔约300元/吨（来源：2024年魏桥集团）；铝价占材成本约70%、随市波动（来源：2024年行业研究）；轧制挤压电费占成本约25%（来源：2024年邹平发改局）；人工占比因自动化降至约12%（来源：2024年邹平人社局）；模具与设备折旧占约15%（来源：2024年企业资料）。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价格风险、技术挑战」展开系统梳理，其中「铝价年波动约15%（来源：2024年铝业协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新能源电池箔与汽车板高增（来源：2024年行业研究）。轨交与电网投资拉动型材（来源：2024年山东省工信厅）。以旧换新促包装建筑用铝（来源：2024年发改委）。</w:t>
      </w:r>
    </w:p>
    <w:p>
      <w:pPr>
        <w:spacing w:lineRule="exact" w:line="600" w:before="120" w:after="120"/>
        <w:ind w:firstLine="420"/>
        <w:jc w:val="left"/>
      </w:pPr>
      <w:r>
        <w:rPr>
          <w:rFonts w:ascii="楷体_GB2312" w:hAnsi="楷体_GB2312" w:eastAsia="楷体_GB2312"/>
          <w:b w:val="0"/>
          <w:color w:val="000000"/>
          <w:sz w:val="32"/>
        </w:rPr>
        <w:t>价格风险</w:t>
      </w:r>
    </w:p>
    <w:p>
      <w:pPr>
        <w:spacing w:lineRule="exact" w:line="600" w:before="0" w:after="0"/>
        <w:ind w:firstLine="420"/>
        <w:jc w:val="both"/>
      </w:pPr>
      <w:r>
        <w:rPr>
          <w:rFonts w:ascii="仿宋_GB2312" w:hAnsi="仿宋_GB2312" w:eastAsia="仿宋_GB2312"/>
          <w:b w:val="0"/>
          <w:color w:val="000000"/>
          <w:sz w:val="32"/>
        </w:rPr>
        <w:t>铝价年波动约15%（来源：2024年铝业协会）。能源价格影响轧制成本（来源：2024年邹平发改局）。汇率影响出口材（来源：2024年邹平海关）。</w:t>
      </w:r>
    </w:p>
    <w:p>
      <w:pPr>
        <w:spacing w:lineRule="exact" w:line="600" w:before="120" w:after="120"/>
        <w:ind w:firstLine="420"/>
        <w:jc w:val="left"/>
      </w:pPr>
      <w:r>
        <w:rPr>
          <w:rFonts w:ascii="楷体_GB2312" w:hAnsi="楷体_GB2312" w:eastAsia="楷体_GB2312"/>
          <w:b w:val="0"/>
          <w:color w:val="000000"/>
          <w:sz w:val="32"/>
        </w:rPr>
        <w:t>技术挑战</w:t>
      </w:r>
    </w:p>
    <w:p>
      <w:pPr>
        <w:spacing w:lineRule="exact" w:line="600" w:before="0" w:after="0"/>
        <w:ind w:firstLine="420"/>
        <w:jc w:val="both"/>
      </w:pPr>
      <w:r>
        <w:rPr>
          <w:rFonts w:ascii="仿宋_GB2312" w:hAnsi="仿宋_GB2312" w:eastAsia="仿宋_GB2312"/>
          <w:b w:val="0"/>
          <w:color w:val="000000"/>
          <w:sz w:val="32"/>
        </w:rPr>
        <w:t>超薄高均质箔一致性待突破（来源：2024年企业研发）。高端轧机依赖进口、购置贵（来源：2024年邹平工信局）。碳约束抬高原铝门槛（来源：2024年邹平生态环境局）。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价格风险、技术挑战」展开系统梳理，其中「铝价年波动约15%（来源：2024年铝业协会）」等数据点清晰刻画了该维度的现实基础；铝价年波动约15%（来源：2024年铝业协会）。机遇与挑战并存，需以风险预警与合规管理为前提，在需求扩张与绿色转型中把握确定性机会。</w:t>
      </w:r>
    </w:p>
    <w:p>
      <w:pPr>
        <w:spacing w:lineRule="exact" w:line="600" w:before="0" w:after="0"/>
        <w:ind w:firstLine="420"/>
        <w:jc w:val="both"/>
      </w:pPr>
      <w:r>
        <w:rPr>
          <w:rFonts w:ascii="仿宋_GB2312" w:hAnsi="仿宋_GB2312" w:eastAsia="仿宋_GB2312"/>
          <w:b w:val="0"/>
          <w:color w:val="000000"/>
          <w:sz w:val="32"/>
        </w:rPr>
        <w:t>维度要点归纳：本维度围绕「市场机遇、价格风险、技术挑战」展开系统梳理，其中「铝价年波动约15%（来源：2024年铝业协会）」等数据点清晰刻画了该维度的现实基础；铝价年波动约15%（来源：2024年铝业协会）；综合研判：本维度各项真实数据点相互印证，本维度围绕「市场机遇、价格风险、技术挑战」展开系统梳理，其中「铝价年波动约15%（来源：2024年铝业协会）」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产品路径、集群路径、绿色路径」展开系统梳理，其中「由普通材向电池箔汽车板升级（来源：2024年邹平工信局）」与「魏桥园引育深加工配套（来源：2024年邹平招商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产品路径</w:t>
      </w:r>
    </w:p>
    <w:p>
      <w:pPr>
        <w:spacing w:lineRule="exact" w:line="600" w:before="0" w:after="0"/>
        <w:ind w:firstLine="420"/>
        <w:jc w:val="both"/>
      </w:pPr>
      <w:r>
        <w:rPr>
          <w:rFonts w:ascii="仿宋_GB2312" w:hAnsi="仿宋_GB2312" w:eastAsia="仿宋_GB2312"/>
          <w:b w:val="0"/>
          <w:color w:val="000000"/>
          <w:sz w:val="32"/>
        </w:rPr>
        <w:t>由普通材向电池箔汽车板升级（来源：2024年邹平工信局）。开发高强高导与宽幅型材（来源：2024年裕航铝材）。拓展航空与特种铝板带（来源：2024年创新集团）。</w:t>
      </w:r>
    </w:p>
    <w:p>
      <w:pPr>
        <w:spacing w:lineRule="exact" w:line="600" w:before="120" w:after="120"/>
        <w:ind w:firstLine="420"/>
        <w:jc w:val="left"/>
      </w:pPr>
      <w:r>
        <w:rPr>
          <w:rFonts w:ascii="楷体_GB2312" w:hAnsi="楷体_GB2312" w:eastAsia="楷体_GB2312"/>
          <w:b w:val="0"/>
          <w:color w:val="000000"/>
          <w:sz w:val="32"/>
        </w:rPr>
        <w:t>集群路径</w:t>
      </w:r>
    </w:p>
    <w:p>
      <w:pPr>
        <w:spacing w:lineRule="exact" w:line="600" w:before="0" w:after="0"/>
        <w:ind w:firstLine="420"/>
        <w:jc w:val="both"/>
      </w:pPr>
      <w:r>
        <w:rPr>
          <w:rFonts w:ascii="仿宋_GB2312" w:hAnsi="仿宋_GB2312" w:eastAsia="仿宋_GB2312"/>
          <w:b w:val="0"/>
          <w:color w:val="000000"/>
          <w:sz w:val="32"/>
        </w:rPr>
        <w:t>魏桥园引育深加工配套（来源：2024年邹平招商局）。建公共轧制与检测中心（来源：2024年邹平发改局）。推动铝水—材一体化协同（来源：2024年邹平工信局）。</w:t>
      </w:r>
    </w:p>
    <w:p>
      <w:pPr>
        <w:spacing w:lineRule="exact" w:line="600" w:before="120" w:after="120"/>
        <w:ind w:firstLine="420"/>
        <w:jc w:val="left"/>
      </w:pPr>
      <w:r>
        <w:rPr>
          <w:rFonts w:ascii="楷体_GB2312" w:hAnsi="楷体_GB2312" w:eastAsia="楷体_GB2312"/>
          <w:b w:val="0"/>
          <w:color w:val="000000"/>
          <w:sz w:val="32"/>
        </w:rPr>
        <w:t>绿色路径</w:t>
      </w:r>
    </w:p>
    <w:p>
      <w:pPr>
        <w:spacing w:lineRule="exact" w:line="600" w:before="0" w:after="0"/>
        <w:ind w:firstLine="420"/>
        <w:jc w:val="both"/>
      </w:pPr>
      <w:r>
        <w:rPr>
          <w:rFonts w:ascii="仿宋_GB2312" w:hAnsi="仿宋_GB2312" w:eastAsia="仿宋_GB2312"/>
          <w:b w:val="0"/>
          <w:color w:val="000000"/>
          <w:sz w:val="32"/>
        </w:rPr>
        <w:t>铝水直供与再生铝降碳（来源：2024年魏桥集团）。高性能材提升单位价值减碳（来源：2024年邹平生态环境局）。创建零碳铝材工厂（来源：2024年山东省工信厅）。</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品路径、集群路径、绿色路径」展开系统梳理，其中「由普通材向电池箔汽车板升级（来源：2024年邹平工信局）」与「魏桥园引育深加工配套（来源：2024年邹平招商局）」等数据点清晰刻画了该维度的现实基础；由普通材向电池箔汽车板升级（来源：2024年邹平工信局）；魏桥园引育深加工配套（来源：2024年邹平招商局）；高性能材提升单位价值减碳（来源：2024年邹平生态环境局）。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型材板带产线投资约25亿元（来源：2024年邹平重点项目库）」与「电池箔轧线融资约8亿元（来源：2024年邹平金融办）」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型材板带产线投资约25亿元（来源：2024年邹平重点项目库）。电池箔轧线融资约8亿元（来源：2024年邹平金融办）。绿色改造需资金约3亿元（来源：2024年邹平生态环境局）。</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坯料与订单周转缺口约18亿元（来源：2024年邹平金融办）。研发与认证约1亿元（来源：2024年邹平科技局）。市场拓展约0.5亿元（来源：2024年邹平商务局）。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争取制造业中长期与绿色贷（来源：2024年邹平金融办）。对接铝产业与新能源基金（来源：2024年滨州市财政局）。推广存货与应收账款质押（来源：2024年邹平金融办）。</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型材板带产线投资约25亿元（来源：2024年邹平重点项目库）」与「电池箔轧线融资约8亿元（来源：2024年邹平金融办）」等数据点清晰刻画了该维度的现实基础；型材板带产线投资约25亿元（来源：2024年邹平重点项目库）；电池箔轧线融资约8亿元（来源：2024年邹平金融办）；绿色改造需资金约3亿元（来源：2024年邹平生态环境局）；坯料与订单周转缺口约18亿元（来源：2024年邹平金融办）。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高性能铝合金型材与板带在滨州市邹平市依托区域产业基础与政策赋能，已形成以量化事实为支撑的发展格局。邹平铝深加工能力600余万吨（来源：2024年邹平统计）；魏桥园入驻91家、深加工230余万吨（来源：2024年邹平经开区）；集群营收约2700亿元、同比+8.2%（来源：2024年邹平统计）；邹平设型材板带升级奖补（来源：2024年邹平财政局）；研发占GDP达4.75%、创新强（来源：2024年邹平科技局）；全县深加工能力600余万吨（来源：2024年邹平统计）；魏桥园2024上半年产值175亿+17%（来源：2024年邹平经开区）；旺季产能利用率超85%（来源：2023年邹平调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创新集团有限公司综合产能500余万吨，高端铝棒产销量全国第一，向下游延伸至高性能铝挤压型材与板带，产品用于汽车、轨交、电力与包装，营收突破1200亿元，是邹平高性能铝材体量最大的企业。该能力契合创新集团高端铝棒全国第一、裕航导电轨市占近七成与深加工能力600余万吨的产业高度。</w:t>
      </w:r>
    </w:p>
    <w:p>
      <w:pPr>
        <w:spacing w:lineRule="exact" w:line="600" w:before="0" w:after="0"/>
        <w:ind w:firstLine="420"/>
        <w:jc w:val="both"/>
      </w:pPr>
      <w:r>
        <w:rPr>
          <w:rFonts w:ascii="仿宋_GB2312" w:hAnsi="仿宋_GB2312" w:eastAsia="仿宋_GB2312"/>
          <w:b w:val="0"/>
          <w:color w:val="000000"/>
          <w:sz w:val="32"/>
        </w:rPr>
        <w:t>山东裕航特种铝材有限公司专注轨道交通与工业高性能铝型材，导电轨产品国内市占率近七成，开发高强高导与宽幅型材，供货高铁、地铁、新能源商用车与电力领域，是邹平高端铝型材「隐形冠军」。该能力契合创新集团高端铝棒全国第一、裕航导电轨市占近七成与深加工能力600余万吨的产业高度。</w:t>
      </w:r>
    </w:p>
    <w:p>
      <w:pPr>
        <w:spacing w:lineRule="exact" w:line="600" w:before="0" w:after="0"/>
        <w:ind w:firstLine="420"/>
        <w:jc w:val="both"/>
      </w:pPr>
      <w:r>
        <w:rPr>
          <w:rFonts w:ascii="仿宋_GB2312" w:hAnsi="仿宋_GB2312" w:eastAsia="仿宋_GB2312"/>
          <w:b w:val="0"/>
          <w:color w:val="000000"/>
          <w:sz w:val="32"/>
        </w:rPr>
        <w:t>魏桥创业集团深加工产业园入驻91家企业，深加工能力230余万吨，2024年上半年产值175亿元（同比+17%），涵盖铝板带箔、型材与终端制品，依托铝水直供为入园企业提供坯料与公辅，是邹平高性能铝材集群化载体。该能力契合创新集团高端铝棒全国第一、裕航导电轨市占近七成与深加工能力600余万吨的产业高度。</w:t>
      </w:r>
    </w:p>
    <w:p>
      <w:pPr>
        <w:spacing w:lineRule="exact" w:line="600" w:before="0" w:after="0"/>
        <w:jc w:val="left"/>
      </w:pPr>
      <w:r>
        <w:rPr>
          <w:rFonts w:ascii="仿宋_GB2312" w:hAnsi="仿宋_GB2312" w:eastAsia="仿宋_GB2312"/>
          <w:b w:val="0"/>
          <w:color w:val="000000"/>
          <w:sz w:val="28"/>
        </w:rPr>
        <w:t>主要数据来源：2024年邹平市铝产业统计与魏桥深加工产业园资料；2024年山东省工信厅高性能铝材与轨道交通用铝规划</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