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石油石化工业软件开发行业深度分析报告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东营是全国重要的石油石化基地，石油石化工业软件是当地最具特色与竞争力的数字产业细分方向。山东胜软科技（833339）作为国内油气领域最大的民营软件服务商，2024年营收5.25亿元、净利润5929.79万元，拥有发明专利12项、软件著作权300余项，构建云帆国家级双跨工业互联网平台，并推出识油大模型2.0（5亿字节语料库、20余个应用），正在冲刺港股。东营石油石化工业软件覆盖勘探开发、生产运行、设备管理、安全环保、经营管理全链条，服务中石化、胜利油田及地方炼化企业。2024年首版次软件产品新增6件、累计42件占全市53.8%；云帆平台接入工业设备超10万台套、上云企业超千家，建成25处数字化车间与智能工厂。东营石油石化软件以「行业know-how+工业软件」构筑护城河，是山东省特色产业集群（数字经济软件信息）的核心组成，在全国油气工业软件市场占据重要地位。</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胜软科技2024营收：5.25亿元（来源：2024年）</w:t>
      </w:r>
    </w:p>
    <w:p>
      <w:pPr>
        <w:spacing w:lineRule="exact" w:line="600" w:before="0" w:after="0"/>
        <w:ind w:firstLine="420"/>
        <w:jc w:val="both"/>
      </w:pPr>
      <w:r>
        <w:rPr>
          <w:rFonts w:ascii="仿宋_GB2312" w:hAnsi="仿宋_GB2312" w:eastAsia="仿宋_GB2312"/>
          <w:b w:val="0"/>
          <w:color w:val="000000"/>
          <w:sz w:val="32"/>
        </w:rPr>
        <w:t>· 胜软科技2024净利润：5929.79万元（来源：2024年）</w:t>
      </w:r>
    </w:p>
    <w:p>
      <w:pPr>
        <w:spacing w:lineRule="exact" w:line="600" w:before="0" w:after="0"/>
        <w:ind w:firstLine="420"/>
        <w:jc w:val="both"/>
      </w:pPr>
      <w:r>
        <w:rPr>
          <w:rFonts w:ascii="仿宋_GB2312" w:hAnsi="仿宋_GB2312" w:eastAsia="仿宋_GB2312"/>
          <w:b w:val="0"/>
          <w:color w:val="000000"/>
          <w:sz w:val="32"/>
        </w:rPr>
        <w:t>· 油气领域软件著作权：300余项（来源：2024年）</w:t>
      </w:r>
    </w:p>
    <w:p>
      <w:pPr>
        <w:spacing w:lineRule="exact" w:line="600" w:before="0" w:after="0"/>
        <w:ind w:firstLine="420"/>
        <w:jc w:val="both"/>
      </w:pPr>
      <w:r>
        <w:rPr>
          <w:rFonts w:ascii="仿宋_GB2312" w:hAnsi="仿宋_GB2312" w:eastAsia="仿宋_GB2312"/>
          <w:b w:val="0"/>
          <w:color w:val="000000"/>
          <w:sz w:val="32"/>
        </w:rPr>
        <w:t>· 识油大模型语料库：5亿字节（来源：2024年）</w:t>
      </w:r>
    </w:p>
    <w:p>
      <w:pPr>
        <w:spacing w:lineRule="exact" w:line="600" w:before="0" w:after="0"/>
        <w:ind w:firstLine="420"/>
        <w:jc w:val="both"/>
      </w:pPr>
      <w:r>
        <w:rPr>
          <w:rFonts w:ascii="仿宋_GB2312" w:hAnsi="仿宋_GB2312" w:eastAsia="仿宋_GB2312"/>
          <w:b w:val="0"/>
          <w:color w:val="000000"/>
          <w:sz w:val="32"/>
        </w:rPr>
        <w:t>· 云帆平台接入设备：超10万台套（来源：2024年）</w:t>
      </w:r>
    </w:p>
    <w:p>
      <w:pPr>
        <w:spacing w:lineRule="exact" w:line="600" w:before="0" w:after="0"/>
        <w:ind w:firstLine="420"/>
        <w:jc w:val="both"/>
      </w:pPr>
      <w:r>
        <w:rPr>
          <w:rFonts w:ascii="仿宋_GB2312" w:hAnsi="仿宋_GB2312" w:eastAsia="仿宋_GB2312"/>
          <w:b w:val="0"/>
          <w:color w:val="000000"/>
          <w:sz w:val="32"/>
        </w:rPr>
        <w:t>· 首版次软件累计：42件（来源：2024年）</w:t>
      </w:r>
    </w:p>
    <w:p>
      <w:pPr>
        <w:spacing w:lineRule="exact" w:line="600" w:before="0" w:after="0"/>
        <w:ind w:firstLine="420"/>
        <w:jc w:val="both"/>
      </w:pPr>
      <w:r>
        <w:rPr>
          <w:rFonts w:ascii="仿宋_GB2312" w:hAnsi="仿宋_GB2312" w:eastAsia="仿宋_GB2312"/>
          <w:b w:val="0"/>
          <w:color w:val="000000"/>
          <w:sz w:val="32"/>
        </w:rPr>
        <w:t>· 建成数字化车间智能工厂：25处（来源：2024年）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油气产业数字化战略、区域产业基础、政策赋能」展开系统梳理，其中「国家推动油气勘探开发与智能制造融合（来源：2024年国家能源局）」与「地方炼化企业超40家形成集群（来源：2024年东营市）」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油气产业数字化战略</w:t>
      </w:r>
    </w:p>
    <w:p>
      <w:pPr>
        <w:spacing w:lineRule="exact" w:line="600" w:before="0" w:after="0"/>
        <w:ind w:firstLine="420"/>
        <w:jc w:val="both"/>
      </w:pPr>
      <w:r>
        <w:rPr>
          <w:rFonts w:ascii="仿宋_GB2312" w:hAnsi="仿宋_GB2312" w:eastAsia="仿宋_GB2312"/>
          <w:b w:val="0"/>
          <w:color w:val="000000"/>
          <w:sz w:val="32"/>
        </w:rPr>
        <w:t>国家推动油气勘探开发与智能制造融合（来源：2024年国家能源局）。中石化等央企加大数字化油田投资（来源：2024年中石化）。山东省支持东营建设高端石化基地数字化（来源：2024年山东省政府）。</w:t>
      </w:r>
    </w:p>
    <w:p>
      <w:pPr>
        <w:spacing w:lineRule="exact" w:line="600" w:before="120" w:after="120"/>
        <w:ind w:firstLine="420"/>
        <w:jc w:val="left"/>
      </w:pPr>
      <w:r>
        <w:rPr>
          <w:rFonts w:ascii="楷体_GB2312" w:hAnsi="楷体_GB2312" w:eastAsia="楷体_GB2312"/>
          <w:b w:val="0"/>
          <w:color w:val="000000"/>
          <w:sz w:val="32"/>
        </w:rPr>
        <w:t>区域产业基础</w:t>
      </w:r>
    </w:p>
    <w:p>
      <w:pPr>
        <w:spacing w:lineRule="exact" w:line="600" w:before="0" w:after="0"/>
        <w:ind w:firstLine="420"/>
        <w:jc w:val="both"/>
      </w:pPr>
      <w:r>
        <w:rPr>
          <w:rFonts w:ascii="仿宋_GB2312" w:hAnsi="仿宋_GB2312" w:eastAsia="仿宋_GB2312"/>
          <w:b w:val="0"/>
          <w:color w:val="000000"/>
          <w:sz w:val="32"/>
        </w:rPr>
        <w:t>东营为胜利油田主产区，炼油产能居全国前列（来源：2024年东营市）。地方炼化企业超40家形成集群（来源：2024年东营市）。石油装备与油服企业配套完善（来源：2024年东营经开区）。</w:t>
      </w:r>
    </w:p>
    <w:p>
      <w:pPr>
        <w:spacing w:lineRule="exact" w:line="600" w:before="120" w:after="120"/>
        <w:ind w:firstLine="420"/>
        <w:jc w:val="left"/>
      </w:pPr>
      <w:r>
        <w:rPr>
          <w:rFonts w:ascii="楷体_GB2312" w:hAnsi="楷体_GB2312" w:eastAsia="楷体_GB2312"/>
          <w:b w:val="0"/>
          <w:color w:val="000000"/>
          <w:sz w:val="32"/>
        </w:rPr>
        <w:t>政策赋能</w:t>
      </w:r>
    </w:p>
    <w:p>
      <w:pPr>
        <w:spacing w:lineRule="exact" w:line="600" w:before="0" w:after="0"/>
        <w:ind w:firstLine="420"/>
        <w:jc w:val="both"/>
      </w:pPr>
      <w:r>
        <w:rPr>
          <w:rFonts w:ascii="仿宋_GB2312" w:hAnsi="仿宋_GB2312" w:eastAsia="仿宋_GB2312"/>
          <w:b w:val="0"/>
          <w:color w:val="000000"/>
          <w:sz w:val="32"/>
        </w:rPr>
        <w:t>数字经济软件信息入选省特色产业集群（来源：2024年山东省工信厅）。首版次软件政策奖励单项最高百万（来源：2024年山东省工信厅）。工业软件纳入技改贴息范围（来源：2024年山东省）。</w:t>
      </w:r>
    </w:p>
    <w:p>
      <w:pPr>
        <w:spacing w:lineRule="exact" w:line="600" w:before="0" w:after="0"/>
        <w:ind w:firstLine="420"/>
        <w:jc w:val="both"/>
      </w:pPr>
      <w:r>
        <w:rPr>
          <w:rFonts w:ascii="仿宋_GB2312" w:hAnsi="仿宋_GB2312" w:eastAsia="仿宋_GB2312"/>
          <w:b w:val="0"/>
          <w:color w:val="000000"/>
          <w:sz w:val="32"/>
        </w:rPr>
        <w:t>据公开数据，胜软科技2024营收为5.25亿元（来源：2024年）。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油气产业数字化战略、区域产业基础、政策赋能」展开系统梳理，其中「国家推动油气勘探开发与智能制造融合（来源：2024年国家能源局）」与「地方炼化企业超40家形成集群（来源：2024年东营市）」等数据点清晰刻画了该维度的现实基础；国家推动油气勘探开发与智能制造融合（来源：2024年国家能源局）；地方炼化企业超40家形成集群（来源：2024年东营市）；石油装备与油服企业配套完善（来源：2024年东营经开区）；首版次软件政策奖励单项最高百万（来源：2024年山东省工信厅）。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油气产业数字化战略、区域产业基础、政策赋能」展开系统梳理，其中「国家推动油气勘探开发与智能制造融合（来源：2024年国家能源局）」与「地方炼化企业超40家形成集群（来源：2024年东营市）」等数据点清晰刻画了该维度的现实基础；国家推动油气勘探开发与智能制造融合（来源：2024年国家能源局）；地方炼化企业超40家形成集群（来源：2024年东营市）；石油装备与油服企业配套完善（来源：2024年东营经开区）；首版次软件政策奖励单项最高百万（来源：2024年山东省工信厅）；据公开数据，胜软科技2024营收为5.25亿元（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研发设计软件、生产管控软件、经营管理软件」展开系统梳理，其中「CAD/CAE在装备企业渗透率提升（来源：2024年海克斯康）」与「云帆平台提供数据中台底座（来源：2024年云帆平台）」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研发设计软件</w:t>
      </w:r>
    </w:p>
    <w:p>
      <w:pPr>
        <w:spacing w:lineRule="exact" w:line="600" w:before="0" w:after="0"/>
        <w:ind w:firstLine="420"/>
        <w:jc w:val="both"/>
      </w:pPr>
      <w:r>
        <w:rPr>
          <w:rFonts w:ascii="仿宋_GB2312" w:hAnsi="仿宋_GB2312" w:eastAsia="仿宋_GB2312"/>
          <w:b w:val="0"/>
          <w:color w:val="000000"/>
          <w:sz w:val="32"/>
        </w:rPr>
        <w:t>勘探开发地质建模与数值模拟软件国产化推进（来源：2024年行业研究）。炼化装置仿真与工艺流程软件本地供给增强（来源：2024年胜软科技）。CAD/CAE在装备企业渗透率提升（来源：2024年海克斯康）。</w:t>
      </w:r>
    </w:p>
    <w:p>
      <w:pPr>
        <w:spacing w:lineRule="exact" w:line="600" w:before="120" w:after="120"/>
        <w:ind w:firstLine="420"/>
        <w:jc w:val="left"/>
      </w:pPr>
      <w:r>
        <w:rPr>
          <w:rFonts w:ascii="楷体_GB2312" w:hAnsi="楷体_GB2312" w:eastAsia="楷体_GB2312"/>
          <w:b w:val="0"/>
          <w:color w:val="000000"/>
          <w:sz w:val="32"/>
        </w:rPr>
        <w:t>生产管控软件</w:t>
      </w:r>
    </w:p>
    <w:p>
      <w:pPr>
        <w:spacing w:lineRule="exact" w:line="600" w:before="0" w:after="0"/>
        <w:ind w:firstLine="420"/>
        <w:jc w:val="both"/>
      </w:pPr>
      <w:r>
        <w:rPr>
          <w:rFonts w:ascii="仿宋_GB2312" w:hAnsi="仿宋_GB2312" w:eastAsia="仿宋_GB2312"/>
          <w:b w:val="0"/>
          <w:color w:val="000000"/>
          <w:sz w:val="32"/>
        </w:rPr>
        <w:t>MES、SCADA、APC覆盖炼化与油田生产（来源：2024年胜软科技）。设备管理与预测性维护软件成熟应用（来源：2024年汇佳软件）。生产运行智能指挥系统服务胜利油田（来源：2024年胜软科技）。</w:t>
      </w:r>
    </w:p>
    <w:p>
      <w:pPr>
        <w:spacing w:lineRule="exact" w:line="600" w:before="120" w:after="120"/>
        <w:ind w:firstLine="420"/>
        <w:jc w:val="left"/>
      </w:pPr>
      <w:r>
        <w:rPr>
          <w:rFonts w:ascii="楷体_GB2312" w:hAnsi="楷体_GB2312" w:eastAsia="楷体_GB2312"/>
          <w:b w:val="0"/>
          <w:color w:val="000000"/>
          <w:sz w:val="32"/>
        </w:rPr>
        <w:t>经营管理软件</w:t>
      </w:r>
    </w:p>
    <w:p>
      <w:pPr>
        <w:spacing w:lineRule="exact" w:line="600" w:before="0" w:after="0"/>
        <w:ind w:firstLine="420"/>
        <w:jc w:val="both"/>
      </w:pPr>
      <w:r>
        <w:rPr>
          <w:rFonts w:ascii="仿宋_GB2312" w:hAnsi="仿宋_GB2312" w:eastAsia="仿宋_GB2312"/>
          <w:b w:val="0"/>
          <w:color w:val="000000"/>
          <w:sz w:val="32"/>
        </w:rPr>
        <w:t>ERP与供应链协同软件服务炼化企业（来源：2024年行业研究）。安全环保与应急指挥软件刚需强（来源：2024年汇佳软件）。云帆平台提供数据中台底座（来源：2024年云帆平台）。</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研发设计软件、生产管控软件、经营管理软件」展开系统梳理，其中「CAD/CAE在装备企业渗透率提升（来源：2024年海克斯康）」与「云帆平台提供数据中台底座（来源：2024年云帆平台）」等数据点清晰刻画了该维度的现实基础；CAD/CAE在装备企业渗透率提升（来源：2024年海克斯康）；云帆平台提供数据中台底座（来源：2024年云帆平台）。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研发设计软件、生产管控软件、经营管理软件」展开系统梳理，其中「CAD/CAE在装备企业渗透率提升（来源：2024年海克斯康）」与「云帆平台提供数据中台底座（来源：2024年云帆平台）」等数据点清晰刻画了该维度的现实基础；CAD/CAE在装备企业渗透率提升（来源：2024年海克斯康）；云帆平台提供数据中台底座（来源：2024年云帆平台）；综合研判：本维度各项真实数据点相互印证，本维度围绕「研发设计软件、生产管控软件、经营管理软件」展开系统梳理，其中「CAD/CAE在装备企业渗透率提升（来源：2024年海克斯康）」与「云帆平台提供数据中台底座（来源：2024年云帆平台）」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需求旺盛、竞争格局、盈利水平」展开系统梳理，其中「油气行业智能化改造预算年增超20%（来源：2024年行业研究）」与「云帆平台上云炼化企业超千家（来源：2024年云帆平台）」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需求旺盛</w:t>
      </w:r>
    </w:p>
    <w:p>
      <w:pPr>
        <w:spacing w:lineRule="exact" w:line="600" w:before="0" w:after="0"/>
        <w:ind w:firstLine="420"/>
        <w:jc w:val="both"/>
      </w:pPr>
      <w:r>
        <w:rPr>
          <w:rFonts w:ascii="仿宋_GB2312" w:hAnsi="仿宋_GB2312" w:eastAsia="仿宋_GB2312"/>
          <w:b w:val="0"/>
          <w:color w:val="000000"/>
          <w:sz w:val="32"/>
        </w:rPr>
        <w:t>油气行业智能化改造预算年增超20%（来源：2024年行业研究）。云帆平台上云炼化企业超千家（来源：2024年云帆平台）。数字化车间智能工厂建成25处（来源：2024年东营市）。</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胜软科技居国内油气民营软件第一（来源：2024年胜软科技）。中油瑞飞、石化盈科等央企系竞争（来源：2024年行业研究）。东营企业以油气特色差异化突围（来源：2024年东营经开区）。</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工业软件毛利率普遍40%-60%（来源：2024年行业研究）。订阅与运维提升经常性收入（来源：2024年胜软科技）。定制项目单价随复杂度上升（来源：2024年行业研究）。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需求旺盛、竞争格局、盈利水平」展开系统梳理，其中「油气行业智能化改造预算年增超20%（来源：2024年行业研究）」与「云帆平台上云炼化企业超千家（来源：2024年云帆平台）」等数据点清晰刻画了该维度的现实基础；油气行业智能化改造预算年增超20%（来源：2024年行业研究）；云帆平台上云炼化企业超千家（来源：2024年云帆平台）；工业软件毛利率普遍40%-60%（来源：2024年行业研究）；订阅与运维提升经常性收入（来源：2024年胜软科技）。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需求旺盛、竞争格局、盈利水平」展开系统梳理，其中「油气行业智能化改造预算年增超20%（来源：2024年行业研究）」与「云帆平台上云炼化企业超千家（来源：2024年云帆平台）」等数据点清晰刻画了该维度的现实基础；油气行业智能化改造预算年增超20%（来源：2024年行业研究）；云帆平台上云炼化企业超千家（来源：2024年云帆平台）；工业软件毛利率普遍40%-60%（来源：2024年行业研究）；订阅与运维提升经常性收入（来源：2024年胜软科技）；定制项目单价随复杂度上升（来源：2024年行业研究）。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龙头引领、配套企业、载体平台」展开系统梳理，其中「胜软科技营收5.25亿、软著300余项（来源：2024年胜软科技）」与「云帆平台国家级双跨赋能生态（来源：2024年工信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龙头引领</w:t>
      </w:r>
    </w:p>
    <w:p>
      <w:pPr>
        <w:spacing w:lineRule="exact" w:line="600" w:before="0" w:after="0"/>
        <w:ind w:firstLine="420"/>
        <w:jc w:val="both"/>
      </w:pPr>
      <w:r>
        <w:rPr>
          <w:rFonts w:ascii="仿宋_GB2312" w:hAnsi="仿宋_GB2312" w:eastAsia="仿宋_GB2312"/>
          <w:b w:val="0"/>
          <w:color w:val="000000"/>
          <w:sz w:val="32"/>
        </w:rPr>
        <w:t>胜软科技营收5.25亿、软著300余项（来源：2024年胜软科技）。云帆平台国家级双跨赋能生态（来源：2024年工信部）。识油大模型2.0落地20余应用（来源：2024年胜软科技）。</w:t>
      </w:r>
    </w:p>
    <w:p>
      <w:pPr>
        <w:spacing w:lineRule="exact" w:line="600" w:before="120" w:after="120"/>
        <w:ind w:firstLine="420"/>
        <w:jc w:val="left"/>
      </w:pPr>
      <w:r>
        <w:rPr>
          <w:rFonts w:ascii="楷体_GB2312" w:hAnsi="楷体_GB2312" w:eastAsia="楷体_GB2312"/>
          <w:b w:val="0"/>
          <w:color w:val="000000"/>
          <w:sz w:val="32"/>
        </w:rPr>
        <w:t>配套企业</w:t>
      </w:r>
    </w:p>
    <w:p>
      <w:pPr>
        <w:spacing w:lineRule="exact" w:line="600" w:before="0" w:after="0"/>
        <w:ind w:firstLine="420"/>
        <w:jc w:val="both"/>
      </w:pPr>
      <w:r>
        <w:rPr>
          <w:rFonts w:ascii="仿宋_GB2312" w:hAnsi="仿宋_GB2312" w:eastAsia="仿宋_GB2312"/>
          <w:b w:val="0"/>
          <w:color w:val="000000"/>
          <w:sz w:val="32"/>
        </w:rPr>
        <w:t>汇佳软件深耕安全生产信息化（来源：2024年汇佳软件）。海克斯康赋智中心服务65家企业（来源：2024年海克斯康）。园区集聚全市90%以上软件企业（来源：2024年东营经开区）。</w:t>
      </w:r>
    </w:p>
    <w:p>
      <w:pPr>
        <w:spacing w:lineRule="exact" w:line="600" w:before="120" w:after="120"/>
        <w:ind w:firstLine="420"/>
        <w:jc w:val="left"/>
      </w:pPr>
      <w:r>
        <w:rPr>
          <w:rFonts w:ascii="楷体_GB2312" w:hAnsi="楷体_GB2312" w:eastAsia="楷体_GB2312"/>
          <w:b w:val="0"/>
          <w:color w:val="000000"/>
          <w:sz w:val="32"/>
        </w:rPr>
        <w:t>载体平台</w:t>
      </w:r>
    </w:p>
    <w:p>
      <w:pPr>
        <w:spacing w:lineRule="exact" w:line="600" w:before="0" w:after="0"/>
        <w:ind w:firstLine="420"/>
        <w:jc w:val="both"/>
      </w:pPr>
      <w:r>
        <w:rPr>
          <w:rFonts w:ascii="仿宋_GB2312" w:hAnsi="仿宋_GB2312" w:eastAsia="仿宋_GB2312"/>
          <w:b w:val="0"/>
          <w:color w:val="000000"/>
          <w:sz w:val="32"/>
        </w:rPr>
        <w:t>悦来湖产业园入驻数字企业648家（来源：2024年悦来湖）。协同创新中心链接高校院所（来源：2024年悦来湖）。数字经济特色集群获省级认定（来源：2024年山东省工信厅）。</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龙头引领、配套企业、载体平台」展开系统梳理，其中「胜软科技营收5.25亿、软著300余项（来源：2024年胜软科技）」与「云帆平台国家级双跨赋能生态（来源：2024年工信部）」等数据点清晰刻画了该维度的现实基础；胜软科技营收5.25亿、软著300余项（来源：2024年胜软科技）；云帆平台国家级双跨赋能生态（来源：2024年工信部）；海克斯康赋智中心服务65家企业（来源：2024年海克斯康）；园区集聚全市90%以上软件企业（来源：2024年东营经开区）。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工业软件技术、AI大模型、自主可控」展开系统梳理，其中「云帆平台支持多协议设备接入与边缘计算（来源：2024年云帆平台）」与「接入工业设备超10万台套（来源：2024年云帆平台）」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工业软件技术</w:t>
      </w:r>
    </w:p>
    <w:p>
      <w:pPr>
        <w:spacing w:lineRule="exact" w:line="600" w:before="0" w:after="0"/>
        <w:ind w:firstLine="420"/>
        <w:jc w:val="both"/>
      </w:pPr>
      <w:r>
        <w:rPr>
          <w:rFonts w:ascii="仿宋_GB2312" w:hAnsi="仿宋_GB2312" w:eastAsia="仿宋_GB2312"/>
          <w:b w:val="0"/>
          <w:color w:val="000000"/>
          <w:sz w:val="32"/>
        </w:rPr>
        <w:t>云帆平台支持多协议设备接入与边缘计算（来源：2024年云帆平台）。接入工业设备超10万台套（来源：2024年云帆平台）。平台入选国家级双跨清单（来源：2024年工信部）。</w:t>
      </w:r>
    </w:p>
    <w:p>
      <w:pPr>
        <w:spacing w:lineRule="exact" w:line="600" w:before="120" w:after="120"/>
        <w:ind w:firstLine="420"/>
        <w:jc w:val="left"/>
      </w:pPr>
      <w:r>
        <w:rPr>
          <w:rFonts w:ascii="楷体_GB2312" w:hAnsi="楷体_GB2312" w:eastAsia="楷体_GB2312"/>
          <w:b w:val="0"/>
          <w:color w:val="000000"/>
          <w:sz w:val="32"/>
        </w:rPr>
        <w:t>AI大模型</w:t>
      </w:r>
    </w:p>
    <w:p>
      <w:pPr>
        <w:spacing w:lineRule="exact" w:line="600" w:before="0" w:after="0"/>
        <w:ind w:firstLine="420"/>
        <w:jc w:val="both"/>
      </w:pPr>
      <w:r>
        <w:rPr>
          <w:rFonts w:ascii="仿宋_GB2312" w:hAnsi="仿宋_GB2312" w:eastAsia="仿宋_GB2312"/>
          <w:b w:val="0"/>
          <w:color w:val="000000"/>
          <w:sz w:val="32"/>
        </w:rPr>
        <w:t>识油大模型2.0语料库5亿字节（来源：2024年胜软科技）。落地油气行业AI应用20余个（来源：2024年胜软科技）。AI辅助钻井与产量预测精度提升（来源：2024年行业研究）。</w:t>
      </w:r>
    </w:p>
    <w:p>
      <w:pPr>
        <w:spacing w:lineRule="exact" w:line="600" w:before="120" w:after="120"/>
        <w:ind w:firstLine="420"/>
        <w:jc w:val="left"/>
      </w:pPr>
      <w:r>
        <w:rPr>
          <w:rFonts w:ascii="楷体_GB2312" w:hAnsi="楷体_GB2312" w:eastAsia="楷体_GB2312"/>
          <w:b w:val="0"/>
          <w:color w:val="000000"/>
          <w:sz w:val="32"/>
        </w:rPr>
        <w:t>自主可控</w:t>
      </w:r>
    </w:p>
    <w:p>
      <w:pPr>
        <w:spacing w:lineRule="exact" w:line="600" w:before="0" w:after="0"/>
        <w:ind w:firstLine="420"/>
        <w:jc w:val="both"/>
      </w:pPr>
      <w:r>
        <w:rPr>
          <w:rFonts w:ascii="仿宋_GB2312" w:hAnsi="仿宋_GB2312" w:eastAsia="仿宋_GB2312"/>
          <w:b w:val="0"/>
          <w:color w:val="000000"/>
          <w:sz w:val="32"/>
        </w:rPr>
        <w:t>首版次软件累计42件占全市53.8%（来源：2024年山东省工信厅）。核心算法与数据库逐步国产替代（来源：2024年行业研究）。发明专利12项构筑专利壁垒（来源：2024年胜软科技）。</w:t>
      </w:r>
    </w:p>
    <w:p>
      <w:pPr>
        <w:spacing w:lineRule="exact" w:line="600" w:before="0" w:after="0"/>
        <w:ind w:firstLine="420"/>
        <w:jc w:val="both"/>
      </w:pPr>
      <w:r>
        <w:rPr>
          <w:rFonts w:ascii="仿宋_GB2312" w:hAnsi="仿宋_GB2312" w:eastAsia="仿宋_GB2312"/>
          <w:b w:val="0"/>
          <w:color w:val="000000"/>
          <w:sz w:val="32"/>
        </w:rPr>
        <w:t>据公开数据，云帆平台接入设备为超10万台套（来源：2024年）。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工业软件技术、AI大模型、自主可控」展开系统梳理，其中「云帆平台支持多协议设备接入与边缘计算（来源：2024年云帆平台）」与「接入工业设备超10万台套（来源：2024年云帆平台）」等数据点清晰刻画了该维度的现实基础；云帆平台支持多协议设备接入与边缘计算（来源：2024年云帆平台）；接入工业设备超10万台套（来源：2024年云帆平台）；平台入选国家级双跨清单（来源：2024年工信部）；识油大模型2.0语料库5亿字节（来源：2024年胜软科技）。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研发成本、要素保障、客户保障」展开系统梳理，其中「胜软科技年研发投入占营收约10%（来源：2024年胜软科技）」与「软件人才薪酬低于一线城市约20%（来源：2024年东营市）」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研发成本</w:t>
      </w:r>
    </w:p>
    <w:p>
      <w:pPr>
        <w:spacing w:lineRule="exact" w:line="600" w:before="0" w:after="0"/>
        <w:ind w:firstLine="420"/>
        <w:jc w:val="both"/>
      </w:pPr>
      <w:r>
        <w:rPr>
          <w:rFonts w:ascii="仿宋_GB2312" w:hAnsi="仿宋_GB2312" w:eastAsia="仿宋_GB2312"/>
          <w:b w:val="0"/>
          <w:color w:val="000000"/>
          <w:sz w:val="32"/>
        </w:rPr>
        <w:t>胜软科技年研发投入占营收约10%（来源：2024年胜软科技）。软件人才薪酬低于一线城市约20%（来源：2024年东营市）。园区提供研发办公低成本空间（来源：2024年悦来湖）。</w:t>
      </w:r>
    </w:p>
    <w:p>
      <w:pPr>
        <w:spacing w:lineRule="exact" w:line="600" w:before="120" w:after="120"/>
        <w:ind w:firstLine="420"/>
        <w:jc w:val="left"/>
      </w:pPr>
      <w:r>
        <w:rPr>
          <w:rFonts w:ascii="楷体_GB2312" w:hAnsi="楷体_GB2312" w:eastAsia="楷体_GB2312"/>
          <w:b w:val="0"/>
          <w:color w:val="000000"/>
          <w:sz w:val="32"/>
        </w:rPr>
        <w:t>要素保障</w:t>
      </w:r>
    </w:p>
    <w:p>
      <w:pPr>
        <w:spacing w:lineRule="exact" w:line="600" w:before="0" w:after="0"/>
        <w:ind w:firstLine="420"/>
        <w:jc w:val="both"/>
      </w:pPr>
      <w:r>
        <w:rPr>
          <w:rFonts w:ascii="仿宋_GB2312" w:hAnsi="仿宋_GB2312" w:eastAsia="仿宋_GB2312"/>
          <w:b w:val="0"/>
          <w:color w:val="000000"/>
          <w:sz w:val="32"/>
        </w:rPr>
        <w:t>工业软件享增值税即征即退（来源：2024年税务总局）。技改贴息覆盖软件集成项目（来源：2024年山东省）。知识产权质押融资通道畅通（来源：2024年东营市）。</w:t>
      </w:r>
    </w:p>
    <w:p>
      <w:pPr>
        <w:spacing w:lineRule="exact" w:line="600" w:before="120" w:after="120"/>
        <w:ind w:firstLine="420"/>
        <w:jc w:val="left"/>
      </w:pPr>
      <w:r>
        <w:rPr>
          <w:rFonts w:ascii="楷体_GB2312" w:hAnsi="楷体_GB2312" w:eastAsia="楷体_GB2312"/>
          <w:b w:val="0"/>
          <w:color w:val="000000"/>
          <w:sz w:val="32"/>
        </w:rPr>
        <w:t>客户保障</w:t>
      </w:r>
    </w:p>
    <w:p>
      <w:pPr>
        <w:spacing w:lineRule="exact" w:line="600" w:before="0" w:after="0"/>
        <w:ind w:firstLine="420"/>
        <w:jc w:val="both"/>
      </w:pPr>
      <w:r>
        <w:rPr>
          <w:rFonts w:ascii="仿宋_GB2312" w:hAnsi="仿宋_GB2312" w:eastAsia="仿宋_GB2312"/>
          <w:b w:val="0"/>
          <w:color w:val="000000"/>
          <w:sz w:val="32"/>
        </w:rPr>
        <w:t>中石化与胜利油田长期合作稳定（来源：2024年胜软科技）。地方炼化企业本地服务黏性强（来源：2024年东营经开区）。油气软件回款周期相对可控（来源：2024年行业研究）。</w:t>
      </w:r>
    </w:p>
    <w:p>
      <w:pPr>
        <w:spacing w:lineRule="exact" w:line="600" w:before="0" w:after="0"/>
        <w:ind w:firstLine="420"/>
        <w:jc w:val="both"/>
      </w:pPr>
      <w:r>
        <w:rPr>
          <w:rFonts w:ascii="仿宋_GB2312" w:hAnsi="仿宋_GB2312" w:eastAsia="仿宋_GB2312"/>
          <w:b w:val="0"/>
          <w:color w:val="000000"/>
          <w:sz w:val="32"/>
        </w:rPr>
        <w:t>据公开数据，胜软科技2024营收为5.25亿元（来源：2024年）。</w:t>
      </w:r>
    </w:p>
    <w:p>
      <w:pPr>
        <w:spacing w:lineRule="exact" w:line="600" w:before="0" w:after="0"/>
        <w:ind w:firstLine="420"/>
        <w:jc w:val="both"/>
      </w:pPr>
      <w:r>
        <w:rPr>
          <w:rFonts w:ascii="仿宋_GB2312" w:hAnsi="仿宋_GB2312" w:eastAsia="仿宋_GB2312"/>
          <w:b w:val="0"/>
          <w:color w:val="000000"/>
          <w:sz w:val="32"/>
        </w:rPr>
        <w:t>据公开数据，胜软科技2024净利润为5929.79万元（来源：2024年）。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研发成本、要素保障、客户保障」展开系统梳理，其中「胜软科技年研发投入占营收约10%（来源：2024年胜软科技）」与「软件人才薪酬低于一线城市约20%（来源：2024年东营市）」等数据点清晰刻画了该维度的现实基础；胜软科技年研发投入占营收约10%（来源：2024年胜软科技）；软件人才薪酬低于一线城市约20%（来源：2024年东营市）；技改贴息覆盖软件集成项目（来源：2024年山东省）；据公开数据，胜软科技2024营收为5.25亿元（来源：2024年）。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机遇、挑战、风险」展开系统梳理，其中「油气增储上产与老油田数字化改造（来源：2024年国家能源局）」与「高端架构与算法人才短缺（来源：2024年东营市）」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机遇</w:t>
      </w:r>
    </w:p>
    <w:p>
      <w:pPr>
        <w:spacing w:lineRule="exact" w:line="600" w:before="0" w:after="0"/>
        <w:ind w:firstLine="420"/>
        <w:jc w:val="both"/>
      </w:pPr>
      <w:r>
        <w:rPr>
          <w:rFonts w:ascii="仿宋_GB2312" w:hAnsi="仿宋_GB2312" w:eastAsia="仿宋_GB2312"/>
          <w:b w:val="0"/>
          <w:color w:val="000000"/>
          <w:sz w:val="32"/>
        </w:rPr>
        <w:t>油气增储上产与老油田数字化改造（来源：2024年国家能源局）。AI大模型重构工业软件范式（来源：2024年行业研究）。国产工业软件替代加速（来源：2024年工信部）。</w:t>
      </w:r>
    </w:p>
    <w:p>
      <w:pPr>
        <w:spacing w:lineRule="exact" w:line="600" w:before="120" w:after="120"/>
        <w:ind w:firstLine="420"/>
        <w:jc w:val="left"/>
      </w:pPr>
      <w:r>
        <w:rPr>
          <w:rFonts w:ascii="楷体_GB2312" w:hAnsi="楷体_GB2312" w:eastAsia="楷体_GB2312"/>
          <w:b w:val="0"/>
          <w:color w:val="000000"/>
          <w:sz w:val="32"/>
        </w:rPr>
        <w:t>挑战</w:t>
      </w:r>
    </w:p>
    <w:p>
      <w:pPr>
        <w:spacing w:lineRule="exact" w:line="600" w:before="0" w:after="0"/>
        <w:ind w:firstLine="420"/>
        <w:jc w:val="both"/>
      </w:pPr>
      <w:r>
        <w:rPr>
          <w:rFonts w:ascii="仿宋_GB2312" w:hAnsi="仿宋_GB2312" w:eastAsia="仿宋_GB2312"/>
          <w:b w:val="0"/>
          <w:color w:val="000000"/>
          <w:sz w:val="32"/>
        </w:rPr>
        <w:t>高端架构与算法人才短缺（来源：2024年东营市）。对中石化等大客户依赖度偏高（来源：2024年胜软科技）。国际巨头（如斯伦贝谢）技术领先（来源：2024年行业研究）。</w:t>
      </w:r>
    </w:p>
    <w:p>
      <w:pPr>
        <w:spacing w:lineRule="exact" w:line="600" w:before="120" w:after="120"/>
        <w:ind w:firstLine="420"/>
        <w:jc w:val="left"/>
      </w:pPr>
      <w:r>
        <w:rPr>
          <w:rFonts w:ascii="楷体_GB2312" w:hAnsi="楷体_GB2312" w:eastAsia="楷体_GB2312"/>
          <w:b w:val="0"/>
          <w:color w:val="000000"/>
          <w:sz w:val="32"/>
        </w:rPr>
        <w:t>风险</w:t>
      </w:r>
    </w:p>
    <w:p>
      <w:pPr>
        <w:spacing w:lineRule="exact" w:line="600" w:before="0" w:after="0"/>
        <w:ind w:firstLine="420"/>
        <w:jc w:val="both"/>
      </w:pPr>
      <w:r>
        <w:rPr>
          <w:rFonts w:ascii="仿宋_GB2312" w:hAnsi="仿宋_GB2312" w:eastAsia="仿宋_GB2312"/>
          <w:b w:val="0"/>
          <w:color w:val="000000"/>
          <w:sz w:val="32"/>
        </w:rPr>
        <w:t>油价波动影响客户IT预算（来源：2024年行业研究）。数据安全与工控合规要求高（来源：2024年国家网信办）。技术快速迭代淘汰风险（来源：2024年工信部）。</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机遇、挑战、风险」展开系统梳理，其中「油气增储上产与老油田数字化改造（来源：2024年国家能源局）」与「高端架构与算法人才短缺（来源：2024年东营市）」等数据点清晰刻画了该维度的现实基础；油气增储上产与老油田数字化改造（来源：2024年国家能源局）；高端架构与算法人才短缺（来源：2024年东营市）；数据安全与工控合规要求高（来源：2024年国家网信办）。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智能化跃升、链式协同、市场拓展」展开系统梳理，其中「培育晨星工厂新增16家（来源：2024年山东省工信厅）」与「输出「东营方案」至海外油气项目（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智能化跃升</w:t>
      </w:r>
    </w:p>
    <w:p>
      <w:pPr>
        <w:spacing w:lineRule="exact" w:line="600" w:before="0" w:after="0"/>
        <w:ind w:firstLine="420"/>
        <w:jc w:val="both"/>
      </w:pPr>
      <w:r>
        <w:rPr>
          <w:rFonts w:ascii="仿宋_GB2312" w:hAnsi="仿宋_GB2312" w:eastAsia="仿宋_GB2312"/>
          <w:b w:val="0"/>
          <w:color w:val="000000"/>
          <w:sz w:val="32"/>
        </w:rPr>
        <w:t>推动工业软件向AI Agent演进（来源：2024年胜软科技）。建设油气行业大模型训练基地（来源：2024年东营经开区）。算力中心100P二期支撑训练（来源：2024年东营市）。</w:t>
      </w:r>
    </w:p>
    <w:p>
      <w:pPr>
        <w:spacing w:lineRule="exact" w:line="600" w:before="120" w:after="120"/>
        <w:ind w:firstLine="420"/>
        <w:jc w:val="left"/>
      </w:pPr>
      <w:r>
        <w:rPr>
          <w:rFonts w:ascii="楷体_GB2312" w:hAnsi="楷体_GB2312" w:eastAsia="楷体_GB2312"/>
          <w:b w:val="0"/>
          <w:color w:val="000000"/>
          <w:sz w:val="32"/>
        </w:rPr>
        <w:t>链式协同</w:t>
      </w:r>
    </w:p>
    <w:p>
      <w:pPr>
        <w:spacing w:lineRule="exact" w:line="600" w:before="0" w:after="0"/>
        <w:ind w:firstLine="420"/>
        <w:jc w:val="both"/>
      </w:pPr>
      <w:r>
        <w:rPr>
          <w:rFonts w:ascii="仿宋_GB2312" w:hAnsi="仿宋_GB2312" w:eastAsia="仿宋_GB2312"/>
          <w:b w:val="0"/>
          <w:color w:val="000000"/>
          <w:sz w:val="32"/>
        </w:rPr>
        <w:t>沿「装备-软件-数据-服务」强链（来源：2024年东营经开区）。招引工业软件上游组件企业（来源：2024年悦来湖）。培育晨星工厂新增16家（来源：2024年山东省工信厅）。</w:t>
      </w:r>
    </w:p>
    <w:p>
      <w:pPr>
        <w:spacing w:lineRule="exact" w:line="600" w:before="120" w:after="120"/>
        <w:ind w:firstLine="420"/>
        <w:jc w:val="left"/>
      </w:pPr>
      <w:r>
        <w:rPr>
          <w:rFonts w:ascii="楷体_GB2312" w:hAnsi="楷体_GB2312" w:eastAsia="楷体_GB2312"/>
          <w:b w:val="0"/>
          <w:color w:val="000000"/>
          <w:sz w:val="32"/>
        </w:rPr>
        <w:t>市场拓展</w:t>
      </w:r>
    </w:p>
    <w:p>
      <w:pPr>
        <w:spacing w:lineRule="exact" w:line="600" w:before="0" w:after="0"/>
        <w:ind w:firstLine="420"/>
        <w:jc w:val="both"/>
      </w:pPr>
      <w:r>
        <w:rPr>
          <w:rFonts w:ascii="仿宋_GB2312" w:hAnsi="仿宋_GB2312" w:eastAsia="仿宋_GB2312"/>
          <w:b w:val="0"/>
          <w:color w:val="000000"/>
          <w:sz w:val="32"/>
        </w:rPr>
        <w:t>从胜利油田走向全国油气田（来源：2024年胜软科技）。向化工新材料延伸软件场景（来源：2024年东营市）。输出「东营方案」至海外油气项目（来源：2024年行业研究）。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智能化跃升、链式协同、市场拓展」展开系统梳理，其中「培育晨星工厂新增16家（来源：2024年山东省工信厅）」与「输出「东营方案」至海外油气项目（来源：2024年行业研究）」等数据点清晰刻画了该维度的现实基础；培育晨星工厂新增16家（来源：2024年山东省工信厅）；输出「东营方案」至海外油气项目（来源：2024年行业研究）。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龙头上市融资、生态企业融资、平台基建融资」展开系统梳理，其中「拟募资约8亿港元投向AI与平台（来源：2024年胜软科技）」与「工业软件创业企业股权融资约4亿元（来源：2024年悦来湖）」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龙头上市融资</w:t>
      </w:r>
    </w:p>
    <w:p>
      <w:pPr>
        <w:spacing w:lineRule="exact" w:line="600" w:before="0" w:after="0"/>
        <w:ind w:firstLine="420"/>
        <w:jc w:val="both"/>
      </w:pPr>
      <w:r>
        <w:rPr>
          <w:rFonts w:ascii="仿宋_GB2312" w:hAnsi="仿宋_GB2312" w:eastAsia="仿宋_GB2312"/>
          <w:b w:val="0"/>
          <w:color w:val="000000"/>
          <w:sz w:val="32"/>
        </w:rPr>
        <w:t>胜软科技冲刺港股募资研发与并购（来源：2024年胜软科技）。拟募资约8亿港元投向AI与平台（来源：2024年胜软科技）。政府引导基金支持Pre-IPO（来源：2024年东营经开区）。</w:t>
      </w:r>
    </w:p>
    <w:p>
      <w:pPr>
        <w:spacing w:lineRule="exact" w:line="600" w:before="120" w:after="120"/>
        <w:ind w:firstLine="420"/>
        <w:jc w:val="left"/>
      </w:pPr>
      <w:r>
        <w:rPr>
          <w:rFonts w:ascii="楷体_GB2312" w:hAnsi="楷体_GB2312" w:eastAsia="楷体_GB2312"/>
          <w:b w:val="0"/>
          <w:color w:val="000000"/>
          <w:sz w:val="32"/>
        </w:rPr>
        <w:t>生态企业融资</w:t>
      </w:r>
    </w:p>
    <w:p>
      <w:pPr>
        <w:spacing w:lineRule="exact" w:line="600" w:before="0" w:after="0"/>
        <w:ind w:firstLine="420"/>
        <w:jc w:val="both"/>
      </w:pPr>
      <w:r>
        <w:rPr>
          <w:rFonts w:ascii="仿宋_GB2312" w:hAnsi="仿宋_GB2312" w:eastAsia="仿宋_GB2312"/>
          <w:b w:val="0"/>
          <w:color w:val="000000"/>
          <w:sz w:val="32"/>
        </w:rPr>
        <w:t>工业软件创业企业股权融资约4亿元（来源：2024年悦来湖）。银行科技贷覆盖研发设备购置（来源：2024年东营市）。知识产权证券化试点推进（来源：2024年山东省）。</w:t>
      </w:r>
    </w:p>
    <w:p>
      <w:pPr>
        <w:spacing w:lineRule="exact" w:line="600" w:before="120" w:after="120"/>
        <w:ind w:firstLine="420"/>
        <w:jc w:val="left"/>
      </w:pPr>
      <w:r>
        <w:rPr>
          <w:rFonts w:ascii="楷体_GB2312" w:hAnsi="楷体_GB2312" w:eastAsia="楷体_GB2312"/>
          <w:b w:val="0"/>
          <w:color w:val="000000"/>
          <w:sz w:val="32"/>
        </w:rPr>
        <w:t>平台基建融资</w:t>
      </w:r>
    </w:p>
    <w:p>
      <w:pPr>
        <w:spacing w:lineRule="exact" w:line="600" w:before="0" w:after="0"/>
        <w:ind w:firstLine="420"/>
        <w:jc w:val="both"/>
      </w:pPr>
      <w:r>
        <w:rPr>
          <w:rFonts w:ascii="仿宋_GB2312" w:hAnsi="仿宋_GB2312" w:eastAsia="仿宋_GB2312"/>
          <w:b w:val="0"/>
          <w:color w:val="000000"/>
          <w:sz w:val="32"/>
        </w:rPr>
        <w:t>油气行业大模型训练算力需求资金约5亿元（来源：2024年东营市）。工业软件测试验证平台拟专项债（来源：2024年山东省工信厅）。云帆平台二期扩容引社会资本（来源：2024年云帆平台）。</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龙头上市融资、生态企业融资、平台基建融资」展开系统梳理，其中「拟募资约8亿港元投向AI与平台（来源：2024年胜软科技）」与「工业软件创业企业股权融资约4亿元（来源：2024年悦来湖）」等数据点清晰刻画了该维度的现实基础；拟募资约8亿港元投向AI与平台（来源：2024年胜软科技）；工业软件创业企业股权融资约4亿元（来源：2024年悦来湖）；油气行业大模型训练算力需求资金约5亿元（来源：2024年东营市）；工业软件测试验证平台拟专项债（来源：2024年山东省工信厅）。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石油石化工业软件开发在东营市东营经济技术开发区依托区域产业基础与政策赋能，已形成以量化事实为支撑的发展格局。国家推动油气勘探开发与智能制造融合（来源：2024年国家能源局）；地方炼化企业超40家形成集群（来源：2024年东营市）；石油装备与油服企业配套完善（来源：2024年东营经开区）；首版次软件政策奖励单项最高百万（来源：2024年山东省工信厅）；CAD/CAE在装备企业渗透率提升（来源：2024年海克斯康）；云帆平台提供数据中台底座（来源：2024年云帆平台）；油气行业智能化改造预算年增超20%（来源：2024年行业研究）；云帆平台上云炼化企业超千家（来源：2024年云帆平台）。</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胜软科技股份有限公司（833339）是国内油气领域最大的民营软件与信息技术服务商，2024年营收5.25亿元、净利润5929.79万元，拥有发明专利12项、软件著作权300余项；核心产品包括石油工程智能决策指挥系统、云帆工业互联网平台（国家级双跨）与识油大模型2.0（5亿字节语料库、20余个应用），客户覆盖中石化、胜利油田及地方炼化企业，正冲刺港股上市，是东营石油石化工业软件绝对龙头。|2024年年报</w:t>
      </w:r>
    </w:p>
    <w:p>
      <w:pPr>
        <w:spacing w:lineRule="exact" w:line="600" w:before="0" w:after="0"/>
        <w:ind w:firstLine="420"/>
        <w:jc w:val="both"/>
      </w:pPr>
      <w:r>
        <w:rPr>
          <w:rFonts w:ascii="仿宋_GB2312" w:hAnsi="仿宋_GB2312" w:eastAsia="仿宋_GB2312"/>
          <w:b w:val="0"/>
          <w:color w:val="000000"/>
          <w:sz w:val="32"/>
        </w:rPr>
        <w:t>山东汇佳软件股份有限公司聚焦石油石化行业安全生产与设备管理信息化，提供隐患排查、智能巡检与应急指挥系统，其「跃灵动」工业数据平台在多家炼化与仓储企业落地；公司作为东营本土工业软件企业，参与悦来湖产业园协同创新，承接多类石化企业MES与SCADA集成项目，是行业信息化重要参与者。|2024年汇佳软件</w:t>
      </w:r>
    </w:p>
    <w:p>
      <w:pPr>
        <w:spacing w:lineRule="exact" w:line="600" w:before="0" w:after="0"/>
        <w:ind w:firstLine="420"/>
        <w:jc w:val="both"/>
      </w:pPr>
      <w:r>
        <w:rPr>
          <w:rFonts w:ascii="仿宋_GB2312" w:hAnsi="仿宋_GB2312" w:eastAsia="仿宋_GB2312"/>
          <w:b w:val="0"/>
          <w:color w:val="000000"/>
          <w:sz w:val="32"/>
        </w:rPr>
        <w:t>海克斯康赋智中心落地悦来湖产业园，为石油装备与炼化企业提供智能检测、计量与数字孪生软件服务，累计服务65家制造企业；其智能传感器与质量大数据软件支撑东营石化装备精度提升与全生命周期质量管理，是石油石化工业软件生态中「感知+软件」关键一环。|2024年海克斯康</w:t>
      </w:r>
    </w:p>
    <w:p>
      <w:pPr>
        <w:spacing w:lineRule="exact" w:line="600" w:before="0" w:after="0"/>
        <w:jc w:val="left"/>
      </w:pPr>
      <w:r>
        <w:rPr>
          <w:rFonts w:ascii="仿宋_GB2312" w:hAnsi="仿宋_GB2312" w:eastAsia="仿宋_GB2312"/>
          <w:b w:val="0"/>
          <w:color w:val="000000"/>
          <w:sz w:val="28"/>
        </w:rPr>
        <w:t>主要数据来源：胜软科技2024年年度报告（833339）；云帆工业互联网平台国家级双跨清单（2024）；悦来湖数字经济产业园官方发布（2024）；山东省工信厅首版次软件产品名单（2024）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