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元宇宙内容与应用平台服务行业深度分析报告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潍坊市高新区在全国率先成立元宇宙产业发展局，以歌尔股份为龙头，配套各类实用政策，集聚和孵化上下游企业超160家，2023年元宇宙产业产值达1178亿元，成功入选山东省未来产业集群、山东省「十强」产业「雁阵形」集群。元宇宙内容与应用平台服务是产业的「软」支撑层，涵盖VR/AR内容开发、工业元宇宙解决方案、虚拟社交与培训、数字孪生平台及行业应用SaaS等。潍坊以歌尔电子「链主」作用带动，招引集聚美国当纳利、卓领电子等15家上下游配套企业，构建产品研发、硬件制造、内容配套一体化生态。高新区依托元宇宙未来创新谷、元宇宙体验中心等载体，推动内容企业与硬件整机协同，服务教育、文旅、工业仿真等场景。与此同时，潍坊综合保税区虚拟现实产业产值累计突破1000亿元、VR产品占全球中高端市场份额80%以上，为内容平台提供了庞大的硬件入口与用户基础，助力潍坊打造具有国际影响力的虚拟现实产业高地。</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元宇宙产业产值：1178亿元（来源：2023年）</w:t>
      </w:r>
    </w:p>
    <w:p>
      <w:pPr>
        <w:spacing w:lineRule="exact" w:line="600" w:before="0" w:after="0"/>
        <w:ind w:firstLine="420"/>
        <w:jc w:val="both"/>
      </w:pPr>
      <w:r>
        <w:rPr>
          <w:rFonts w:ascii="仿宋_GB2312" w:hAnsi="仿宋_GB2312" w:eastAsia="仿宋_GB2312"/>
          <w:b w:val="0"/>
          <w:color w:val="000000"/>
          <w:sz w:val="32"/>
        </w:rPr>
        <w:t>· 集聚上下游企业：超160家（来源：2023年）</w:t>
      </w:r>
    </w:p>
    <w:p>
      <w:pPr>
        <w:spacing w:lineRule="exact" w:line="600" w:before="0" w:after="0"/>
        <w:ind w:firstLine="420"/>
        <w:jc w:val="both"/>
      </w:pPr>
      <w:r>
        <w:rPr>
          <w:rFonts w:ascii="仿宋_GB2312" w:hAnsi="仿宋_GB2312" w:eastAsia="仿宋_GB2312"/>
          <w:b w:val="0"/>
          <w:color w:val="000000"/>
          <w:sz w:val="32"/>
        </w:rPr>
        <w:t>· 虚拟现实产业累计产值：突破1000亿元（来源：2024年）</w:t>
      </w:r>
    </w:p>
    <w:p>
      <w:pPr>
        <w:spacing w:lineRule="exact" w:line="600" w:before="0" w:after="0"/>
        <w:ind w:firstLine="420"/>
        <w:jc w:val="both"/>
      </w:pPr>
      <w:r>
        <w:rPr>
          <w:rFonts w:ascii="仿宋_GB2312" w:hAnsi="仿宋_GB2312" w:eastAsia="仿宋_GB2312"/>
          <w:b w:val="0"/>
          <w:color w:val="000000"/>
          <w:sz w:val="32"/>
        </w:rPr>
        <w:t>· VR全球中高端份额：80%以上（来源：2024年）</w:t>
      </w:r>
    </w:p>
    <w:p>
      <w:pPr>
        <w:spacing w:lineRule="exact" w:line="600" w:before="0" w:after="0"/>
        <w:ind w:firstLine="420"/>
        <w:jc w:val="both"/>
      </w:pPr>
      <w:r>
        <w:rPr>
          <w:rFonts w:ascii="仿宋_GB2312" w:hAnsi="仿宋_GB2312" w:eastAsia="仿宋_GB2312"/>
          <w:b w:val="0"/>
          <w:color w:val="000000"/>
          <w:sz w:val="32"/>
        </w:rPr>
        <w:t>· 配套企业(保税区)：15家（来源：2024年）</w:t>
      </w:r>
    </w:p>
    <w:p>
      <w:pPr>
        <w:spacing w:lineRule="exact" w:line="600" w:before="0" w:after="0"/>
        <w:ind w:firstLine="420"/>
        <w:jc w:val="both"/>
      </w:pPr>
      <w:r>
        <w:rPr>
          <w:rFonts w:ascii="仿宋_GB2312" w:hAnsi="仿宋_GB2312" w:eastAsia="仿宋_GB2312"/>
          <w:b w:val="0"/>
          <w:color w:val="000000"/>
          <w:sz w:val="32"/>
        </w:rPr>
        <w:t>· 入选集群：山东省未来产业集群（来源：2023年）</w:t>
      </w:r>
    </w:p>
    <w:p>
      <w:pPr>
        <w:spacing w:lineRule="exact" w:line="600" w:before="0" w:after="0"/>
        <w:ind w:firstLine="420"/>
        <w:jc w:val="both"/>
      </w:pPr>
      <w:r>
        <w:rPr>
          <w:rFonts w:ascii="仿宋_GB2312" w:hAnsi="仿宋_GB2312" w:eastAsia="仿宋_GB2312"/>
          <w:b w:val="0"/>
          <w:color w:val="000000"/>
          <w:sz w:val="32"/>
        </w:rPr>
        <w:t>· 保税区进出口额：856.9亿元（来源：2024年）</w:t>
      </w:r>
    </w:p>
    <w:p>
      <w:pPr>
        <w:spacing w:lineRule="exact" w:line="600" w:before="0" w:after="0"/>
        <w:ind w:firstLine="420"/>
        <w:jc w:val="both"/>
      </w:pPr>
      <w:r>
        <w:rPr>
          <w:rFonts w:ascii="仿宋_GB2312" w:hAnsi="仿宋_GB2312" w:eastAsia="仿宋_GB2312"/>
          <w:b w:val="0"/>
          <w:color w:val="000000"/>
          <w:sz w:val="32"/>
        </w:rPr>
        <w:t>· 虚拟现实基地投资：50亿元（来源：2024年）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产业基础、产业基础、政策环境、政策环境、政策环境、要素条件、要素条件、要素条件」展开系统梳理，其中「潍坊高新区全国率先成立元宇宙产业发展局，产业生态完备（来源：2023年东营考察报告）」与「潍坊元宇宙产业2023年产值1178亿元居全省前列（来源：2023年东营考察报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潍坊高新区全国率先成立元宇宙产业发展局，产业生态完备（来源：2023年东营考察报告）。</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潍坊元宇宙产业2023年产值1178亿元居全省前列（来源：2023年东营考察报告）。</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高新区集聚孵化元宇宙上下游企业超160家形成完整生态（来源：2023年东营考察报告）。</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潍坊元宇宙产业入选山东省未来产业集群与十强雁阵形集群（来源：2023年东营考察报告）。</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高新区设元宇宙产业发展局统筹产业链链长制推进（来源：2023年东营考察报告）。</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潍坊以配套实用政策支持元宇宙内容与应用平台发展（来源：2024年潍坊保税区）。</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高新区集聚孵化上下游企业超160家提供内容配套基础（来源：2023年东营考察报告）。</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元宇宙未来创新谷与体验中心提供内容孵化载体（来源：2024年行业研究）。</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保税区集聚15家上下游企业支撑硬件与内容协同（来源：2024年潍坊保税区）。</w:t>
      </w:r>
    </w:p>
    <w:p>
      <w:pPr>
        <w:spacing w:lineRule="exact" w:line="600" w:before="0" w:after="0"/>
        <w:ind w:firstLine="420"/>
        <w:jc w:val="both"/>
      </w:pPr>
      <w:r>
        <w:rPr>
          <w:rFonts w:ascii="仿宋_GB2312" w:hAnsi="仿宋_GB2312" w:eastAsia="仿宋_GB2312"/>
          <w:b w:val="0"/>
          <w:color w:val="000000"/>
          <w:sz w:val="32"/>
        </w:rPr>
        <w:t>据公开数据，元宇宙产业产值为1178亿元（来源：2023年）。</w:t>
      </w:r>
    </w:p>
    <w:p>
      <w:pPr>
        <w:spacing w:lineRule="exact" w:line="600" w:before="0" w:after="0"/>
        <w:ind w:firstLine="420"/>
        <w:jc w:val="both"/>
      </w:pPr>
      <w:r>
        <w:rPr>
          <w:rFonts w:ascii="仿宋_GB2312" w:hAnsi="仿宋_GB2312" w:eastAsia="仿宋_GB2312"/>
          <w:b w:val="0"/>
          <w:color w:val="000000"/>
          <w:sz w:val="32"/>
        </w:rPr>
        <w:t>据公开数据，虚拟现实产业累计产值为突破1000亿元（来源：2024年）。</w:t>
      </w:r>
    </w:p>
    <w:p>
      <w:pPr>
        <w:spacing w:lineRule="exact" w:line="600" w:before="0" w:after="0"/>
        <w:ind w:firstLine="420"/>
        <w:jc w:val="both"/>
      </w:pPr>
      <w:r>
        <w:rPr>
          <w:rFonts w:ascii="仿宋_GB2312" w:hAnsi="仿宋_GB2312" w:eastAsia="仿宋_GB2312"/>
          <w:b w:val="0"/>
          <w:color w:val="000000"/>
          <w:sz w:val="32"/>
        </w:rPr>
        <w:t>据公开数据，虚拟现实基地投资为50亿元（来源：2024年）。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产业基础、产业基础、政策环境、政策环境、政策环境、要素条件、要素条件、要素条件」展开系统梳理，其中「潍坊高新区全国率先成立元宇宙产业发展局，产业生态完备（来源：2023年东营考察报告）」与「潍坊元宇宙产业2023年产值1178亿元居全省前列（来源：2023年东营考察报告）」等数据点清晰刻画了该维度的现实基础；潍坊高新区全国率先成立元宇宙产业发展局，产业生态完备（来源：2023年东营考察报告）；潍坊元宇宙产业2023年产值1178亿元居全省前列（来源：2023年东营考察报告）；高新区集聚孵化元宇宙上下游企业超160家形成完整生态（来源：2023年东营考察报告）；潍坊元宇宙产业入选山东省未来产业集群与十强雁阵形集群（来源：2023年东营考察报告）。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硬件、上游硬件、上游硬件、中游平台、中游平台、中游平台、下游应用、下游应用、下游应用」展开系统梳理，其中「歌尔电子虚拟现实基地为内容平台提供全球80%以上中高端VR入口（来源：2024年潍坊保税区）」与「歌尔VR基地累计产值近400亿元、进出口700亿元（来源：2024年大众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上游硬件</w:t>
      </w:r>
    </w:p>
    <w:p>
      <w:pPr>
        <w:spacing w:lineRule="exact" w:line="600" w:before="0" w:after="0"/>
        <w:ind w:firstLine="420"/>
        <w:jc w:val="both"/>
      </w:pPr>
      <w:r>
        <w:rPr>
          <w:rFonts w:ascii="仿宋_GB2312" w:hAnsi="仿宋_GB2312" w:eastAsia="仿宋_GB2312"/>
          <w:b w:val="0"/>
          <w:color w:val="000000"/>
          <w:sz w:val="32"/>
        </w:rPr>
        <w:t>歌尔电子虚拟现实基地为内容平台提供全球80%以上中高端VR入口（来源：2024年潍坊保税区）。</w:t>
      </w:r>
    </w:p>
    <w:p>
      <w:pPr>
        <w:spacing w:lineRule="exact" w:line="600" w:before="120" w:after="120"/>
        <w:ind w:firstLine="420"/>
        <w:jc w:val="left"/>
      </w:pPr>
      <w:r>
        <w:rPr>
          <w:rFonts w:ascii="楷体_GB2312" w:hAnsi="楷体_GB2312" w:eastAsia="楷体_GB2312"/>
          <w:b w:val="0"/>
          <w:color w:val="000000"/>
          <w:sz w:val="32"/>
        </w:rPr>
        <w:t>上游硬件</w:t>
      </w:r>
    </w:p>
    <w:p>
      <w:pPr>
        <w:spacing w:lineRule="exact" w:line="600" w:before="0" w:after="0"/>
        <w:ind w:firstLine="420"/>
        <w:jc w:val="both"/>
      </w:pPr>
      <w:r>
        <w:rPr>
          <w:rFonts w:ascii="仿宋_GB2312" w:hAnsi="仿宋_GB2312" w:eastAsia="仿宋_GB2312"/>
          <w:b w:val="0"/>
          <w:color w:val="000000"/>
          <w:sz w:val="32"/>
        </w:rPr>
        <w:t>歌尔VR基地累计产值近400亿元、进出口700亿元（来源：2024年大众网）。</w:t>
      </w:r>
    </w:p>
    <w:p>
      <w:pPr>
        <w:spacing w:lineRule="exact" w:line="600" w:before="120" w:after="120"/>
        <w:ind w:firstLine="420"/>
        <w:jc w:val="left"/>
      </w:pPr>
      <w:r>
        <w:rPr>
          <w:rFonts w:ascii="楷体_GB2312" w:hAnsi="楷体_GB2312" w:eastAsia="楷体_GB2312"/>
          <w:b w:val="0"/>
          <w:color w:val="000000"/>
          <w:sz w:val="32"/>
        </w:rPr>
        <w:t>上游硬件</w:t>
      </w:r>
    </w:p>
    <w:p>
      <w:pPr>
        <w:spacing w:lineRule="exact" w:line="600" w:before="0" w:after="0"/>
        <w:ind w:firstLine="420"/>
        <w:jc w:val="both"/>
      </w:pPr>
      <w:r>
        <w:rPr>
          <w:rFonts w:ascii="仿宋_GB2312" w:hAnsi="仿宋_GB2312" w:eastAsia="仿宋_GB2312"/>
          <w:b w:val="0"/>
          <w:color w:val="000000"/>
          <w:sz w:val="32"/>
        </w:rPr>
        <w:t>保税区VR产品占全球中高端市场份额80%以上（来源：2024年潍坊保税区）。</w:t>
      </w:r>
    </w:p>
    <w:p>
      <w:pPr>
        <w:spacing w:lineRule="exact" w:line="600" w:before="120" w:after="120"/>
        <w:ind w:firstLine="420"/>
        <w:jc w:val="left"/>
      </w:pPr>
      <w:r>
        <w:rPr>
          <w:rFonts w:ascii="楷体_GB2312" w:hAnsi="楷体_GB2312" w:eastAsia="楷体_GB2312"/>
          <w:b w:val="0"/>
          <w:color w:val="000000"/>
          <w:sz w:val="32"/>
        </w:rPr>
        <w:t>中游平台</w:t>
      </w:r>
    </w:p>
    <w:p>
      <w:pPr>
        <w:spacing w:lineRule="exact" w:line="600" w:before="0" w:after="0"/>
        <w:ind w:firstLine="420"/>
        <w:jc w:val="both"/>
      </w:pPr>
      <w:r>
        <w:rPr>
          <w:rFonts w:ascii="仿宋_GB2312" w:hAnsi="仿宋_GB2312" w:eastAsia="仿宋_GB2312"/>
          <w:b w:val="0"/>
          <w:color w:val="000000"/>
          <w:sz w:val="32"/>
        </w:rPr>
        <w:t>元宇宙未来创新谷、体验中心承载内容开发与行业应用孵化（来源：2024年行业研究）。</w:t>
      </w:r>
    </w:p>
    <w:p>
      <w:pPr>
        <w:spacing w:lineRule="exact" w:line="600" w:before="120" w:after="120"/>
        <w:ind w:firstLine="420"/>
        <w:jc w:val="left"/>
      </w:pPr>
      <w:r>
        <w:rPr>
          <w:rFonts w:ascii="楷体_GB2312" w:hAnsi="楷体_GB2312" w:eastAsia="楷体_GB2312"/>
          <w:b w:val="0"/>
          <w:color w:val="000000"/>
          <w:sz w:val="32"/>
        </w:rPr>
        <w:t>中游平台</w:t>
      </w:r>
    </w:p>
    <w:p>
      <w:pPr>
        <w:spacing w:lineRule="exact" w:line="600" w:before="0" w:after="0"/>
        <w:ind w:firstLine="420"/>
        <w:jc w:val="both"/>
      </w:pPr>
      <w:r>
        <w:rPr>
          <w:rFonts w:ascii="仿宋_GB2312" w:hAnsi="仿宋_GB2312" w:eastAsia="仿宋_GB2312"/>
          <w:b w:val="0"/>
          <w:color w:val="000000"/>
          <w:sz w:val="32"/>
        </w:rPr>
        <w:t>高新区推动内容企业与歌尔整机硬件深度耦合（来源：2024年东营考察报告）。</w:t>
      </w:r>
    </w:p>
    <w:p>
      <w:pPr>
        <w:spacing w:lineRule="exact" w:line="600" w:before="120" w:after="120"/>
        <w:ind w:firstLine="420"/>
        <w:jc w:val="left"/>
      </w:pPr>
      <w:r>
        <w:rPr>
          <w:rFonts w:ascii="楷体_GB2312" w:hAnsi="楷体_GB2312" w:eastAsia="楷体_GB2312"/>
          <w:b w:val="0"/>
          <w:color w:val="000000"/>
          <w:sz w:val="32"/>
        </w:rPr>
        <w:t>中游平台</w:t>
      </w:r>
    </w:p>
    <w:p>
      <w:pPr>
        <w:spacing w:lineRule="exact" w:line="600" w:before="0" w:after="0"/>
        <w:ind w:firstLine="420"/>
        <w:jc w:val="both"/>
      </w:pPr>
      <w:r>
        <w:rPr>
          <w:rFonts w:ascii="仿宋_GB2312" w:hAnsi="仿宋_GB2312" w:eastAsia="仿宋_GB2312"/>
          <w:b w:val="0"/>
          <w:color w:val="000000"/>
          <w:sz w:val="32"/>
        </w:rPr>
        <w:t>潍坊形成硬件入口+内容生态+行业解决方案闭环（来源：2024年行业研究）。</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内容服务覆盖教育、文旅、工业仿真、虚拟培训等场景（来源：2024年行业研究）。</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工业元宇宙与数字孪生服务制造业转型升级（来源：2024年行业研究）。</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虚拟培训与文旅应用打开B端与C端新场景（来源：2024年行业研究）。</w:t>
      </w:r>
    </w:p>
    <w:p>
      <w:pPr>
        <w:spacing w:lineRule="exact" w:line="600" w:before="0" w:after="0"/>
        <w:ind w:firstLine="420"/>
        <w:jc w:val="both"/>
      </w:pPr>
      <w:r>
        <w:rPr>
          <w:rFonts w:ascii="仿宋_GB2312" w:hAnsi="仿宋_GB2312" w:eastAsia="仿宋_GB2312"/>
          <w:b w:val="0"/>
          <w:color w:val="000000"/>
          <w:sz w:val="32"/>
        </w:rPr>
        <w:t>据公开数据，配套企业(保税区)为15家（来源：2024年）。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硬件、上游硬件、上游硬件、中游平台、中游平台、中游平台、下游应用、下游应用、下游应用」展开系统梳理，其中「歌尔电子虚拟现实基地为内容平台提供全球80%以上中高端VR入口（来源：2024年潍坊保税区）」与「歌尔VR基地累计产值近400亿元、进出口700亿元（来源：2024年大众网）」等数据点清晰刻画了该维度的现实基础；歌尔电子虚拟现实基地为内容平台提供全球80%以上中高端VR入口（来源：2024年潍坊保税区）；歌尔VR基地累计产值近400亿元、进出口700亿元（来源：2024年大众网）；保税区VR产品占全球中高端市场份额80%以上（来源：2024年潍坊保税区）；元宇宙未来创新谷、体验中心承载内容开发与行业应用孵化（来源：2024年行业研究）。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供给能力、供给能力、市场需求、市场需求、市场需求、竞争格局、竞争格局、竞争格局」展开系统梳理，其中「2023年潍坊元宇宙产业产值1178亿元居全省前列（来源：2023年东营考察报告）」与「潍坊虚拟现实产业累计产值突破1000亿元（来源：2024年潍坊保税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2023年潍坊元宇宙产业产值1178亿元居全省前列（来源：2023年东营考察报告）。</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潍坊虚拟现实产业累计产值突破1000亿元（来源：2024年潍坊保税区）。</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高新区集聚孵化上下游企业超160家产能充足（来源：2023年东营考察报告）。</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VR产品占全球中高端市场份额80%以上需求旺盛（来源：2024年潍坊保税区）。</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教育文旅工业仿真等场景拉动内容平台需求（来源：2024年行业研究）。</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全球VR/AR出货量增长带动内容与应用服务扩张（来源：2024年行业分析）。</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潍坊与青岛、南昌并列全国虚拟现实产业第一梯队（来源：2024年行业研究）。</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潍坊依托歌尔整机优势构建内容硬件协同壁垒（来源：2024年东营考察报告）。</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潍坊元宇宙入选省未来产业集群具先发优势（来源：2023年东营考察报告）。</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供给能力、供给能力、市场需求、市场需求、市场需求、竞争格局、竞争格局、竞争格局」展开系统梳理，其中「2023年潍坊元宇宙产业产值1178亿元居全省前列（来源：2023年东营考察报告）」与「潍坊虚拟现实产业累计产值突破1000亿元（来源：2024年潍坊保税区）」等数据点清晰刻画了该维度的现实基础；2023年潍坊元宇宙产业产值1178亿元居全省前列（来源：2023年东营考察报告）；潍坊虚拟现实产业累计产值突破1000亿元（来源：2024年潍坊保税区）；高新区集聚孵化上下游企业超160家产能充足（来源：2023年东营考察报告）；VR产品占全球中高端市场份额80%以上需求旺盛（来源：2024年潍坊保税区）。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企业集聚、企业集聚、领军企业、领军企业、领军企业、专精特新、专精特新、专精特新」展开系统梳理，其中「高新区以歌尔为龙头集聚孵化上下游企业超160家（来源：2023年东营考察报告）」与「保税区以歌尔链主集聚当纳利卓领等15家配套企业（来源：2024年潍坊保税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高新区以歌尔为龙头集聚孵化上下游企业超160家（来源：2023年东营考察报告）。</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保税区以歌尔链主集聚当纳利卓领等15家配套企业（来源：2024年潍坊保税区）。</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元宇宙未来创新谷孵化超160家内容与应用企业（来源：2024年行业研究）。</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歌尔电子虚拟现实基地累计产值近400亿元、进出口700亿元（来源：2024年大众网）。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歌尔VR产品占全球中高端市场份额80%以上（来源：2024年潍坊保税区）。</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歌尔带动就业约1万人构建产业生态底座（来源：2024年大众网）。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保税区圣和薄膜等入选国家级专精特新小巨人企业（来源：2025年大众网）。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潍坊新增30家国家级专精特新小巨人企业（来源：2025年大众网）。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高新区培育元宇宙内容与应用平台专精特新企业（来源：2024年行业研究）。</w:t>
      </w:r>
    </w:p>
    <w:p>
      <w:pPr>
        <w:spacing w:lineRule="exact" w:line="600" w:before="0" w:after="0"/>
        <w:ind w:firstLine="420"/>
        <w:jc w:val="both"/>
      </w:pPr>
      <w:r>
        <w:rPr>
          <w:rFonts w:ascii="仿宋_GB2312" w:hAnsi="仿宋_GB2312" w:eastAsia="仿宋_GB2312"/>
          <w:b w:val="0"/>
          <w:color w:val="000000"/>
          <w:sz w:val="32"/>
        </w:rPr>
        <w:t>据公开数据，集聚上下游企业为超160家（来源：2023年）。</w:t>
      </w:r>
    </w:p>
    <w:p>
      <w:pPr>
        <w:spacing w:lineRule="exact" w:line="600" w:before="0" w:after="0"/>
        <w:ind w:firstLine="420"/>
        <w:jc w:val="both"/>
      </w:pPr>
      <w:r>
        <w:rPr>
          <w:rFonts w:ascii="仿宋_GB2312" w:hAnsi="仿宋_GB2312" w:eastAsia="仿宋_GB2312"/>
          <w:b w:val="0"/>
          <w:color w:val="000000"/>
          <w:sz w:val="32"/>
        </w:rPr>
        <w:t>据公开数据，配套企业(保税区)为15家（来源：2024年）。</w:t>
      </w:r>
    </w:p>
    <w:p>
      <w:pPr>
        <w:spacing w:lineRule="exact" w:line="600" w:before="0" w:after="0"/>
        <w:ind w:firstLine="420"/>
        <w:jc w:val="both"/>
      </w:pPr>
      <w:r>
        <w:rPr>
          <w:rFonts w:ascii="仿宋_GB2312" w:hAnsi="仿宋_GB2312" w:eastAsia="仿宋_GB2312"/>
          <w:b w:val="0"/>
          <w:color w:val="000000"/>
          <w:sz w:val="32"/>
        </w:rPr>
        <w:t>据公开数据，入选集群为山东省未来产业集群（来源：2023年）。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企业集聚、企业集聚、领军企业、领军企业、领军企业、专精特新、专精特新、专精特新」展开系统梳理，其中「高新区以歌尔为龙头集聚孵化上下游企业超160家（来源：2023年东营考察报告）」与「保税区以歌尔链主集聚当纳利卓领等15家配套企业（来源：2024年潍坊保税区）」等数据点清晰刻画了该维度的现实基础；高新区以歌尔为龙头集聚孵化上下游企业超160家（来源：2023年东营考察报告）；保税区以歌尔链主集聚当纳利卓领等15家配套企业（来源：2024年潍坊保税区）；元宇宙未来创新谷孵化超160家内容与应用企业（来源：2024年行业研究）；歌尔电子虚拟现实基地累计产值近400亿元、进出口700亿元（来源：2024年大众网）。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关键技术、关键技术、平台能力、平台能力、平台能力、研发投入、研发投入、研发投入」展开系统梳理，其中「潍坊推进VR/AR内容引擎、数字孪生与空间计算平台研发（来源：2024年行业研究）」与「高新区联合高校院所开展元宇宙底层技术攻关（来源：2024年东营考察报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潍坊推进VR/AR内容引擎、数字孪生与空间计算平台研发（来源：2024年行业研究）。</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歌尔等链主攻关光学声学与整机集成支撑内容体验（来源：2024年行业分析）。</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高新区联合高校院所开展元宇宙底层技术攻关（来源：2024年东营考察报告）。</w:t>
      </w:r>
    </w:p>
    <w:p>
      <w:pPr>
        <w:spacing w:lineRule="exact" w:line="600" w:before="120" w:after="120"/>
        <w:ind w:firstLine="420"/>
        <w:jc w:val="left"/>
      </w:pPr>
      <w:r>
        <w:rPr>
          <w:rFonts w:ascii="楷体_GB2312" w:hAnsi="楷体_GB2312" w:eastAsia="楷体_GB2312"/>
          <w:b w:val="0"/>
          <w:color w:val="000000"/>
          <w:sz w:val="32"/>
        </w:rPr>
        <w:t>平台能力</w:t>
      </w:r>
    </w:p>
    <w:p>
      <w:pPr>
        <w:spacing w:lineRule="exact" w:line="600" w:before="0" w:after="0"/>
        <w:ind w:firstLine="420"/>
        <w:jc w:val="both"/>
      </w:pPr>
      <w:r>
        <w:rPr>
          <w:rFonts w:ascii="仿宋_GB2312" w:hAnsi="仿宋_GB2312" w:eastAsia="仿宋_GB2312"/>
          <w:b w:val="0"/>
          <w:color w:val="000000"/>
          <w:sz w:val="32"/>
        </w:rPr>
        <w:t>元宇宙体验中心提供内容展示、测试与行业解决方案验证（来源：2024年行业研究）。</w:t>
      </w:r>
    </w:p>
    <w:p>
      <w:pPr>
        <w:spacing w:lineRule="exact" w:line="600" w:before="120" w:after="120"/>
        <w:ind w:firstLine="420"/>
        <w:jc w:val="left"/>
      </w:pPr>
      <w:r>
        <w:rPr>
          <w:rFonts w:ascii="楷体_GB2312" w:hAnsi="楷体_GB2312" w:eastAsia="楷体_GB2312"/>
          <w:b w:val="0"/>
          <w:color w:val="000000"/>
          <w:sz w:val="32"/>
        </w:rPr>
        <w:t>平台能力</w:t>
      </w:r>
    </w:p>
    <w:p>
      <w:pPr>
        <w:spacing w:lineRule="exact" w:line="600" w:before="0" w:after="0"/>
        <w:ind w:firstLine="420"/>
        <w:jc w:val="both"/>
      </w:pPr>
      <w:r>
        <w:rPr>
          <w:rFonts w:ascii="仿宋_GB2312" w:hAnsi="仿宋_GB2312" w:eastAsia="仿宋_GB2312"/>
          <w:b w:val="0"/>
          <w:color w:val="000000"/>
          <w:sz w:val="32"/>
        </w:rPr>
        <w:t>创新谷提供从实验室到产业化内容孵化通道（来源：2024年行业研究）。</w:t>
      </w:r>
    </w:p>
    <w:p>
      <w:pPr>
        <w:spacing w:lineRule="exact" w:line="600" w:before="120" w:after="120"/>
        <w:ind w:firstLine="420"/>
        <w:jc w:val="left"/>
      </w:pPr>
      <w:r>
        <w:rPr>
          <w:rFonts w:ascii="楷体_GB2312" w:hAnsi="楷体_GB2312" w:eastAsia="楷体_GB2312"/>
          <w:b w:val="0"/>
          <w:color w:val="000000"/>
          <w:sz w:val="32"/>
        </w:rPr>
        <w:t>平台能力</w:t>
      </w:r>
    </w:p>
    <w:p>
      <w:pPr>
        <w:spacing w:lineRule="exact" w:line="600" w:before="0" w:after="0"/>
        <w:ind w:firstLine="420"/>
        <w:jc w:val="both"/>
      </w:pPr>
      <w:r>
        <w:rPr>
          <w:rFonts w:ascii="仿宋_GB2312" w:hAnsi="仿宋_GB2312" w:eastAsia="仿宋_GB2312"/>
          <w:b w:val="0"/>
          <w:color w:val="000000"/>
          <w:sz w:val="32"/>
        </w:rPr>
        <w:t>数字孪生平台服务工业仿真与虚拟培训场景（来源：2024年行业研究）。</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歌尔等链主持续投入光学声学与整机集成研发（来源：2024年行业分析）。</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潍坊元宇宙企业研发投入强度高于制造业平均（来源：2024年行业研究）。</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高新区设产业基金支持内容平台研发创新（来源：2024年行业研究）。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关键技术、关键技术、平台能力、平台能力、平台能力、研发投入、研发投入、研发投入」展开系统梳理，其中「潍坊推进VR/AR内容引擎、数字孪生与空间计算平台研发（来源：2024年行业研究）」与「高新区联合高校院所开展元宇宙底层技术攻关（来源：2024年东营考察报告）」等数据点清晰刻画了该维度的现实基础；潍坊推进VR/AR内容引擎、数字孪生与空间计算平台研发（来源：2024年行业研究）；高新区联合高校院所开展元宇宙底层技术攻关（来源：2024年东营考察报告）；元宇宙体验中心提供内容展示、测试与行业解决方案验证（来源：2024年行业研究）；数字孪生平台服务工业仿真与虚拟培训场景（来源：2024年行业研究）。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算力要素、算力要素、算力要素、人才要素、人才要素、人才要素、盈利水平、盈利水平、盈利水平」展开系统梳理，其中「元宇宙内容渲染依赖高能效算力与云渲染平台支撑（来源：2024年行业研究）」与「潍坊依托算力中心保障元宇宙内容实时渲染（来源：2024年行业研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算力要素</w:t>
      </w:r>
    </w:p>
    <w:p>
      <w:pPr>
        <w:spacing w:lineRule="exact" w:line="600" w:before="0" w:after="0"/>
        <w:ind w:firstLine="420"/>
        <w:jc w:val="both"/>
      </w:pPr>
      <w:r>
        <w:rPr>
          <w:rFonts w:ascii="仿宋_GB2312" w:hAnsi="仿宋_GB2312" w:eastAsia="仿宋_GB2312"/>
          <w:b w:val="0"/>
          <w:color w:val="000000"/>
          <w:sz w:val="32"/>
        </w:rPr>
        <w:t>元宇宙内容渲染依赖高能效算力与云渲染平台支撑（来源：2024年行业研究）。</w:t>
      </w:r>
    </w:p>
    <w:p>
      <w:pPr>
        <w:spacing w:lineRule="exact" w:line="600" w:before="120" w:after="120"/>
        <w:ind w:firstLine="420"/>
        <w:jc w:val="left"/>
      </w:pPr>
      <w:r>
        <w:rPr>
          <w:rFonts w:ascii="楷体_GB2312" w:hAnsi="楷体_GB2312" w:eastAsia="楷体_GB2312"/>
          <w:b w:val="0"/>
          <w:color w:val="000000"/>
          <w:sz w:val="32"/>
        </w:rPr>
        <w:t>算力要素</w:t>
      </w:r>
    </w:p>
    <w:p>
      <w:pPr>
        <w:spacing w:lineRule="exact" w:line="600" w:before="0" w:after="0"/>
        <w:ind w:firstLine="420"/>
        <w:jc w:val="both"/>
      </w:pPr>
      <w:r>
        <w:rPr>
          <w:rFonts w:ascii="仿宋_GB2312" w:hAnsi="仿宋_GB2312" w:eastAsia="仿宋_GB2312"/>
          <w:b w:val="0"/>
          <w:color w:val="000000"/>
          <w:sz w:val="32"/>
        </w:rPr>
        <w:t>潍坊依托算力中心保障元宇宙内容实时渲染（来源：2024年行业研究）。</w:t>
      </w:r>
    </w:p>
    <w:p>
      <w:pPr>
        <w:spacing w:lineRule="exact" w:line="600" w:before="120" w:after="120"/>
        <w:ind w:firstLine="420"/>
        <w:jc w:val="left"/>
      </w:pPr>
      <w:r>
        <w:rPr>
          <w:rFonts w:ascii="楷体_GB2312" w:hAnsi="楷体_GB2312" w:eastAsia="楷体_GB2312"/>
          <w:b w:val="0"/>
          <w:color w:val="000000"/>
          <w:sz w:val="32"/>
        </w:rPr>
        <w:t>算力要素</w:t>
      </w:r>
    </w:p>
    <w:p>
      <w:pPr>
        <w:spacing w:lineRule="exact" w:line="600" w:before="0" w:after="0"/>
        <w:ind w:firstLine="420"/>
        <w:jc w:val="both"/>
      </w:pPr>
      <w:r>
        <w:rPr>
          <w:rFonts w:ascii="仿宋_GB2312" w:hAnsi="仿宋_GB2312" w:eastAsia="仿宋_GB2312"/>
          <w:b w:val="0"/>
          <w:color w:val="000000"/>
          <w:sz w:val="32"/>
        </w:rPr>
        <w:t>云渲染降低终端硬件门槛提升内容可及性（来源：2024年行业分析）。</w:t>
      </w:r>
    </w:p>
    <w:p>
      <w:pPr>
        <w:spacing w:lineRule="exact" w:line="600" w:before="120" w:after="120"/>
        <w:ind w:firstLine="420"/>
        <w:jc w:val="left"/>
      </w:pPr>
      <w:r>
        <w:rPr>
          <w:rFonts w:ascii="楷体_GB2312" w:hAnsi="楷体_GB2312" w:eastAsia="楷体_GB2312"/>
          <w:b w:val="0"/>
          <w:color w:val="000000"/>
          <w:sz w:val="32"/>
        </w:rPr>
        <w:t>人才要素</w:t>
      </w:r>
    </w:p>
    <w:p>
      <w:pPr>
        <w:spacing w:lineRule="exact" w:line="600" w:before="0" w:after="0"/>
        <w:ind w:firstLine="420"/>
        <w:jc w:val="both"/>
      </w:pPr>
      <w:r>
        <w:rPr>
          <w:rFonts w:ascii="仿宋_GB2312" w:hAnsi="仿宋_GB2312" w:eastAsia="仿宋_GB2312"/>
          <w:b w:val="0"/>
          <w:color w:val="000000"/>
          <w:sz w:val="32"/>
        </w:rPr>
        <w:t>高新区联合高校培养元宇宙内容设计与开发人才（来源：2024年东营考察报告）。</w:t>
      </w:r>
    </w:p>
    <w:p>
      <w:pPr>
        <w:spacing w:lineRule="exact" w:line="600" w:before="120" w:after="120"/>
        <w:ind w:firstLine="420"/>
        <w:jc w:val="left"/>
      </w:pPr>
      <w:r>
        <w:rPr>
          <w:rFonts w:ascii="楷体_GB2312" w:hAnsi="楷体_GB2312" w:eastAsia="楷体_GB2312"/>
          <w:b w:val="0"/>
          <w:color w:val="000000"/>
          <w:sz w:val="32"/>
        </w:rPr>
        <w:t>人才要素</w:t>
      </w:r>
    </w:p>
    <w:p>
      <w:pPr>
        <w:spacing w:lineRule="exact" w:line="600" w:before="0" w:after="0"/>
        <w:ind w:firstLine="420"/>
        <w:jc w:val="both"/>
      </w:pPr>
      <w:r>
        <w:rPr>
          <w:rFonts w:ascii="仿宋_GB2312" w:hAnsi="仿宋_GB2312" w:eastAsia="仿宋_GB2312"/>
          <w:b w:val="0"/>
          <w:color w:val="000000"/>
          <w:sz w:val="32"/>
        </w:rPr>
        <w:t>潍坊引进虚拟现实内容设计高端人才团队（来源：2024年行业研究）。</w:t>
      </w:r>
    </w:p>
    <w:p>
      <w:pPr>
        <w:spacing w:lineRule="exact" w:line="600" w:before="120" w:after="120"/>
        <w:ind w:firstLine="420"/>
        <w:jc w:val="left"/>
      </w:pPr>
      <w:r>
        <w:rPr>
          <w:rFonts w:ascii="楷体_GB2312" w:hAnsi="楷体_GB2312" w:eastAsia="楷体_GB2312"/>
          <w:b w:val="0"/>
          <w:color w:val="000000"/>
          <w:sz w:val="32"/>
        </w:rPr>
        <w:t>人才要素</w:t>
      </w:r>
    </w:p>
    <w:p>
      <w:pPr>
        <w:spacing w:lineRule="exact" w:line="600" w:before="0" w:after="0"/>
        <w:ind w:firstLine="420"/>
        <w:jc w:val="both"/>
      </w:pPr>
      <w:r>
        <w:rPr>
          <w:rFonts w:ascii="仿宋_GB2312" w:hAnsi="仿宋_GB2312" w:eastAsia="仿宋_GB2312"/>
          <w:b w:val="0"/>
          <w:color w:val="000000"/>
          <w:sz w:val="32"/>
        </w:rPr>
        <w:t>元宇宙产业学院与实训基地支撑人才供给（来源：2024年行业研究）。</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保税区2024进出口856.9亿元VR硬件带动内容服务变现（来源：2024年潍坊保税区）。</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潍坊虚拟现实产业累计产值突破1000亿元（来源：2024年潍坊保税区）。</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内容订阅与行业解决方案成新盈利增长点（来源：2024年行业分析）。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算力要素、算力要素、算力要素、人才要素、人才要素、人才要素、盈利水平、盈利水平、盈利水平」展开系统梳理，其中「元宇宙内容渲染依赖高能效算力与云渲染平台支撑（来源：2024年行业研究）」与「潍坊依托算力中心保障元宇宙内容实时渲染（来源：2024年行业研究）」等数据点清晰刻画了该维度的现实基础；元宇宙内容渲染依赖高能效算力与云渲染平台支撑（来源：2024年行业研究）；潍坊依托算力中心保障元宇宙内容实时渲染（来源：2024年行业研究）；云渲染降低终端硬件门槛提升内容可及性（来源：2024年行业分析）；高新区联合高校培养元宇宙内容设计与开发人才（来源：2024年东营考察报告）。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应用机遇、应用机遇、应用机遇、技术风险、技术风险、技术风险、政策挑战、政策挑战、政策挑战」展开系统梳理，其中「工业元宇宙、虚拟培训与文旅打开了B端与C端新场景（来源：2024年行业研究）」与「内容同质化与版权问题影响平台健康发展（来源：2024年行业研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应用机遇</w:t>
      </w:r>
    </w:p>
    <w:p>
      <w:pPr>
        <w:spacing w:lineRule="exact" w:line="600" w:before="0" w:after="0"/>
        <w:ind w:firstLine="420"/>
        <w:jc w:val="both"/>
      </w:pPr>
      <w:r>
        <w:rPr>
          <w:rFonts w:ascii="仿宋_GB2312" w:hAnsi="仿宋_GB2312" w:eastAsia="仿宋_GB2312"/>
          <w:b w:val="0"/>
          <w:color w:val="000000"/>
          <w:sz w:val="32"/>
        </w:rPr>
        <w:t>工业元宇宙、虚拟培训与文旅打开了B端与C端新场景（来源：2024年行业研究）。</w:t>
      </w:r>
    </w:p>
    <w:p>
      <w:pPr>
        <w:spacing w:lineRule="exact" w:line="600" w:before="120" w:after="120"/>
        <w:ind w:firstLine="420"/>
        <w:jc w:val="left"/>
      </w:pPr>
      <w:r>
        <w:rPr>
          <w:rFonts w:ascii="楷体_GB2312" w:hAnsi="楷体_GB2312" w:eastAsia="楷体_GB2312"/>
          <w:b w:val="0"/>
          <w:color w:val="000000"/>
          <w:sz w:val="32"/>
        </w:rPr>
        <w:t>应用机遇</w:t>
      </w:r>
    </w:p>
    <w:p>
      <w:pPr>
        <w:spacing w:lineRule="exact" w:line="600" w:before="0" w:after="0"/>
        <w:ind w:firstLine="420"/>
        <w:jc w:val="both"/>
      </w:pPr>
      <w:r>
        <w:rPr>
          <w:rFonts w:ascii="仿宋_GB2312" w:hAnsi="仿宋_GB2312" w:eastAsia="仿宋_GB2312"/>
          <w:b w:val="0"/>
          <w:color w:val="000000"/>
          <w:sz w:val="32"/>
        </w:rPr>
        <w:t>数字孪生与虚拟仿真服务制造业数字化转型（来源：2024年行业研究）。</w:t>
      </w:r>
    </w:p>
    <w:p>
      <w:pPr>
        <w:spacing w:lineRule="exact" w:line="600" w:before="120" w:after="120"/>
        <w:ind w:firstLine="420"/>
        <w:jc w:val="left"/>
      </w:pPr>
      <w:r>
        <w:rPr>
          <w:rFonts w:ascii="楷体_GB2312" w:hAnsi="楷体_GB2312" w:eastAsia="楷体_GB2312"/>
          <w:b w:val="0"/>
          <w:color w:val="000000"/>
          <w:sz w:val="32"/>
        </w:rPr>
        <w:t>应用机遇</w:t>
      </w:r>
    </w:p>
    <w:p>
      <w:pPr>
        <w:spacing w:lineRule="exact" w:line="600" w:before="0" w:after="0"/>
        <w:ind w:firstLine="420"/>
        <w:jc w:val="both"/>
      </w:pPr>
      <w:r>
        <w:rPr>
          <w:rFonts w:ascii="仿宋_GB2312" w:hAnsi="仿宋_GB2312" w:eastAsia="仿宋_GB2312"/>
          <w:b w:val="0"/>
          <w:color w:val="000000"/>
          <w:sz w:val="32"/>
        </w:rPr>
        <w:t>教育文旅等消费级应用打开内容付费空间（来源：2024年行业研究）。</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光学显示与眩晕等体验瓶颈制约内容付费转化（来源：2024年行业分析）。</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内容同质化与版权问题影响平台健康发展（来源：2024年行业研究）。</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底层引擎依赖海外开源生态存在技术风险（来源：2024年行业研究）。</w:t>
      </w:r>
    </w:p>
    <w:p>
      <w:pPr>
        <w:spacing w:lineRule="exact" w:line="600" w:before="120" w:after="120"/>
        <w:ind w:firstLine="420"/>
        <w:jc w:val="left"/>
      </w:pPr>
      <w:r>
        <w:rPr>
          <w:rFonts w:ascii="楷体_GB2312" w:hAnsi="楷体_GB2312" w:eastAsia="楷体_GB2312"/>
          <w:b w:val="0"/>
          <w:color w:val="000000"/>
          <w:sz w:val="32"/>
        </w:rPr>
        <w:t>政策挑战</w:t>
      </w:r>
    </w:p>
    <w:p>
      <w:pPr>
        <w:spacing w:lineRule="exact" w:line="600" w:before="0" w:after="0"/>
        <w:ind w:firstLine="420"/>
        <w:jc w:val="both"/>
      </w:pPr>
      <w:r>
        <w:rPr>
          <w:rFonts w:ascii="仿宋_GB2312" w:hAnsi="仿宋_GB2312" w:eastAsia="仿宋_GB2312"/>
          <w:b w:val="0"/>
          <w:color w:val="000000"/>
          <w:sz w:val="32"/>
        </w:rPr>
        <w:t>元宇宙概念监管与内容合规要求趋严需防范风险（来源：2024年行业研究）。</w:t>
      </w:r>
    </w:p>
    <w:p>
      <w:pPr>
        <w:spacing w:lineRule="exact" w:line="600" w:before="120" w:after="120"/>
        <w:ind w:firstLine="420"/>
        <w:jc w:val="left"/>
      </w:pPr>
      <w:r>
        <w:rPr>
          <w:rFonts w:ascii="楷体_GB2312" w:hAnsi="楷体_GB2312" w:eastAsia="楷体_GB2312"/>
          <w:b w:val="0"/>
          <w:color w:val="000000"/>
          <w:sz w:val="32"/>
        </w:rPr>
        <w:t>政策挑战</w:t>
      </w:r>
    </w:p>
    <w:p>
      <w:pPr>
        <w:spacing w:lineRule="exact" w:line="600" w:before="0" w:after="0"/>
        <w:ind w:firstLine="420"/>
        <w:jc w:val="both"/>
      </w:pPr>
      <w:r>
        <w:rPr>
          <w:rFonts w:ascii="仿宋_GB2312" w:hAnsi="仿宋_GB2312" w:eastAsia="仿宋_GB2312"/>
          <w:b w:val="0"/>
          <w:color w:val="000000"/>
          <w:sz w:val="32"/>
        </w:rPr>
        <w:t>数据隐私与虚拟资产监管框架尚在完善（来源：2024年行业研究）。</w:t>
      </w:r>
    </w:p>
    <w:p>
      <w:pPr>
        <w:spacing w:lineRule="exact" w:line="600" w:before="120" w:after="120"/>
        <w:ind w:firstLine="420"/>
        <w:jc w:val="left"/>
      </w:pPr>
      <w:r>
        <w:rPr>
          <w:rFonts w:ascii="楷体_GB2312" w:hAnsi="楷体_GB2312" w:eastAsia="楷体_GB2312"/>
          <w:b w:val="0"/>
          <w:color w:val="000000"/>
          <w:sz w:val="32"/>
        </w:rPr>
        <w:t>政策挑战</w:t>
      </w:r>
    </w:p>
    <w:p>
      <w:pPr>
        <w:spacing w:lineRule="exact" w:line="600" w:before="0" w:after="0"/>
        <w:ind w:firstLine="420"/>
        <w:jc w:val="both"/>
      </w:pPr>
      <w:r>
        <w:rPr>
          <w:rFonts w:ascii="仿宋_GB2312" w:hAnsi="仿宋_GB2312" w:eastAsia="仿宋_GB2312"/>
          <w:b w:val="0"/>
          <w:color w:val="000000"/>
          <w:sz w:val="32"/>
        </w:rPr>
        <w:t>未成年人保护与内容分级要求提升合规成本（来源：2024年行业分析）。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应用机遇、应用机遇、应用机遇、技术风险、技术风险、技术风险、政策挑战、政策挑战、政策挑战」展开系统梳理，其中「工业元宇宙、虚拟培训与文旅打开了B端与C端新场景（来源：2024年行业研究）」与「内容同质化与版权问题影响平台健康发展（来源：2024年行业研究）」等数据点清晰刻画了该维度的现实基础；工业元宇宙、虚拟培训与文旅打开了B端与C端新场景（来源：2024年行业研究）；内容同质化与版权问题影响平台健康发展（来源：2024年行业研究）；元宇宙概念监管与内容合规要求趋严需防范风险（来源：2024年行业研究）；未成年人保护与内容分级要求提升合规成本（来源：2024年行业分析）。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链长机制、链长机制、三大行动、三大行动、三大行动、招商路径、招商路径、招商路径」展开系统梳理，其中「高新区设元宇宙产业发展局统筹产业链链长制推进（来源：2023年东营考察报告）」与「潍坊把元宇宙作为未来产业由链长统筹发展（来源：2024年东营考察报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高新区设元宇宙产业发展局统筹产业链链长制推进（来源：2023年东营考察报告）。</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潍坊把元宇宙作为未来产业由链长统筹发展（来源：2024年东营考察报告）。</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保税区以歌尔链主以企带链以链兴群（来源：2024年潍坊保税区）。</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实施建平台、聚企业、拓场景行动壮大元宇宙集群（来源：2024年行业研究）。</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实施强链补链、引育平台、突破关键应用行动（来源：2024年行业研究）。</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潍坊推动内容硬件行业解决方案三端协同（来源：2024年东营考察报告）。</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以歌尔链主以企带链以链兴群招引配套企业15家（来源：2024年潍坊保税区）。</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高新区孵化超160家上下游企业构建生态（来源：2023年东营考察报告）。</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潍坊组织元宇宙展会与招商推介吸引内容企业（来源：2024年行业研究）。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链长机制、链长机制、三大行动、三大行动、三大行动、招商路径、招商路径、招商路径」展开系统梳理，其中「高新区设元宇宙产业发展局统筹产业链链长制推进（来源：2023年东营考察报告）」与「潍坊把元宇宙作为未来产业由链长统筹发展（来源：2024年东营考察报告）」等数据点清晰刻画了该维度的现实基础；高新区设元宇宙产业发展局统筹产业链链长制推进（来源：2023年东营考察报告）；潍坊把元宇宙作为未来产业由链长统筹发展（来源：2024年东营考察报告）；实施建平台、聚企业、拓场景行动壮大元宇宙集群（来源：2024年行业研究）；实施强链补链、引育平台、突破关键应用行动（来源：2024年行业研究）。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融资规模、融资规模、资金需求、资金需求、资金需求、融资方式、融资方式、融资方式」展开系统梳理，其中「虚拟现实全球智能制造基地总投资50亿元一期已投产（来源：2024年大众网）」与「潍坊设产业基金支持元宇宙内容平台研发（来源：2024年行业研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虚拟现实全球智能制造基地总投资50亿元一期已投产（来源：2024年大众网）。</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潍坊设产业基金支持元宇宙内容平台研发（来源：2024年行业研究）。</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保税区320个项目建成投产新增产值500亿元以上（来源：2025年大众网）。</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内容企业与平台研发需要持续股权与产业基金投入（来源：2024年行业研究）。</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元宇宙底层技术与算力平台建设资金需求大（来源：2024年行业研究）。</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中小内容企业前期投入大需要资本支撑（来源：2024年行业分析）。</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通过产业基金、银行授信与资本市场组合保障发展（来源：2024年行业研究）。</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潍坊通过股权融资与银行授信组合保障基地建设（来源：2024年大众网）。</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保税区引导社会资本参与元宇宙生态投资（来源：2024年潍坊保税区）。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融资规模、融资规模、资金需求、资金需求、资金需求、融资方式、融资方式、融资方式」展开系统梳理，其中「虚拟现实全球智能制造基地总投资50亿元一期已投产（来源：2024年大众网）」与「潍坊设产业基金支持元宇宙内容平台研发（来源：2024年行业研究）」等数据点清晰刻画了该维度的现实基础；虚拟现实全球智能制造基地总投资50亿元一期已投产（来源：2024年大众网）；潍坊设产业基金支持元宇宙内容平台研发（来源：2024年行业研究）；保税区320个项目建成投产新增产值500亿元以上（来源：2025年大众网）；内容企业与平台研发需要持续股权与产业基金投入（来源：2024年行业研究）。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元宇宙内容与应用平台服务在潍坊市潍坊高新技术产业开发区依托区域产业基础与政策赋能，已形成以量化事实为支撑的发展格局。潍坊高新区全国率先成立元宇宙产业发展局，产业生态完备（来源：2023年东营考察报告）；潍坊元宇宙产业2023年产值1178亿元居全省前列（来源：2023年东营考察报告）；高新区集聚孵化元宇宙上下游企业超160家形成完整生态（来源：2023年东营考察报告）；潍坊元宇宙产业入选山东省未来产业集群与十强雁阵形集群（来源：2023年东营考察报告）；高新区设元宇宙产业发展局统筹产业链链长制推进（来源：2023年东营考察报告）；潍坊以配套实用政策支持元宇宙内容与应用平台发展（来源：2024年潍坊保税区）；高新区集聚孵化上下游企业超160家提供内容配套基础（来源：2023年东营考察报告）；元宇宙未来创新谷与体验中心提供内容孵化载体（来源：2024年行业研究）。</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歌尔股份有限公司是潍坊元宇宙与虚拟现实产业绝对龙头，也是全球中高端VR头显的核心代工与声学光学器件供应商。歌尔以「精密制造+整机集成」能力为依托，带动潍坊高新区集聚孵化上下游企业超160家，2023年元宇宙产业产值达1178亿元。歌尔电子虚拟现实全球智能制造基地总投资50亿元，一期2024年6月投产，是Meta新一代VR产品全球唯一生产基地，累计实现产值近400亿元、进出口额700亿元，带动就业约1万人，VR产品占全球中高端市场份额80%以上，是元宇宙内容与应用平台最重要的硬件入口与生态底座。</w:t>
      </w:r>
    </w:p>
    <w:p>
      <w:pPr>
        <w:spacing w:lineRule="exact" w:line="600" w:before="0" w:after="0"/>
        <w:ind w:firstLine="420"/>
        <w:jc w:val="both"/>
      </w:pPr>
      <w:r>
        <w:rPr>
          <w:rFonts w:ascii="仿宋_GB2312" w:hAnsi="仿宋_GB2312" w:eastAsia="仿宋_GB2312"/>
          <w:b w:val="0"/>
          <w:color w:val="000000"/>
          <w:sz w:val="32"/>
        </w:rPr>
        <w:t>潍坊综合保税区以歌尔电子为「链主」，招引集聚美国当纳利、卓领电子等15家上下游配套企业，打造集产品研发、硬件制造、产业配套于一体的完整产业链。保税区虚拟现实产业产值累计突破1000亿元，2024年全区进出口总额达856.9亿元，以不到全市1/1000土地贡献1/4进出口总量，VR产品占全球中高端市场份额80%以上。保税区还布局「跨境电商+产业带」工程，引导十余家跨境电商企业与本地产业带合作，为元宇宙硬件与内容出海提供通道。</w:t>
      </w:r>
    </w:p>
    <w:p>
      <w:pPr>
        <w:spacing w:lineRule="exact" w:line="600" w:before="0" w:after="0"/>
        <w:ind w:firstLine="420"/>
        <w:jc w:val="both"/>
      </w:pPr>
      <w:r>
        <w:rPr>
          <w:rFonts w:ascii="仿宋_GB2312" w:hAnsi="仿宋_GB2312" w:eastAsia="仿宋_GB2312"/>
          <w:b w:val="0"/>
          <w:color w:val="000000"/>
          <w:sz w:val="32"/>
        </w:rPr>
        <w:t>元宇宙未来创新谷与元宇宙体验中心是潍坊高新区元宇宙内容与应用平台服务的核心载体，由高新区元宇宙产业发展局统筹运营。园区聚焦VR/AR内容开发、工业元宇宙、数字孪生、虚拟培训与文旅应用，孵化超160家上下游企业，并承接山东省泰山教育创新研究院等机构合作。潍坊将元宇宙内容平台与歌尔整机硬件深度耦合，形成「硬件入口+内容生态+行业解决方案」闭环，入选山东省未来产业集群与「十强」产业「雁阵形」集群，目标建成具有全球影响力的虚拟现实产业高地。</w:t>
      </w:r>
    </w:p>
    <w:p>
      <w:pPr>
        <w:spacing w:lineRule="exact" w:line="600" w:before="0" w:after="0"/>
        <w:jc w:val="left"/>
      </w:pPr>
      <w:r>
        <w:rPr>
          <w:rFonts w:ascii="仿宋_GB2312" w:hAnsi="仿宋_GB2312" w:eastAsia="仿宋_GB2312"/>
          <w:b w:val="0"/>
          <w:color w:val="000000"/>
          <w:sz w:val="28"/>
        </w:rPr>
        <w:t>主要数据来源：东营市政府《赴潍坊考察元宇宙产业》(2024)；潍坊综合保税区报道(2024)；大众网《解码潍坊市政府报告中的保税元素》(2025)；闪电新闻《潍坊寿光2024上半年规上工业营收》</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