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大型锻件与风电主轴制造行业深度分析报告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大型锻件与风电主轴制造是钢城区依托雄厚钢铁锻压基础培育的高端装备细分产业。金雷股份总部位于钢城区双元大街18号，是全球领先的风电主轴制造商，风电锻造主轴全球市占率稳居行业首位，2024年实现营业收入19.67亿元、归母净利润1.73亿元，其中风电主轴收入13.88亿元、占比70.56%。公司产品覆盖1.5MW至9.5MW全系列锻造主轴，并具备全流程生产5MW至25MW风机主轴、轮毂、底座、连体轴承座等大型铸造部件的能力，铸造主轴销售收入2.77亿元、同比增长71%，其他精密轴收入3.76亿元、同比增长29.46%。区域内通裕重工同为A股风电主轴龙头，2024年营业收入61.54亿元，风电主轴收入8.34亿元，其首台套14MW大型海上风电转子房于2024年12月在青岛基地成功下线，最大可生产单重150吨铸钢件，形成与金雷股份协同的风电主轴区域产业带，服务全球能源转型与高端制造国产化。</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金雷营收：19.67亿元（来源：2024年）</w:t>
      </w:r>
    </w:p>
    <w:p>
      <w:pPr>
        <w:spacing w:lineRule="exact" w:line="600" w:before="0" w:after="0"/>
        <w:ind w:firstLine="420"/>
        <w:jc w:val="both"/>
      </w:pPr>
      <w:r>
        <w:rPr>
          <w:rFonts w:ascii="仿宋_GB2312" w:hAnsi="仿宋_GB2312" w:eastAsia="仿宋_GB2312"/>
          <w:b w:val="0"/>
          <w:color w:val="000000"/>
          <w:sz w:val="32"/>
        </w:rPr>
        <w:t>· 金雷风电主轴占比：70.56%（来源：2024年）</w:t>
      </w:r>
    </w:p>
    <w:p>
      <w:pPr>
        <w:spacing w:lineRule="exact" w:line="600" w:before="0" w:after="0"/>
        <w:ind w:firstLine="420"/>
        <w:jc w:val="both"/>
      </w:pPr>
      <w:r>
        <w:rPr>
          <w:rFonts w:ascii="仿宋_GB2312" w:hAnsi="仿宋_GB2312" w:eastAsia="仿宋_GB2312"/>
          <w:b w:val="0"/>
          <w:color w:val="000000"/>
          <w:sz w:val="32"/>
        </w:rPr>
        <w:t>· 金雷铸造主轴收入：2.77亿元（来源：2024年）</w:t>
      </w:r>
    </w:p>
    <w:p>
      <w:pPr>
        <w:spacing w:lineRule="exact" w:line="600" w:before="0" w:after="0"/>
        <w:ind w:firstLine="420"/>
        <w:jc w:val="both"/>
      </w:pPr>
      <w:r>
        <w:rPr>
          <w:rFonts w:ascii="仿宋_GB2312" w:hAnsi="仿宋_GB2312" w:eastAsia="仿宋_GB2312"/>
          <w:b w:val="0"/>
          <w:color w:val="000000"/>
          <w:sz w:val="32"/>
        </w:rPr>
        <w:t>· 金雷其他精密轴收入：3.76亿元（来源：2024年）</w:t>
      </w:r>
    </w:p>
    <w:p>
      <w:pPr>
        <w:spacing w:lineRule="exact" w:line="600" w:before="0" w:after="0"/>
        <w:ind w:firstLine="420"/>
        <w:jc w:val="both"/>
      </w:pPr>
      <w:r>
        <w:rPr>
          <w:rFonts w:ascii="仿宋_GB2312" w:hAnsi="仿宋_GB2312" w:eastAsia="仿宋_GB2312"/>
          <w:b w:val="0"/>
          <w:color w:val="000000"/>
          <w:sz w:val="32"/>
        </w:rPr>
        <w:t>· 通裕营收：61.54亿元（来源：2024年）</w:t>
      </w:r>
    </w:p>
    <w:p>
      <w:pPr>
        <w:spacing w:lineRule="exact" w:line="600" w:before="0" w:after="0"/>
        <w:ind w:firstLine="420"/>
        <w:jc w:val="both"/>
      </w:pPr>
      <w:r>
        <w:rPr>
          <w:rFonts w:ascii="仿宋_GB2312" w:hAnsi="仿宋_GB2312" w:eastAsia="仿宋_GB2312"/>
          <w:b w:val="0"/>
          <w:color w:val="000000"/>
          <w:sz w:val="32"/>
        </w:rPr>
        <w:t>· 通裕风电主轴收入：8.34亿元（来源：2024年）</w:t>
      </w:r>
    </w:p>
    <w:p>
      <w:pPr>
        <w:spacing w:lineRule="exact" w:line="600" w:before="0" w:after="0"/>
        <w:ind w:firstLine="420"/>
        <w:jc w:val="both"/>
      </w:pPr>
      <w:r>
        <w:rPr>
          <w:rFonts w:ascii="仿宋_GB2312" w:hAnsi="仿宋_GB2312" w:eastAsia="仿宋_GB2312"/>
          <w:b w:val="0"/>
          <w:color w:val="000000"/>
          <w:sz w:val="32"/>
        </w:rPr>
        <w:t>· 金雷总资产：66.5亿元（来源：2024年）</w:t>
      </w:r>
    </w:p>
    <w:p>
      <w:pPr>
        <w:spacing w:lineRule="exact" w:line="600" w:before="0" w:after="0"/>
        <w:ind w:firstLine="420"/>
        <w:jc w:val="both"/>
      </w:pPr>
      <w:r>
        <w:rPr>
          <w:rFonts w:ascii="仿宋_GB2312" w:hAnsi="仿宋_GB2312" w:eastAsia="仿宋_GB2312"/>
          <w:b w:val="0"/>
          <w:color w:val="000000"/>
          <w:sz w:val="32"/>
        </w:rPr>
        <w:t>· 主轴覆盖功率：1.5-9.5MW（来源：2024年）</w:t>
      </w:r>
    </w:p>
    <w:p>
      <w:pPr>
        <w:spacing w:lineRule="exact" w:line="600" w:before="0" w:after="0"/>
        <w:ind w:firstLine="420"/>
        <w:jc w:val="both"/>
      </w:pPr>
      <w:r>
        <w:rPr>
          <w:rFonts w:ascii="仿宋_GB2312" w:hAnsi="仿宋_GB2312" w:eastAsia="仿宋_GB2312"/>
          <w:b w:val="0"/>
          <w:color w:val="000000"/>
          <w:sz w:val="32"/>
        </w:rPr>
        <w:t>· 铸造覆盖功率：5-25MW（来源：2024年）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风电大型化趋势推动大兆瓦主轴需求（来源：2024年金雷年报）」与「项目审批提速与市场需求上升拉动风电装备（来源：2024年金雷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金雷股份为全球领先风电主轴制造商、总部位于钢城区（来源：2024年金雷年报）。风电锻造主轴全球市占率稳居行业首位（来源：2024年金雷年报）。钢城区形成以金雷股份为龙头的风电主轴产业带（来源：2024年钢城区）。</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风电大型化趋势推动大兆瓦主轴需求（来源：2024年金雷年报）。海上风电迎来新发展机遇政策市场双驱动（来源：2024年金雷年报）。项目审批提速与市场需求上升拉动风电装备（来源：2024年金雷年报）。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金雷股份位于钢城区双元大街18号配套完善（来源：2024年金雷年报）。钢城区钢铁冶炼锻压产业基础雄厚（来源：2024年钢城经济开发区）。区域具备大型锻件全流程生产工艺能力（来源：2024年通裕年报）。</w:t>
      </w:r>
    </w:p>
    <w:p>
      <w:pPr>
        <w:spacing w:lineRule="exact" w:line="600" w:before="0" w:after="0"/>
        <w:ind w:firstLine="420"/>
        <w:jc w:val="both"/>
      </w:pPr>
      <w:r>
        <w:rPr>
          <w:rFonts w:ascii="仿宋_GB2312" w:hAnsi="仿宋_GB2312" w:eastAsia="仿宋_GB2312"/>
          <w:b w:val="0"/>
          <w:color w:val="000000"/>
          <w:sz w:val="32"/>
        </w:rPr>
        <w:t>据公开数据，金雷营收为19.67亿元（来源：2024年）。</w:t>
      </w:r>
    </w:p>
    <w:p>
      <w:pPr>
        <w:spacing w:lineRule="exact" w:line="600" w:before="0" w:after="0"/>
        <w:ind w:firstLine="420"/>
        <w:jc w:val="both"/>
      </w:pPr>
      <w:r>
        <w:rPr>
          <w:rFonts w:ascii="仿宋_GB2312" w:hAnsi="仿宋_GB2312" w:eastAsia="仿宋_GB2312"/>
          <w:b w:val="0"/>
          <w:color w:val="000000"/>
          <w:sz w:val="32"/>
        </w:rPr>
        <w:t>据公开数据，通裕营收为61.54亿元（来源：2024年）。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风电大型化趋势推动大兆瓦主轴需求（来源：2024年金雷年报）」与「项目审批提速与市场需求上升拉动风电装备（来源：2024年金雷年报）」等数据点清晰刻画了该维度的现实基础；风电大型化趋势推动大兆瓦主轴需求（来源：2024年金雷年报）；项目审批提速与市场需求上升拉动风电装备（来源：2024年金雷年报）；金雷股份位于钢城区双元大街18号配套完善（来源：2024年金雷年报）；据公开数据，金雷营收为19.67亿元（来源：2024年）。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冶炼、中游锻造、下游整机」展开系统梳理，其中「空心锻造技术提高大兆瓦主轴材料成材率（来源：2024年金雷年报）」与「金雷产品覆盖1.5MW至9.5MW全系列锻造主轴（来源：2024年金雷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上游冶炼</w:t>
      </w:r>
    </w:p>
    <w:p>
      <w:pPr>
        <w:spacing w:lineRule="exact" w:line="600" w:before="0" w:after="0"/>
        <w:ind w:firstLine="420"/>
        <w:jc w:val="both"/>
      </w:pPr>
      <w:r>
        <w:rPr>
          <w:rFonts w:ascii="仿宋_GB2312" w:hAnsi="仿宋_GB2312" w:eastAsia="仿宋_GB2312"/>
          <w:b w:val="0"/>
          <w:color w:val="000000"/>
          <w:sz w:val="32"/>
        </w:rPr>
        <w:t>区域依托山钢特钢原料与锻压基础（来源：2024年钢城经济开发区）。大型锻件采用冶炼锻造热处理机加工一体化（来源：2024年通裕年报）。空心锻造技术提高大兆瓦主轴材料成材率（来源：2024年金雷年报）。</w:t>
      </w:r>
    </w:p>
    <w:p>
      <w:pPr>
        <w:spacing w:lineRule="exact" w:line="600" w:before="120" w:after="120"/>
        <w:ind w:firstLine="420"/>
        <w:jc w:val="left"/>
      </w:pPr>
      <w:r>
        <w:rPr>
          <w:rFonts w:ascii="楷体_GB2312" w:hAnsi="楷体_GB2312" w:eastAsia="楷体_GB2312"/>
          <w:b w:val="0"/>
          <w:color w:val="000000"/>
          <w:sz w:val="32"/>
        </w:rPr>
        <w:t>中游锻造</w:t>
      </w:r>
    </w:p>
    <w:p>
      <w:pPr>
        <w:spacing w:lineRule="exact" w:line="600" w:before="0" w:after="0"/>
        <w:ind w:firstLine="420"/>
        <w:jc w:val="both"/>
      </w:pPr>
      <w:r>
        <w:rPr>
          <w:rFonts w:ascii="仿宋_GB2312" w:hAnsi="仿宋_GB2312" w:eastAsia="仿宋_GB2312"/>
          <w:b w:val="0"/>
          <w:color w:val="000000"/>
          <w:sz w:val="32"/>
        </w:rPr>
        <w:t>金雷产品覆盖1.5MW至9.5MW全系列锻造主轴（来源：2024年金雷年报）。通裕可为陆上海上风电提供锻件铸件结构件（来源：2024年通裕年报）。通裕首台套14MW海上风电转子房2024年下线（来源：2024年通裕年报）。</w:t>
      </w:r>
    </w:p>
    <w:p>
      <w:pPr>
        <w:spacing w:lineRule="exact" w:line="600" w:before="120" w:after="120"/>
        <w:ind w:firstLine="420"/>
        <w:jc w:val="left"/>
      </w:pPr>
      <w:r>
        <w:rPr>
          <w:rFonts w:ascii="楷体_GB2312" w:hAnsi="楷体_GB2312" w:eastAsia="楷体_GB2312"/>
          <w:b w:val="0"/>
          <w:color w:val="000000"/>
          <w:sz w:val="32"/>
        </w:rPr>
        <w:t>下游整机</w:t>
      </w:r>
    </w:p>
    <w:p>
      <w:pPr>
        <w:spacing w:lineRule="exact" w:line="600" w:before="0" w:after="0"/>
        <w:ind w:firstLine="420"/>
        <w:jc w:val="both"/>
      </w:pPr>
      <w:r>
        <w:rPr>
          <w:rFonts w:ascii="仿宋_GB2312" w:hAnsi="仿宋_GB2312" w:eastAsia="仿宋_GB2312"/>
          <w:b w:val="0"/>
          <w:color w:val="000000"/>
          <w:sz w:val="32"/>
        </w:rPr>
        <w:t>主轴是风电整机重要零部件配套国内外整机厂（来源：2024年南方财富网）。金雷通裕进入联合动力等整机厂供应链（来源：2024年国能招标）。铸造主轴轴承座轮毂底座等大型部件批量供货（来源：2024年金雷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冶炼、中游锻造、下游整机」展开系统梳理，其中「空心锻造技术提高大兆瓦主轴材料成材率（来源：2024年金雷年报）」与「金雷产品覆盖1.5MW至9.5MW全系列锻造主轴（来源：2024年金雷年报）」等数据点清晰刻画了该维度的现实基础；空心锻造技术提高大兆瓦主轴材料成材率（来源：2024年金雷年报）；金雷产品覆盖1.5MW至9.5MW全系列锻造主轴（来源：2024年金雷年报）；通裕首台套14MW海上风电转子房2024年下线（来源：2024年通裕年报）；主轴是风电整机重要零部件配套国内外整机厂（来源：2024年南方财富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金雷2024风电主轴营收13.88亿占比70.56%（来源：2024年金雷年报）」与「金雷铸造主轴销售收入2.77亿同比增长71%（来源：2024年金雷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金雷2024风电主轴营收13.88亿占比70.56%（来源：2024年金雷年报）。金雷铸造主轴销售收入2.77亿同比增长71%（来源：2024年金雷年报）。通裕2024风电主轴营收8.34亿占比13.55%（来源：2024年通裕年报）。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风电大型化推动大兆瓦主轴需求增长（来源：2024年金雷年报）。海上风电铸件交付量同比增长120%（来源：2024年金雷年报）。全球能源转型拉动风电装备核心部件需求（来源：2024年金雷年报）。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金雷通裕并列为A股风电主轴龙头（来源：2025年南方财富网）。金雷风电锻造主轴全球市占率首位（来源：2024年金雷年报）。通裕船舶用传动轴入围山东制造业单项冠军（来源：2024年通裕年报）。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金雷2024风电主轴营收13.88亿占比70.56%（来源：2024年金雷年报）」与「金雷铸造主轴销售收入2.77亿同比增长71%（来源：2024年金雷年报）」等数据点清晰刻画了该维度的现实基础；金雷2024风电主轴营收13.88亿占比70.56%（来源：2024年金雷年报）；金雷铸造主轴销售收入2.77亿同比增长71%（来源：2024年金雷年报）；通裕2024风电主轴营收8.34亿占比13.55%（来源：2024年通裕年报）；风电大型化推动大兆瓦主轴需求增长（来源：2024年金雷年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创新载体」展开系统梳理，其中「区域锻造铸造机加工配套企业协同（来源：2024年通裕年报）」与「通裕重工国有控股上市综合性研发制造平台（来源：2024年通裕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钢城区集聚金雷股份等风电主轴龙头企业（来源：2024年钢城区）。莱芜禹城形成风电主轴区域产业带（来源：2024年南方财富网）。区域锻造铸造机加工配套企业协同（来源：2024年通裕年报）。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金雷股份全球风电锻造主轴龙头总部钢城区（来源：2024年金雷年报）。通裕重工国有控股上市综合性研发制造平台（来源：2024年通裕年报）。两企业均为风电主轴概念龙头公司（来源：2025年南方财富网）。</w:t>
      </w:r>
    </w:p>
    <w:p>
      <w:pPr>
        <w:spacing w:lineRule="exact" w:line="600" w:before="120" w:after="120"/>
        <w:ind w:firstLine="420"/>
        <w:jc w:val="left"/>
      </w:pPr>
      <w:r>
        <w:rPr>
          <w:rFonts w:ascii="楷体_GB2312" w:hAnsi="楷体_GB2312" w:eastAsia="楷体_GB2312"/>
          <w:b w:val="0"/>
          <w:color w:val="000000"/>
          <w:sz w:val="32"/>
        </w:rPr>
        <w:t>创新载体</w:t>
      </w:r>
    </w:p>
    <w:p>
      <w:pPr>
        <w:spacing w:lineRule="exact" w:line="600" w:before="0" w:after="0"/>
        <w:ind w:firstLine="420"/>
        <w:jc w:val="both"/>
      </w:pPr>
      <w:r>
        <w:rPr>
          <w:rFonts w:ascii="仿宋_GB2312" w:hAnsi="仿宋_GB2312" w:eastAsia="仿宋_GB2312"/>
          <w:b w:val="0"/>
          <w:color w:val="000000"/>
          <w:sz w:val="32"/>
        </w:rPr>
        <w:t>金雷布局大型风电铸锻件产能保持优势（来源：2024年金雷年报）。通裕成立铸钢事业部整合大型高端铸钢件产线（来源：2024年通裕年报）。通裕获九家船级社工厂认可证书（来源：2024年通裕年报）。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创新载体」展开系统梳理，其中「区域锻造铸造机加工配套企业协同（来源：2024年通裕年报）」与「通裕重工国有控股上市综合性研发制造平台（来源：2024年通裕年报）」等数据点清晰刻画了该维度的现实基础；区域锻造铸造机加工配套企业协同（来源：2024年通裕年报）；通裕重工国有控股上市综合性研发制造平台（来源：2024年通裕年报）；通裕获九家船级社工厂认可证书（来源：2024年通裕年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大兆瓦能力、研发投入」展开系统梳理，其中「金雷采用空心锻造提升大内孔主轴成材率（来源：2024年金雷年报）」与「通裕最大可生产单重150吨铸钢件（来源：2024年通裕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金雷采用空心锻造提升大内孔主轴成材率（来源：2024年金雷年报）。通裕掌握冶炼锻造铸造焊接热处理全工艺（来源：2024年通裕年报）。通裕最大可生产单重150吨铸钢件（来源：2024年通裕年报）。</w:t>
      </w:r>
    </w:p>
    <w:p>
      <w:pPr>
        <w:spacing w:lineRule="exact" w:line="600" w:before="120" w:after="120"/>
        <w:ind w:firstLine="420"/>
        <w:jc w:val="left"/>
      </w:pPr>
      <w:r>
        <w:rPr>
          <w:rFonts w:ascii="楷体_GB2312" w:hAnsi="楷体_GB2312" w:eastAsia="楷体_GB2312"/>
          <w:b w:val="0"/>
          <w:color w:val="000000"/>
          <w:sz w:val="32"/>
        </w:rPr>
        <w:t>大兆瓦能力</w:t>
      </w:r>
    </w:p>
    <w:p>
      <w:pPr>
        <w:spacing w:lineRule="exact" w:line="600" w:before="0" w:after="0"/>
        <w:ind w:firstLine="420"/>
        <w:jc w:val="both"/>
      </w:pPr>
      <w:r>
        <w:rPr>
          <w:rFonts w:ascii="仿宋_GB2312" w:hAnsi="仿宋_GB2312" w:eastAsia="仿宋_GB2312"/>
          <w:b w:val="0"/>
          <w:color w:val="000000"/>
          <w:sz w:val="32"/>
        </w:rPr>
        <w:t>金雷具备全流程5MW至25MW铸造部件能力（来源：2024年金雷年报）。金雷产品覆盖1.5MW至9.5MW锻造主轴（来源：2024年金雷年报）。通裕14MW海上风电转子房成功下线（来源：2024年通裕年报）。</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金雷2018年钢城区投建年产8000支主轴项目（来源：2018年金雷公告）。项目总投资不超5.9亿元布局铸锻件（来源：2018年金雷公告）。通裕核装备进入中核集团合格供应商（来源：2024年通裕年报）。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大兆瓦能力、研发投入」展开系统梳理，其中「金雷采用空心锻造提升大内孔主轴成材率（来源：2024年金雷年报）」与「通裕最大可生产单重150吨铸钢件（来源：2024年通裕年报）」等数据点清晰刻画了该维度的现实基础；金雷采用空心锻造提升大内孔主轴成材率（来源：2024年金雷年报）；通裕最大可生产单重150吨铸钢件（来源：2024年通裕年报）；金雷具备全流程5MW至25MW铸造部件能力（来源：2024年金雷年报）；金雷产品覆盖1.5MW至9.5MW锻造主轴（来源：2024年金雷年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金雷2018年钢城区主轴铸锻件项目不超5.9亿（来源：2018年金雷公告）」与「通裕青岛基地支撑大兆瓦转子房制造（来源：2024年通裕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金雷2018年钢城区主轴铸锻件项目不超5.9亿（来源：2018年金雷公告）。通裕青岛基地支撑大兆瓦转子房制造（来源：2024年通裕年报）。风电装备模块化业务营收13.19亿占比21.44%（来源：2024年通裕年报）。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金雷采取降本增效优化库存精益管理（来源：2024年金雷年报）。通裕依托综合性平台降低单位制造成本（来源：2024年通裕年报）。全流程自主可控提升成材率与产能利用率（来源：2024年金雷年报）。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金雷2024营收19.67亿净利1.73亿（来源：2024年金雷年报）。金雷毛利率21.33%保持较高水平（来源：2024年南方财富网）。通裕2024营收61.54亿净利4137.6万（来源：2024年通裕年报）。</w:t>
      </w:r>
    </w:p>
    <w:p>
      <w:pPr>
        <w:spacing w:lineRule="exact" w:line="600" w:before="0" w:after="0"/>
        <w:ind w:firstLine="420"/>
        <w:jc w:val="both"/>
      </w:pPr>
      <w:r>
        <w:rPr>
          <w:rFonts w:ascii="仿宋_GB2312" w:hAnsi="仿宋_GB2312" w:eastAsia="仿宋_GB2312"/>
          <w:b w:val="0"/>
          <w:color w:val="000000"/>
          <w:sz w:val="32"/>
        </w:rPr>
        <w:t>据公开数据，金雷营收为19.67亿元（来源：2024年）。</w:t>
      </w:r>
    </w:p>
    <w:p>
      <w:pPr>
        <w:spacing w:lineRule="exact" w:line="600" w:before="0" w:after="0"/>
        <w:ind w:firstLine="420"/>
        <w:jc w:val="both"/>
      </w:pPr>
      <w:r>
        <w:rPr>
          <w:rFonts w:ascii="仿宋_GB2312" w:hAnsi="仿宋_GB2312" w:eastAsia="仿宋_GB2312"/>
          <w:b w:val="0"/>
          <w:color w:val="000000"/>
          <w:sz w:val="32"/>
        </w:rPr>
        <w:t>据公开数据，通裕营收为61.54亿元（来源：2024年）。</w:t>
      </w:r>
    </w:p>
    <w:p>
      <w:pPr>
        <w:spacing w:lineRule="exact" w:line="600" w:before="0" w:after="0"/>
        <w:ind w:firstLine="420"/>
        <w:jc w:val="both"/>
      </w:pPr>
      <w:r>
        <w:rPr>
          <w:rFonts w:ascii="仿宋_GB2312" w:hAnsi="仿宋_GB2312" w:eastAsia="仿宋_GB2312"/>
          <w:b w:val="0"/>
          <w:color w:val="000000"/>
          <w:sz w:val="32"/>
        </w:rPr>
        <w:t>据公开数据，金雷总资产为66.5亿元（来源：2024年）。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金雷2018年钢城区主轴铸锻件项目不超5.9亿（来源：2018年金雷公告）」与「通裕青岛基地支撑大兆瓦转子房制造（来源：2024年通裕年报）」等数据点清晰刻画了该维度的现实基础；金雷2018年钢城区主轴铸锻件项目不超5.9亿（来源：2018年金雷公告）；通裕青岛基地支撑大兆瓦转子房制造（来源：2024年通裕年报）；风电装备模块化业务营收13.19亿占比21.44%（来源：2024年通裕年报）；通裕依托综合性平台降低单位制造成本（来源：2024年通裕年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海风机遇、价格风险、竞争风险」展开系统梳理，其中「海上风电迎来新机遇大兆瓦铸件需求增（来源：2024年金雷年报）」与「金雷铸造主轴交付量同比增120%（来源：2024年金雷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海风机遇</w:t>
      </w:r>
    </w:p>
    <w:p>
      <w:pPr>
        <w:spacing w:lineRule="exact" w:line="600" w:before="0" w:after="0"/>
        <w:ind w:firstLine="420"/>
        <w:jc w:val="both"/>
      </w:pPr>
      <w:r>
        <w:rPr>
          <w:rFonts w:ascii="仿宋_GB2312" w:hAnsi="仿宋_GB2312" w:eastAsia="仿宋_GB2312"/>
          <w:b w:val="0"/>
          <w:color w:val="000000"/>
          <w:sz w:val="32"/>
        </w:rPr>
        <w:t>海上风电迎来新机遇大兆瓦铸件需求增（来源：2024年金雷年报）。金雷铸造主轴交付量同比增120%（来源：2024年金雷年报）。全球能源转型持续拉动风电主轴需求（来源：2024年金雷年报）。</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2024年金雷净利同比降58.03%受价格影响（来源：2024年金雷年报）。风电整机降本压力向上游主轴传导（来源：2024年南方财富网）。原材料价格波动影响锻件盈利（来源：2024年通裕年报）。</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风电主轴行业竞争加剧价格承压（来源：2024年南方财富网）。大兆瓦产能扩张带来供需变化（来源：2024年金雷年报）。国际巨头与国内厂商同台竞争（来源：2024年通裕年报）。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海风机遇、价格风险、竞争风险」展开系统梳理，其中「海上风电迎来新机遇大兆瓦铸件需求增（来源：2024年金雷年报）」与「金雷铸造主轴交付量同比增120%（来源：2024年金雷年报）」等数据点清晰刻画了该维度的现实基础；海上风电迎来新机遇大兆瓦铸件需求增（来源：2024年金雷年报）；金雷铸造主轴交付量同比增120%（来源：2024年金雷年报）；2024年金雷净利同比降58.03%受价格影响（来源：2024年金雷年报）；大兆瓦产能扩张带来供需变化（来源：2024年金雷年报）。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大型化路径、多元拓展」展开系统梳理，其中「通裕依托综合性平台延伸风电产品板块（来源：2024年通裕年报）」与「区域风电装备与钢铁锻压协同升级（来源：2024年钢城经济开发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以金雷股份为龙头打造风电主轴产业链（来源：2024年钢城区）。通裕依托综合性平台延伸风电产品板块（来源：2024年通裕年报）。区域风电装备与钢铁锻压协同升级（来源：2024年钢城经济开发区）。</w:t>
      </w:r>
    </w:p>
    <w:p>
      <w:pPr>
        <w:spacing w:lineRule="exact" w:line="600" w:before="120" w:after="120"/>
        <w:ind w:firstLine="420"/>
        <w:jc w:val="left"/>
      </w:pPr>
      <w:r>
        <w:rPr>
          <w:rFonts w:ascii="楷体_GB2312" w:hAnsi="楷体_GB2312" w:eastAsia="楷体_GB2312"/>
          <w:b w:val="0"/>
          <w:color w:val="000000"/>
          <w:sz w:val="32"/>
        </w:rPr>
        <w:t>大型化路径</w:t>
      </w:r>
    </w:p>
    <w:p>
      <w:pPr>
        <w:spacing w:lineRule="exact" w:line="600" w:before="0" w:after="0"/>
        <w:ind w:firstLine="420"/>
        <w:jc w:val="both"/>
      </w:pPr>
      <w:r>
        <w:rPr>
          <w:rFonts w:ascii="仿宋_GB2312" w:hAnsi="仿宋_GB2312" w:eastAsia="仿宋_GB2312"/>
          <w:b w:val="0"/>
          <w:color w:val="000000"/>
          <w:sz w:val="32"/>
        </w:rPr>
        <w:t>金雷主动适应风电大型化布局大兆瓦产能（来源：2024年金雷年报）。通裕14MW海上转子房扩展海风业务（来源：2024年通裕年报）。发展主轴轴承座轮毂底座等一体化部件（来源：2024年金雷年报）。</w:t>
      </w:r>
    </w:p>
    <w:p>
      <w:pPr>
        <w:spacing w:lineRule="exact" w:line="600" w:before="120" w:after="120"/>
        <w:ind w:firstLine="420"/>
        <w:jc w:val="left"/>
      </w:pPr>
      <w:r>
        <w:rPr>
          <w:rFonts w:ascii="楷体_GB2312" w:hAnsi="楷体_GB2312" w:eastAsia="楷体_GB2312"/>
          <w:b w:val="0"/>
          <w:color w:val="000000"/>
          <w:sz w:val="32"/>
        </w:rPr>
        <w:t>多元拓展</w:t>
      </w:r>
    </w:p>
    <w:p>
      <w:pPr>
        <w:spacing w:lineRule="exact" w:line="600" w:before="0" w:after="0"/>
        <w:ind w:firstLine="420"/>
        <w:jc w:val="both"/>
      </w:pPr>
      <w:r>
        <w:rPr>
          <w:rFonts w:ascii="仿宋_GB2312" w:hAnsi="仿宋_GB2312" w:eastAsia="仿宋_GB2312"/>
          <w:b w:val="0"/>
          <w:color w:val="000000"/>
          <w:sz w:val="32"/>
        </w:rPr>
        <w:t>金雷拓展船舶能源电力锻压机械铸锻件（来源：2024年金雷年报）。通裕发展核电水电船舶等高端装备锻件（来源：2024年通裕年报）。通裕核装备成中核集团合格供应商（来源：2024年通裕年报）。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大型化路径、多元拓展」展开系统梳理，其中「通裕依托综合性平台延伸风电产品板块（来源：2024年通裕年报）」与「区域风电装备与钢铁锻压协同升级（来源：2024年钢城经济开发区）」等数据点清晰刻画了该维度的现实基础；通裕依托综合性平台延伸风电产品板块（来源：2024年通裕年报）；区域风电装备与钢铁锻压协同升级（来源：2024年钢城经济开发区）；金雷主动适应风电大型化布局大兆瓦产能（来源：2024年金雷年报）；通裕14MW海上转子房扩展海风业务（来源：2024年通裕年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金雷2018年主轴铸锻件项目总投资不超5.9亿（来源：2018年金雷公告）」与「大兆瓦产能建设需持续资本开支（来源：2024年金雷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金雷2018年主轴铸锻件项目总投资不超5.9亿（来源：2018年金雷公告）。大兆瓦产能建设需持续资本开支（来源：2024年金雷年报）。通裕青岛基地与铸钢产线建设需投入（来源：2024年通裕年报）。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风电大型化产线升级资金需求大（来源：2024年金雷年报）。核电海工高端铸锻件研发需投入（来源：2024年通裕年报）。海上风电部件产能扩张需流动资金（来源：2024年金雷年报）。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上市公司平台股权融资与银行授信（来源：2024年南方财富网）。金雷通过定向增发等再融资扩产（来源：2018年金雷公告）。产业基金与战略投资者参与（来源：2024年通裕年报）。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金雷2018年主轴铸锻件项目总投资不超5.9亿（来源：2018年金雷公告）」与「大兆瓦产能建设需持续资本开支（来源：2024年金雷年报）」等数据点清晰刻画了该维度的现实基础；金雷2018年主轴铸锻件项目总投资不超5.9亿（来源：2018年金雷公告）；大兆瓦产能建设需持续资本开支（来源：2024年金雷年报）；风电大型化产线升级资金需求大（来源：2024年金雷年报）；上市公司平台股权融资与银行授信（来源：2024年南方财富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大型锻件与风电主轴制造在济南市钢城区依托区域产业基础与政策赋能，已形成以量化事实为支撑的发展格局。风电大型化趋势推动大兆瓦主轴需求（来源：2024年金雷年报）；项目审批提速与市场需求上升拉动风电装备（来源：2024年金雷年报）；金雷股份位于钢城区双元大街18号配套完善（来源：2024年金雷年报）；空心锻造技术提高大兆瓦主轴材料成材率（来源：2024年金雷年报）；金雷产品覆盖1.5MW至9.5MW全系列锻造主轴（来源：2024年金雷年报）；通裕首台套14MW海上风电转子房2024年下线（来源：2024年通裕年报）；主轴是风电整机重要零部件配套国内外整机厂（来源：2024年南方财富网）；金雷2024风电主轴营收13.88亿占比70.56%（来源：2024年金雷年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金雷科技股份公司总部位于济南市钢城区双元大街18号，是全球领先的风电主轴制造商，风电锻造主轴全球市占率稳居行业首位。2024年公司实现营业收入19.67亿元、归母净利润1.73亿元，其中风电主轴收入13.88亿元、占比70.56%；铸造主轴销售收入2.77亿元、同比增长71%，其他精密轴收入3.76亿元、同比增长29.46%。公司产品覆盖1.5MW至9.5MW全系列锻造主轴，采用空心锻造技术提升大内孔大兆瓦主轴的材料成材率与产能利用率，并具备全流程生产5MW至25MW风机主轴、轮毂、底座、连体轴承座等大型铸造部件的能力，总资产66.5亿元，是钢城区大型锻件与风电主轴制造的链主企业。</w:t>
      </w:r>
    </w:p>
    <w:p>
      <w:pPr>
        <w:spacing w:lineRule="exact" w:line="600" w:before="0" w:after="0"/>
        <w:ind w:firstLine="420"/>
        <w:jc w:val="both"/>
      </w:pPr>
      <w:r>
        <w:rPr>
          <w:rFonts w:ascii="仿宋_GB2312" w:hAnsi="仿宋_GB2312" w:eastAsia="仿宋_GB2312"/>
          <w:b w:val="0"/>
          <w:color w:val="000000"/>
          <w:sz w:val="32"/>
        </w:rPr>
        <w:t>通裕重工股份有限公司是国有控股上市综合性研发制造平台企业（股票代码300185），集冶炼、锻造、铸造、焊接、热处理、机加工、涂装于一体，为能源电力、石化、船舶、海工、冶金、航空航天等行业提供大型高端装备核心部件，是A股风电主轴龙头之一。2024年公司营业收入61.54亿元、归母净利润4137.6万元，其中风电主轴收入8.34亿元、风电装备模块化业务营收13.19亿元。2024年12月公司首台套14MW大型海上风电转子房在青岛基地成功下线，最大可生产单重150吨铸钢件，并取得中国CCS、法国BV、劳氏LR等九家船级社工厂认可证书，船舶用传动轴入围山东省第八批制造业单项冠军。</w:t>
      </w:r>
    </w:p>
    <w:p>
      <w:pPr>
        <w:spacing w:lineRule="exact" w:line="600" w:before="0" w:after="0"/>
        <w:ind w:firstLine="420"/>
        <w:jc w:val="both"/>
      </w:pPr>
      <w:r>
        <w:rPr>
          <w:rFonts w:ascii="仿宋_GB2312" w:hAnsi="仿宋_GB2312" w:eastAsia="仿宋_GB2312"/>
          <w:b w:val="0"/>
          <w:color w:val="000000"/>
          <w:sz w:val="32"/>
        </w:rPr>
        <w:t>山东钢铁股份有限公司莱芜分公司是钢城区大型锻件与风电主轴制造产业链的重要上游原料保障企业，具备年产1500万吨钢的综合生产能力，其中优特钢产能240万吨、棒材产能290万吨，可稳定供应风电主轴、齿轮钢、轴承钢等高洁净度特钢坯料。公司通过总投资124亿元的新旧动能转换系统优化升级改造工程，中高端精品钢比例提升至70%以上，RH精炼炉、六机六流连铸机等先进装备保障特钢质量，为金雷股份、通裕重工等风电主轴企业的锻造、铸造业务提供高质量原料支撑，是区域风电装备产业链协同发展的基础。</w:t>
      </w:r>
    </w:p>
    <w:p>
      <w:pPr>
        <w:spacing w:lineRule="exact" w:line="600" w:before="0" w:after="0"/>
        <w:jc w:val="left"/>
      </w:pPr>
      <w:r>
        <w:rPr>
          <w:rFonts w:ascii="仿宋_GB2312" w:hAnsi="仿宋_GB2312" w:eastAsia="仿宋_GB2312"/>
          <w:b w:val="0"/>
          <w:color w:val="000000"/>
          <w:sz w:val="28"/>
        </w:rPr>
        <w:t>主要数据来源：2024年金雷股份年度报告；2024年通裕重工年度报告；2025年南方财富网风电主轴龙头；2024年国能招标公示；2018年金雷股份公告</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