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催化材料与环保功能材料行业深度分析报告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胶州市催化材料与环保功能材料产业以青岛惠城环保科技集团股份有限公司为龙头，形成「废催化剂处理处置—资源化催化剂再生—环保功能材料」的闭环体系。惠城环保2006年创立，2019年5月在深交所创业板上市（300779），是青岛催化材料与环保功能材料的标杆企业，业务覆盖工业固废无害化处理及资源再利用、工业烟气治理、废水达标排放及再利用、废塑料循环再利用等领域。公司拥有30余家分子公司、30万㎡以上工程化试验基地、80万㎡以上产业基地面积，年均减排二氧化碳200万吨以上。在废塑料化学循环方向，其首创「一步法」工艺产品收率达92%以上，20万吨/年混合废塑料资源化综合利用工业试验装置已于2026年7月通过满负荷现场考核。2024年公司营业总收入11.49亿元，催化材料与环保功能材料业务在炼油、石化、电力等行业烟气与废水治理中占据重要地位，是山东省循环经济和环保功能材料的重要支撑力量。</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营业总收入：11.49亿元（来源：2024年）</w:t>
      </w:r>
    </w:p>
    <w:p>
      <w:pPr>
        <w:spacing w:lineRule="exact" w:line="600" w:before="0" w:after="0"/>
        <w:ind w:firstLine="420"/>
        <w:jc w:val="both"/>
      </w:pPr>
      <w:r>
        <w:rPr>
          <w:rFonts w:ascii="仿宋_GB2312" w:hAnsi="仿宋_GB2312" w:eastAsia="仿宋_GB2312"/>
          <w:b w:val="0"/>
          <w:color w:val="000000"/>
          <w:sz w:val="32"/>
        </w:rPr>
        <w:t>· 产业基地面积：80万㎡以上（来源：2024年）</w:t>
      </w:r>
    </w:p>
    <w:p>
      <w:pPr>
        <w:spacing w:lineRule="exact" w:line="600" w:before="0" w:after="0"/>
        <w:ind w:firstLine="420"/>
        <w:jc w:val="both"/>
      </w:pPr>
      <w:r>
        <w:rPr>
          <w:rFonts w:ascii="仿宋_GB2312" w:hAnsi="仿宋_GB2312" w:eastAsia="仿宋_GB2312"/>
          <w:b w:val="0"/>
          <w:color w:val="000000"/>
          <w:sz w:val="32"/>
        </w:rPr>
        <w:t>· 年均CO2减排：200万吨以上（来源：2024年）</w:t>
      </w:r>
    </w:p>
    <w:p>
      <w:pPr>
        <w:spacing w:lineRule="exact" w:line="600" w:before="0" w:after="0"/>
        <w:ind w:firstLine="420"/>
        <w:jc w:val="both"/>
      </w:pPr>
      <w:r>
        <w:rPr>
          <w:rFonts w:ascii="仿宋_GB2312" w:hAnsi="仿宋_GB2312" w:eastAsia="仿宋_GB2312"/>
          <w:b w:val="0"/>
          <w:color w:val="000000"/>
          <w:sz w:val="32"/>
        </w:rPr>
        <w:t>· 工程化试验基地：30万㎡以上（来源：2024年）</w:t>
      </w:r>
    </w:p>
    <w:p>
      <w:pPr>
        <w:spacing w:lineRule="exact" w:line="600" w:before="0" w:after="0"/>
        <w:ind w:firstLine="420"/>
        <w:jc w:val="both"/>
      </w:pPr>
      <w:r>
        <w:rPr>
          <w:rFonts w:ascii="仿宋_GB2312" w:hAnsi="仿宋_GB2312" w:eastAsia="仿宋_GB2312"/>
          <w:b w:val="0"/>
          <w:color w:val="000000"/>
          <w:sz w:val="32"/>
        </w:rPr>
        <w:t>· 废塑料资源化装置：20万吨/年（来源：2026年）</w:t>
      </w:r>
    </w:p>
    <w:p>
      <w:pPr>
        <w:spacing w:lineRule="exact" w:line="600" w:before="0" w:after="0"/>
        <w:ind w:firstLine="420"/>
        <w:jc w:val="both"/>
      </w:pPr>
      <w:r>
        <w:rPr>
          <w:rFonts w:ascii="仿宋_GB2312" w:hAnsi="仿宋_GB2312" w:eastAsia="仿宋_GB2312"/>
          <w:b w:val="0"/>
          <w:color w:val="000000"/>
          <w:sz w:val="32"/>
        </w:rPr>
        <w:t>· 一步法产品收率：92%以上（来源：2026年）</w:t>
      </w:r>
    </w:p>
    <w:p>
      <w:pPr>
        <w:spacing w:lineRule="exact" w:line="600" w:before="0" w:after="0"/>
        <w:ind w:firstLine="420"/>
        <w:jc w:val="both"/>
      </w:pPr>
      <w:r>
        <w:rPr>
          <w:rFonts w:ascii="仿宋_GB2312" w:hAnsi="仿宋_GB2312" w:eastAsia="仿宋_GB2312"/>
          <w:b w:val="0"/>
          <w:color w:val="000000"/>
          <w:sz w:val="32"/>
        </w:rPr>
        <w:t>· 战略投资：8.5亿元（来源：2026年）</w:t>
      </w:r>
    </w:p>
    <w:p>
      <w:pPr>
        <w:spacing w:lineRule="exact" w:line="600" w:before="0" w:after="0"/>
        <w:ind w:firstLine="420"/>
        <w:jc w:val="both"/>
      </w:pPr>
      <w:r>
        <w:rPr>
          <w:rFonts w:ascii="仿宋_GB2312" w:hAnsi="仿宋_GB2312" w:eastAsia="仿宋_GB2312"/>
          <w:b w:val="0"/>
          <w:color w:val="000000"/>
          <w:sz w:val="32"/>
        </w:rPr>
        <w:t>· 归母净利润：4259.97万元（来源：2024年）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惠城环保拥有30余家分子公司、业务覆盖固废与烟气治理（来源：2024年年报）」与「胶州新材料集群2025年规上企业104家、总产值109.39亿元（来源：2025年胶州统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惠城环保2006年创立、2019年5月深交所创业板上市(300779)（来源：2019年深交所）。惠城环保拥有30余家分子公司、业务覆盖固废与烟气治理（来源：2024年年报）。胶州新材料集群2025年规上企业104家、总产值109.39亿元（来源：2025年胶州统计）。</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国家发改委2026年7月印发《循环经济发展十五五规划》明确加快废塑料高值化化学循环产业化（来源：2026年国家发改委）。山东省推动循环经济与环保功能材料纳入十四五重点方向（来源：2024年山东省政策）。胶州省级特色产业集群增至4个、占青岛市总数21%（来源：2026年大众日报）。</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惠城环保拥有30万㎡以上工程化试验基地、80万㎡以上产业基地面积（来源：2024年年报）。惠城环保拥有300余名工程技术人员支撑研发（来源：2024年年报）。公司年均减排二氧化碳200万吨以上、绿色循环标杆（来源：2024年年报）。</w:t>
      </w:r>
    </w:p>
    <w:p>
      <w:pPr>
        <w:spacing w:lineRule="exact" w:line="600" w:before="0" w:after="0"/>
        <w:ind w:firstLine="420"/>
        <w:jc w:val="both"/>
      </w:pPr>
      <w:r>
        <w:rPr>
          <w:rFonts w:ascii="仿宋_GB2312" w:hAnsi="仿宋_GB2312" w:eastAsia="仿宋_GB2312"/>
          <w:b w:val="0"/>
          <w:color w:val="000000"/>
          <w:sz w:val="32"/>
        </w:rPr>
        <w:t>据公开数据，战略投资为8.5亿元（来源：2026年）。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惠城环保拥有30余家分子公司、业务覆盖固废与烟气治理（来源：2024年年报）」与「胶州新材料集群2025年规上企业104家、总产值109.39亿元（来源：2025年胶州统计）」等数据点清晰刻画了该维度的现实基础；惠城环保拥有30余家分子公司、业务覆盖固废与烟气治理（来源：2024年年报）；胶州新材料集群2025年规上企业104家、总产值109.39亿元（来源：2025年胶州统计）；国家发改委2026年7月印发《循环经济发展十五五规划》明确加快废塑料高值化化学循环产业化（来源：2026年国家发改委）；胶州省级特色产业集群增至4个、占青岛市总数21%（来源：2026年大众日报）。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固废、中游材料、下游应用」展开系统梳理，其中「2000万吨/年石油焦制氢灰渣及催化裂化废催化剂处置项目进展良好（来源：2022年定增报告）」与「4万吨/年FCC催化新材料项目一阶段稳步推进（来源：2022年定增报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上游固废</w:t>
      </w:r>
    </w:p>
    <w:p>
      <w:pPr>
        <w:spacing w:lineRule="exact" w:line="600" w:before="0" w:after="0"/>
        <w:ind w:firstLine="420"/>
        <w:jc w:val="both"/>
      </w:pPr>
      <w:r>
        <w:rPr>
          <w:rFonts w:ascii="仿宋_GB2312" w:hAnsi="仿宋_GB2312" w:eastAsia="仿宋_GB2312"/>
          <w:b w:val="0"/>
          <w:color w:val="000000"/>
          <w:sz w:val="32"/>
        </w:rPr>
        <w:t>业务涵盖工业固废无害化处理及资源再利用、废催化剂处理处置量行业领先（来源：2024年年报）。2000万吨/年石油焦制氢灰渣及催化裂化废催化剂处置项目进展良好（来源：2022年定增报告）。废催化剂处理处置单价同比继续降低、行业竞争加剧（来源：2024年年报）。</w:t>
      </w:r>
    </w:p>
    <w:p>
      <w:pPr>
        <w:spacing w:lineRule="exact" w:line="600" w:before="120" w:after="120"/>
        <w:ind w:firstLine="420"/>
        <w:jc w:val="left"/>
      </w:pPr>
      <w:r>
        <w:rPr>
          <w:rFonts w:ascii="楷体_GB2312" w:hAnsi="楷体_GB2312" w:eastAsia="楷体_GB2312"/>
          <w:b w:val="0"/>
          <w:color w:val="000000"/>
          <w:sz w:val="32"/>
        </w:rPr>
        <w:t>中游材料</w:t>
      </w:r>
    </w:p>
    <w:p>
      <w:pPr>
        <w:spacing w:lineRule="exact" w:line="600" w:before="0" w:after="0"/>
        <w:ind w:firstLine="420"/>
        <w:jc w:val="both"/>
      </w:pPr>
      <w:r>
        <w:rPr>
          <w:rFonts w:ascii="仿宋_GB2312" w:hAnsi="仿宋_GB2312" w:eastAsia="仿宋_GB2312"/>
          <w:b w:val="0"/>
          <w:color w:val="000000"/>
          <w:sz w:val="32"/>
        </w:rPr>
        <w:t>资源化生产五氧化二钒、三氯化铁、三氯氧钒等新材料产品并形成销售（来源：2024年年报）。4万吨/年FCC催化新材料项目一阶段稳步推进（来源：2022年定增报告）。资源化催化剂销售构成催化剂业务闭环（来源：2024年年报）。</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产品服务炼油、石化、电力等行业烟气治理与高盐废水治理场景（来源：2024年公开资料）。工业烟气非氨基还原除酸脱硝解决氨逃逸污染（来源：2026年惠城官网）。高盐废水资源化实现含盐废水循环利用（来源：2026年惠城官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固废、中游材料、下游应用」展开系统梳理，其中「2000万吨/年石油焦制氢灰渣及催化裂化废催化剂处置项目进展良好（来源：2022年定增报告）」与「4万吨/年FCC催化新材料项目一阶段稳步推进（来源：2022年定增报告）」等数据点清晰刻画了该维度的现实基础；2000万吨/年石油焦制氢灰渣及催化裂化废催化剂处置项目进展良好（来源：2022年定增报告）；4万吨/年FCC催化新材料项目一阶段稳步推进（来源：2022年定增报告）。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2024年公司营业总收入11.49亿元、催化剂销量和收入同比增加（来源：2024年年报）」与「20万吨/年废塑料资源化装置2026年7月满负荷考核通关（来源：2026年惠城官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2024年公司营业总收入11.49亿元、催化剂销量和收入同比增加（来源：2024年年报）。20万吨/年废塑料资源化装置2026年7月满负荷考核通关（来源：2026年惠城官网）。东营与广东基地协同、资源化产能持续扩张（来源：2024年年报）。</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国内炼油产能超9亿吨/年带动废催化剂处置与资源化需求持续增长（来源：2024年行业研究）。废塑料高值化循环受十五五规划拉动需求上行（来源：2026年发改委）。电力与石化烟气治理环保功能材料需求稳定（来源：2024年行业研究）。</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催化剂行业竞争激烈、销售单价同比继续降低、利润空间被压缩（来源：2024年年报）。惠城环保为国内废催化剂资源化利用领军企业之一（来源：2024年公开资料）。溶剂与资源化产品全球客户超100个国家（来源：2024年公开资料）。</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2024年公司营业总收入11.49亿元、催化剂销量和收入同比增加（来源：2024年年报）」与「20万吨/年废塑料资源化装置2026年7月满负荷考核通关（来源：2026年惠城官网）」等数据点清晰刻画了该维度的现实基础；2024年公司营业总收入11.49亿元、催化剂销量和收入同比增加（来源：2024年年报）；20万吨/年废塑料资源化装置2026年7月满负荷考核通关（来源：2026年惠城官网）；国内炼油产能超9亿吨/年带动废催化剂处置与资源化需求持续增长（来源：2024年行业研究）；溶剂与资源化产品全球客户超100个国家（来源：2024年公开资料）。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资本实力」展开系统梳理，其中「惠城环保为青岛催化材料与环保功能材料龙头、拥有30余家分子公司（来源：2024年公开资料）」与「胶州新材料集群集聚规上工业企业104家协同发展（来源：2025年胶州统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惠城环保为青岛催化材料与环保功能材料龙头、拥有30余家分子公司（来源：2024年公开资料）。胶州新材料集群集聚规上工业企业104家协同发展（来源：2025年胶州统计）。惠城环保产业链带动废塑料与固废循环配套企业集聚（来源：2024年年报）。</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入选国家级专精特新小巨人及高新技术企业序列、技术实力突出（来源：2024年公开资料）。惠城环保为创业板上市公司、治理规范（来源：2019年深交所）。公司作为循环经济民族品牌、服务全球客户（来源：2026年惠城官网）。</w:t>
      </w:r>
    </w:p>
    <w:p>
      <w:pPr>
        <w:spacing w:lineRule="exact" w:line="600" w:before="120" w:after="120"/>
        <w:ind w:firstLine="420"/>
        <w:jc w:val="left"/>
      </w:pPr>
      <w:r>
        <w:rPr>
          <w:rFonts w:ascii="楷体_GB2312" w:hAnsi="楷体_GB2312" w:eastAsia="楷体_GB2312"/>
          <w:b w:val="0"/>
          <w:color w:val="000000"/>
          <w:sz w:val="32"/>
        </w:rPr>
        <w:t>资本实力</w:t>
      </w:r>
    </w:p>
    <w:p>
      <w:pPr>
        <w:spacing w:lineRule="exact" w:line="600" w:before="0" w:after="0"/>
        <w:ind w:firstLine="420"/>
        <w:jc w:val="both"/>
      </w:pPr>
      <w:r>
        <w:rPr>
          <w:rFonts w:ascii="仿宋_GB2312" w:hAnsi="仿宋_GB2312" w:eastAsia="仿宋_GB2312"/>
          <w:b w:val="0"/>
          <w:color w:val="000000"/>
          <w:sz w:val="32"/>
        </w:rPr>
        <w:t>公司市值达56.67亿元、2026年完成8.5亿元战略投资（来源：2026年亿欧数据）。2022年向特定对象发行A股募资用于补流及还债（来源：2022年定增报告）。国资与机构参与定增、资本实力增强（来源：2026年亿欧数据）。</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资本实力」展开系统梳理，其中「惠城环保为青岛催化材料与环保功能材料龙头、拥有30余家分子公司（来源：2024年公开资料）」与「胶州新材料集群集聚规上工业企业104家协同发展（来源：2025年胶州统计）」等数据点清晰刻画了该维度的现实基础；惠城环保为青岛催化材料与环保功能材料龙头、拥有30余家分子公司（来源：2024年公开资料）；胶州新材料集群集聚规上工业企业104家协同发展（来源：2025年胶州统计）；惠城环保产业链带动废塑料与固废循环配套企业集聚（来源：2024年年报）；入选国家级专精特新小巨人及高新技术企业序列、技术实力突出（来源：2024年公开资料）。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首创混合废塑料一步法化学循环工艺、产品收率达92%以上（来源：2026年惠城官网）」与「20万吨/年废塑料资源化装置2026年7月满负荷现场考核通关（来源：2026年惠城官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首创混合废塑料一步法化学循环工艺、产品收率达92%以上（来源：2026年惠城官网）。攻克石油焦制氢灰渣干法-湿法耦合工艺实现完全资源化（来源：2026年惠城官网）。工业烟气非氨基还原除酸脱硝彻底解决蓝烟拖尾（来源：2026年惠城官网）。</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20万吨/年废塑料资源化装置2026年7月满负荷现场考核通关（来源：2026年惠城官网）。22万吨锂电一体化溶剂项目一次开车成功（来源：2024年石大胜华交叉）。4万吨/年FCC催化新材料项目一阶段建设推进（来源：2022年定增报告）。</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2024年研发费用同比增长、新项目储备人员成本上升（来源：2024年年报）。研发经费投入支撑固废与环保功能材料迭代（来源：2024年年报）。建有工程化试验基地支撑中试放大（来源：2024年年报）。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首创混合废塑料一步法化学循环工艺、产品收率达92%以上（来源：2026年惠城官网）」与「20万吨/年废塑料资源化装置2026年7月满负荷现场考核通关（来源：2026年惠城官网）」等数据点清晰刻画了该维度的现实基础；首创混合废塑料一步法化学循环工艺、产品收率达92%以上（来源：2026年惠城官网）；20万吨/年废塑料资源化装置2026年7月满负荷现场考核通关（来源：2026年惠城官网）；22万吨锂电一体化溶剂项目一次开车成功（来源：2024年石大胜华交叉）；4万吨/年FCC催化新材料项目一阶段建设推进（来源：2022年定增报告）。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4万吨/年FCC催化新材料项目一阶段及2000万吨/年灰渣处置项目进展良好（来源：2022年定增报告）」与「20万吨/年废塑料装置总投资规模较大、分两期建设（来源：2026年惠城官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4万吨/年FCC催化新材料项目一阶段及2000万吨/年灰渣处置项目进展良好（来源：2022年定增报告）。20万吨/年废塑料装置总投资规模较大、分两期建设（来源：2026年惠城官网）。2022年定增募资8204万至31644万元支撑项目（来源：2022年定增报告）。</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2024年新项目运行致折旧费用、人工成本同比增加、项目利润降低（来源：2024年年报）。废催化剂处理处置单价下行压缩利润空间（来源：2024年年报）。环保合规与能耗成本上升倒逼工艺降本（来源：2024年行业分析）。</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2024年归母净利润4259.97万元、同比降低69.24%（来源：2024年年报）。催化剂销售单价降低致整体盈利承压（来源：2024年年报）。资源化新材料贡献稳定毛利、平滑周期波动（来源：2024年行业研究）。</w:t>
      </w:r>
    </w:p>
    <w:p>
      <w:pPr>
        <w:spacing w:lineRule="exact" w:line="600" w:before="0" w:after="0"/>
        <w:ind w:firstLine="420"/>
        <w:jc w:val="both"/>
      </w:pPr>
      <w:r>
        <w:rPr>
          <w:rFonts w:ascii="仿宋_GB2312" w:hAnsi="仿宋_GB2312" w:eastAsia="仿宋_GB2312"/>
          <w:b w:val="0"/>
          <w:color w:val="000000"/>
          <w:sz w:val="32"/>
        </w:rPr>
        <w:t>据公开数据，归母净利润为4259.97万元（来源：2024年）。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4万吨/年FCC催化新材料项目一阶段及2000万吨/年灰渣处置项目进展良好（来源：2022年定增报告）」与「20万吨/年废塑料装置总投资规模较大、分两期建设（来源：2026年惠城官网）」等数据点清晰刻画了该维度的现实基础；4万吨/年FCC催化新材料项目一阶段及2000万吨/年灰渣处置项目进展良好（来源：2022年定增报告）；20万吨/年废塑料装置总投资规模较大、分两期建设（来源：2026年惠城官网）；2022年定增募资8204万至31644万元支撑项目（来源：2022年定增报告）；2024年新项目运行致折旧费用、人工成本同比增加、项目利润降低（来源：2024年年报）。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政策机遇、竞争风险、价格风险」展开系统梳理，其中「十五五规划提出提升高品质再生材料供给能力、扩大再生原料应用（来源：2026年发改委）」与「新项目效益尚未释放、费用上升拖累利润（来源：2024年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政策机遇</w:t>
      </w:r>
    </w:p>
    <w:p>
      <w:pPr>
        <w:spacing w:lineRule="exact" w:line="600" w:before="0" w:after="0"/>
        <w:ind w:firstLine="420"/>
        <w:jc w:val="both"/>
      </w:pPr>
      <w:r>
        <w:rPr>
          <w:rFonts w:ascii="仿宋_GB2312" w:hAnsi="仿宋_GB2312" w:eastAsia="仿宋_GB2312"/>
          <w:b w:val="0"/>
          <w:color w:val="000000"/>
          <w:sz w:val="32"/>
        </w:rPr>
        <w:t>十五五规划提出提升高品质再生材料供给能力、扩大再生原料应用（来源：2026年发改委）。废塑料化学循环产业化获政策明确支持（来源：2026年惠城官网）。环保功能材料在烟气与废水治理需求扩张（来源：2024年行业研究）。</w:t>
      </w:r>
    </w:p>
    <w:p>
      <w:pPr>
        <w:spacing w:lineRule="exact" w:line="600" w:before="120" w:after="120"/>
        <w:ind w:firstLine="420"/>
        <w:jc w:val="left"/>
      </w:pPr>
      <w:r>
        <w:rPr>
          <w:rFonts w:ascii="楷体_GB2312" w:hAnsi="楷体_GB2312" w:eastAsia="楷体_GB2312"/>
          <w:b w:val="0"/>
          <w:color w:val="000000"/>
          <w:sz w:val="32"/>
        </w:rPr>
        <w:t>竞争风险</w:t>
      </w:r>
    </w:p>
    <w:p>
      <w:pPr>
        <w:spacing w:lineRule="exact" w:line="600" w:before="0" w:after="0"/>
        <w:ind w:firstLine="420"/>
        <w:jc w:val="both"/>
      </w:pPr>
      <w:r>
        <w:rPr>
          <w:rFonts w:ascii="仿宋_GB2312" w:hAnsi="仿宋_GB2312" w:eastAsia="仿宋_GB2312"/>
          <w:b w:val="0"/>
          <w:color w:val="000000"/>
          <w:sz w:val="32"/>
        </w:rPr>
        <w:t>催化剂行业竞争激烈、废催化剂处理处置单价同比继续降低（来源：2024年年报）。新项目效益尚未释放、费用上升拖累利润（来源：2024年年报）。国际化工巨头在高端催化剂领域形成竞争（来源：2024年行业分析）。</w:t>
      </w:r>
    </w:p>
    <w:p>
      <w:pPr>
        <w:spacing w:lineRule="exact" w:line="600" w:before="120" w:after="120"/>
        <w:ind w:firstLine="420"/>
        <w:jc w:val="left"/>
      </w:pPr>
      <w:r>
        <w:rPr>
          <w:rFonts w:ascii="楷体_GB2312" w:hAnsi="楷体_GB2312" w:eastAsia="楷体_GB2312"/>
          <w:b w:val="0"/>
          <w:color w:val="000000"/>
          <w:sz w:val="32"/>
        </w:rPr>
        <w:t>价格风险</w:t>
      </w:r>
    </w:p>
    <w:p>
      <w:pPr>
        <w:spacing w:lineRule="exact" w:line="600" w:before="0" w:after="0"/>
        <w:ind w:firstLine="420"/>
        <w:jc w:val="both"/>
      </w:pPr>
      <w:r>
        <w:rPr>
          <w:rFonts w:ascii="仿宋_GB2312" w:hAnsi="仿宋_GB2312" w:eastAsia="仿宋_GB2312"/>
          <w:b w:val="0"/>
          <w:color w:val="000000"/>
          <w:sz w:val="32"/>
        </w:rPr>
        <w:t>原油价格波动影响炼油催化剂需求与固废处置业务量（来源：2024年行业分析）。再生材料价格受化工周期影响波动（来源：2024年行业分析）。废塑料原料收运价格波动影响装置经济性（来源：2026年惠城官网）。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政策机遇、竞争风险、价格风险」展开系统梳理，其中「十五五规划提出提升高品质再生材料供给能力、扩大再生原料应用（来源：2026年发改委）」与「新项目效益尚未释放、费用上升拖累利润（来源：2024年年报）」等数据点清晰刻画了该维度的现实基础；十五五规划提出提升高品质再生材料供给能力、扩大再生原料应用（来源：2026年发改委）；新项目效益尚未释放、费用上升拖累利润（来源：2024年年报）。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治理机制、技术方向、人才路径」展开系统梳理，其中「公司成立集团决策委员会统筹战略、研发、财务、人力资源职能（来源：2024年年报）」与「通过校企合作定向输送人才、搭建内部技术孵化平台（来源：2024年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治理机制</w:t>
      </w:r>
    </w:p>
    <w:p>
      <w:pPr>
        <w:spacing w:lineRule="exact" w:line="600" w:before="0" w:after="0"/>
        <w:ind w:firstLine="420"/>
        <w:jc w:val="both"/>
      </w:pPr>
      <w:r>
        <w:rPr>
          <w:rFonts w:ascii="仿宋_GB2312" w:hAnsi="仿宋_GB2312" w:eastAsia="仿宋_GB2312"/>
          <w:b w:val="0"/>
          <w:color w:val="000000"/>
          <w:sz w:val="32"/>
        </w:rPr>
        <w:t>公司成立集团决策委员会统筹战略、研发、财务、人力资源职能（来源：2024年年报）。调整组织架构、制定业务流程与管理制度保障发展（来源：2024年年报）。完善子公司管理与风险防范机制（来源：2024年年报）。</w:t>
      </w:r>
    </w:p>
    <w:p>
      <w:pPr>
        <w:spacing w:lineRule="exact" w:line="600" w:before="120" w:after="120"/>
        <w:ind w:firstLine="420"/>
        <w:jc w:val="left"/>
      </w:pPr>
      <w:r>
        <w:rPr>
          <w:rFonts w:ascii="楷体_GB2312" w:hAnsi="楷体_GB2312" w:eastAsia="楷体_GB2312"/>
          <w:b w:val="0"/>
          <w:color w:val="000000"/>
          <w:sz w:val="32"/>
        </w:rPr>
        <w:t>技术方向</w:t>
      </w:r>
    </w:p>
    <w:p>
      <w:pPr>
        <w:spacing w:lineRule="exact" w:line="600" w:before="0" w:after="0"/>
        <w:ind w:firstLine="420"/>
        <w:jc w:val="both"/>
      </w:pPr>
      <w:r>
        <w:rPr>
          <w:rFonts w:ascii="仿宋_GB2312" w:hAnsi="仿宋_GB2312" w:eastAsia="仿宋_GB2312"/>
          <w:b w:val="0"/>
          <w:color w:val="000000"/>
          <w:sz w:val="32"/>
        </w:rPr>
        <w:t>推进废塑料化学循环、高盐废水资源化、烟气非氨基脱硝三大方向（来源：2026年惠城官网）。持续攻关失效催化剂高值资源化技术（来源：2024年年报）。布局固态与绿色催化材料前瞻方向（来源：2024年行业研究）。</w:t>
      </w:r>
    </w:p>
    <w:p>
      <w:pPr>
        <w:spacing w:lineRule="exact" w:line="600" w:before="120" w:after="120"/>
        <w:ind w:firstLine="420"/>
        <w:jc w:val="left"/>
      </w:pPr>
      <w:r>
        <w:rPr>
          <w:rFonts w:ascii="楷体_GB2312" w:hAnsi="楷体_GB2312" w:eastAsia="楷体_GB2312"/>
          <w:b w:val="0"/>
          <w:color w:val="000000"/>
          <w:sz w:val="32"/>
        </w:rPr>
        <w:t>人才路径</w:t>
      </w:r>
    </w:p>
    <w:p>
      <w:pPr>
        <w:spacing w:lineRule="exact" w:line="600" w:before="0" w:after="0"/>
        <w:ind w:firstLine="420"/>
        <w:jc w:val="both"/>
      </w:pPr>
      <w:r>
        <w:rPr>
          <w:rFonts w:ascii="仿宋_GB2312" w:hAnsi="仿宋_GB2312" w:eastAsia="仿宋_GB2312"/>
          <w:b w:val="0"/>
          <w:color w:val="000000"/>
          <w:sz w:val="32"/>
        </w:rPr>
        <w:t>通过校企合作定向输送人才、搭建内部技术孵化平台（来源：2024年年报）。配套晋升通道与股权激励激活内生动力（来源：2024年年报）。引进与自主培养兼具行业积淀的管理团队（来源：2024年年报）。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治理机制、技术方向、人才路径」展开系统梳理，其中「公司成立集团决策委员会统筹战略、研发、财务、人力资源职能（来源：2024年年报）」与「通过校企合作定向输送人才、搭建内部技术孵化平台（来源：2024年年报）」等数据点清晰刻画了该维度的现实基础；公司成立集团决策委员会统筹战略、研发、财务、人力资源职能（来源：2024年年报）；通过校企合作定向输送人才、搭建内部技术孵化平台（来源：2024年年报）；配套晋升通道与股权激励激活内生动力（来源：2024年年报）。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扩张方式」展开系统梳理，其中「2026年3月完成8.5亿元战略投资、投资方含广发证券与华泰资管（来源：2026年亿欧数据）」与「2022年向特定对象发行A股募资8204万至31644万元（来源：2022年定增报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2026年3月完成8.5亿元战略投资、投资方含广发证券与华泰资管（来源：2026年亿欧数据）。2022年向特定对象发行A股募资8204万至31644万元（来源：2022年定增报告）。公司市值56.67亿元、资本运作空间充足（来源：2026年亿欧数据）。</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废塑料与FCC新材料项目资金需求规模较大（来源：2024年年报）。新项目储备与产能扩张需持续资金投入（来源：2024年年报）。研发与工程化试验基地投入持续增加（来源：2024年年报）。</w:t>
      </w:r>
    </w:p>
    <w:p>
      <w:pPr>
        <w:spacing w:lineRule="exact" w:line="600" w:before="120" w:after="120"/>
        <w:ind w:firstLine="420"/>
        <w:jc w:val="left"/>
      </w:pPr>
      <w:r>
        <w:rPr>
          <w:rFonts w:ascii="楷体_GB2312" w:hAnsi="楷体_GB2312" w:eastAsia="楷体_GB2312"/>
          <w:b w:val="0"/>
          <w:color w:val="000000"/>
          <w:sz w:val="32"/>
        </w:rPr>
        <w:t>扩张方式</w:t>
      </w:r>
    </w:p>
    <w:p>
      <w:pPr>
        <w:spacing w:lineRule="exact" w:line="600" w:before="0" w:after="0"/>
        <w:ind w:firstLine="420"/>
        <w:jc w:val="both"/>
      </w:pPr>
      <w:r>
        <w:rPr>
          <w:rFonts w:ascii="仿宋_GB2312" w:hAnsi="仿宋_GB2312" w:eastAsia="仿宋_GB2312"/>
          <w:b w:val="0"/>
          <w:color w:val="000000"/>
          <w:sz w:val="32"/>
        </w:rPr>
        <w:t>通过产业链整合推动废塑料资源化装置规模化复制扩张（来源：2026年惠城官网）。以山东基地为核心向广东等地复制产业化（来源：2026年惠城官网）。通过定增与战略投资支撑全国布局（来源：2026年亿欧数据）。</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扩张方式」展开系统梳理，其中「2026年3月完成8.5亿元战略投资、投资方含广发证券与华泰资管（来源：2026年亿欧数据）」与「2022年向特定对象发行A股募资8204万至31644万元（来源：2022年定增报告）」等数据点清晰刻画了该维度的现实基础；2026年3月完成8.5亿元战略投资、投资方含广发证券与华泰资管（来源：2026年亿欧数据）；2022年向特定对象发行A股募资8204万至31644万元（来源：2022年定增报告）；公司市值56.67亿元、资本运作空间充足（来源：2026年亿欧数据）；废塑料与FCC新材料项目资金需求规模较大（来源：2024年年报）。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催化材料与环保功能材料在青岛市胶州市依托区域产业基础与政策赋能，已形成以量化事实为支撑的发展格局。惠城环保拥有30余家分子公司、业务覆盖固废与烟气治理（来源：2024年年报）；胶州新材料集群2025年规上企业104家、总产值109.39亿元（来源：2025年胶州统计）；国家发改委2026年7月印发《循环经济发展十五五规划》明确加快废塑料高值化化学循环产业化（来源：2026年国家发改委）；胶州省级特色产业集群增至4个、占青岛市总数21%（来源：2026年大众日报）；惠城环保拥有30万㎡以上工程化试验基地、80万㎡以上产业基地面积（来源：2024年年报）；惠城环保拥有300余名工程技术人员支撑研发（来源：2024年年报）；公司年均减排二氧化碳200万吨以上、绿色循环标杆（来源：2024年年报）；2000万吨/年石油焦制氢灰渣及催化裂化废催化剂处置项目进展良好（来源：2022年定增报告）。</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青岛惠城环保科技集团股份有限公司成立于2006年，2019年5月登陆深交所创业板（股票代码300779），是胶州—青岛催化材料与环保功能材料产业的链主企业。公司坚持「原始技术创新、向废物要资源」路线，业务涵盖工业固废无害化处理及资源再利用、工业烟气治理、废水达标排放及再利用、废塑料循环再利用等。2024年公司实现营业总收入11.49亿元，同比增长7.33%；拥有30余家分子公司、300余名工程技术人员、30万㎡以上工程化试验基地和80万㎡以上产业基地面积，年均减排二氧化碳200万吨以上，是国内废催化剂处理处置与资源化利用的领军企业之一。</w:t>
      </w:r>
    </w:p>
    <w:p>
      <w:pPr>
        <w:spacing w:lineRule="exact" w:line="600" w:before="0" w:after="0"/>
        <w:ind w:firstLine="420"/>
        <w:jc w:val="both"/>
      </w:pPr>
      <w:r>
        <w:rPr>
          <w:rFonts w:ascii="仿宋_GB2312" w:hAnsi="仿宋_GB2312" w:eastAsia="仿宋_GB2312"/>
          <w:b w:val="0"/>
          <w:color w:val="000000"/>
          <w:sz w:val="32"/>
        </w:rPr>
        <w:t>广东东粤化学科技有限公司为惠城环保控股子公司，是其混合废塑料化学循环业务的核心载体。公司建成年产20万吨混合废塑料资源化综合利用工业试验装置，首创「一步法」工艺产品收率达92%以上，将低值废塑料转化为高附加值化工原料。2026年7月该装置通过中国石油和化学工业联合会组织的满负荷现场考核，标志产业化迈出关键一步。东粤化学的落地使惠城环保从炼油废催化剂处置拓展至废塑料高值化循环的新赛道，契合国家发改委《循环经济发展「十五五」规划》方向。</w:t>
      </w:r>
    </w:p>
    <w:p>
      <w:pPr>
        <w:spacing w:lineRule="exact" w:line="600" w:before="0" w:after="0"/>
        <w:ind w:firstLine="420"/>
        <w:jc w:val="both"/>
      </w:pPr>
      <w:r>
        <w:rPr>
          <w:rFonts w:ascii="仿宋_GB2312" w:hAnsi="仿宋_GB2312" w:eastAsia="仿宋_GB2312"/>
          <w:b w:val="0"/>
          <w:color w:val="000000"/>
          <w:sz w:val="32"/>
        </w:rPr>
        <w:t>惠城环保新材料与资源化产品板块主要从事五氧化二钒、三氯化铁、三氯氧钒等资源化新材料的生产销售，以及工业烟气非氨基还原除酸脱硝、高盐废水资源化等环保功能材料业务。公司依托废催化剂资源化产线，将失效催化剂中的有价金属转化为高纯化工原料，实现「以废治废、变废为宝」。2024年公司催化剂销量和收入同比增加，但受行业竞争加剧、处理处置单价下行影响利润承压；公司正通过4万吨/年FCC催化新材料项目（一阶段）及2000万吨/年石油焦制氢灰渣处置项目延伸价值链，巩固在催化材料与环保功能材料领域的综合竞争力。</w:t>
      </w:r>
    </w:p>
    <w:p>
      <w:pPr>
        <w:spacing w:lineRule="exact" w:line="600" w:before="0" w:after="0"/>
        <w:jc w:val="left"/>
      </w:pPr>
      <w:r>
        <w:rPr>
          <w:rFonts w:ascii="仿宋_GB2312" w:hAnsi="仿宋_GB2312" w:eastAsia="仿宋_GB2312"/>
          <w:b w:val="0"/>
          <w:color w:val="000000"/>
          <w:sz w:val="28"/>
        </w:rPr>
        <w:t>主要数据来源：青岛惠城环保2024年年度报告；惠城环保官网；国家发改委《循环经济发展十五五规划》；亿欧企业数据</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