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lineRule="exact" w:line="600" w:before="240" w:after="240"/>
        <w:ind w:firstLine="0"/>
        <w:jc w:val="center"/>
      </w:pPr>
      <w:r>
        <w:rPr>
          <w:rFonts w:ascii="方正小标宋简体" w:hAnsi="方正小标宋简体" w:eastAsia="方正小标宋简体"/>
          <w:b w:val="0"/>
          <w:color w:val="000000"/>
          <w:sz w:val="44"/>
        </w:rPr>
      </w:r>
    </w:p>
    <w:p>
      <w:pPr>
        <w:spacing w:lineRule="exact" w:line="600" w:before="240" w:after="240"/>
        <w:ind w:firstLine="0"/>
        <w:jc w:val="center"/>
      </w:pPr>
      <w:r>
        <w:rPr>
          <w:rFonts w:ascii="方正小标宋简体" w:hAnsi="方正小标宋简体" w:eastAsia="方正小标宋简体"/>
          <w:b w:val="0"/>
          <w:color w:val="000000"/>
          <w:sz w:val="44"/>
        </w:rPr>
        <w:t>土工合成材料与土工布制造行业深度分析报告</w:t>
      </w:r>
    </w:p>
    <w:p>
      <w:pPr>
        <w:spacing w:lineRule="exact" w:line="600" w:before="120" w:after="120"/>
        <w:ind w:firstLine="420"/>
        <w:jc w:val="left"/>
      </w:pPr>
      <w:r>
        <w:rPr>
          <w:rFonts w:ascii="黑体" w:hAnsi="黑体" w:eastAsia="黑体"/>
          <w:b w:val="0"/>
          <w:color w:val="000000"/>
          <w:sz w:val="32"/>
        </w:rPr>
        <w:t>执行摘要</w:t>
      </w:r>
    </w:p>
    <w:p>
      <w:pPr>
        <w:spacing w:lineRule="exact" w:line="600" w:before="0" w:after="0"/>
        <w:ind w:firstLine="420"/>
        <w:jc w:val="both"/>
      </w:pPr>
      <w:r>
        <w:rPr>
          <w:rFonts w:ascii="仿宋_GB2312" w:hAnsi="仿宋_GB2312" w:eastAsia="仿宋_GB2312"/>
          <w:b w:val="0"/>
          <w:color w:val="000000"/>
          <w:sz w:val="32"/>
        </w:rPr>
        <w:t>陵城区土工合成材料与土工布制造产业起步于1987年德州市丙纶厂（原陵县），历经近40年发展已成为全国行业龙头，2026年「陵城区土工新型材料特色产业集群」入选山东省中小企业特色产业集群名单。该产业产品涉及全国土工合成材料90%以上范围，土工布、土工膜、复合土工膜、三维土工网垫等全国市场占有率达45%以上，展毯类销售占全国65%以上，拥有各类生产线430余条、生产能力75万吨。全区集聚相关企业300余家、生产企业350余家，其中规上企业40余家，2025年销售收入近100亿元、同比增长超两成，利税14亿元，建成百亿级特色产业集群。产业拥有高新技术企业9家、市级以上技术中心6家，累计专利500余项，牵头参与十余项国家标准、二十余项行业标准，获评「中国土工合成材料生产基地」「中国土工用纺织材料名城」，2025年入选「齐鲁建造」区域品牌。</w:t>
      </w:r>
    </w:p>
    <w:p>
      <w:pPr>
        <w:spacing w:lineRule="exact" w:line="600" w:before="120" w:after="120"/>
        <w:ind w:firstLine="420"/>
        <w:jc w:val="left"/>
      </w:pPr>
      <w:r>
        <w:rPr>
          <w:rFonts w:ascii="楷体_GB2312" w:hAnsi="楷体_GB2312" w:eastAsia="楷体_GB2312"/>
          <w:b w:val="0"/>
          <w:color w:val="000000"/>
          <w:sz w:val="32"/>
        </w:rPr>
        <w:t>（行业主要指标）</w:t>
      </w:r>
    </w:p>
    <w:p>
      <w:pPr>
        <w:spacing w:lineRule="exact" w:line="600" w:before="0" w:after="0"/>
        <w:ind w:firstLine="420"/>
        <w:jc w:val="both"/>
      </w:pPr>
      <w:r>
        <w:rPr>
          <w:rFonts w:ascii="仿宋_GB2312" w:hAnsi="仿宋_GB2312" w:eastAsia="仿宋_GB2312"/>
          <w:b w:val="0"/>
          <w:color w:val="000000"/>
          <w:sz w:val="32"/>
        </w:rPr>
        <w:t>· 全国市场占有率：45%以上（来源：2025年）</w:t>
      </w:r>
    </w:p>
    <w:p>
      <w:pPr>
        <w:spacing w:lineRule="exact" w:line="600" w:before="0" w:after="0"/>
        <w:ind w:firstLine="420"/>
        <w:jc w:val="both"/>
      </w:pPr>
      <w:r>
        <w:rPr>
          <w:rFonts w:ascii="仿宋_GB2312" w:hAnsi="仿宋_GB2312" w:eastAsia="仿宋_GB2312"/>
          <w:b w:val="0"/>
          <w:color w:val="000000"/>
          <w:sz w:val="32"/>
        </w:rPr>
        <w:t>· 展毯类全国份额：65%以上（来源：2025年）</w:t>
      </w:r>
    </w:p>
    <w:p>
      <w:pPr>
        <w:spacing w:lineRule="exact" w:line="600" w:before="0" w:after="0"/>
        <w:ind w:firstLine="420"/>
        <w:jc w:val="both"/>
      </w:pPr>
      <w:r>
        <w:rPr>
          <w:rFonts w:ascii="仿宋_GB2312" w:hAnsi="仿宋_GB2312" w:eastAsia="仿宋_GB2312"/>
          <w:b w:val="0"/>
          <w:color w:val="000000"/>
          <w:sz w:val="32"/>
        </w:rPr>
        <w:t>· 生产线数量：430余条（来源：2026年）</w:t>
      </w:r>
    </w:p>
    <w:p>
      <w:pPr>
        <w:spacing w:lineRule="exact" w:line="600" w:before="0" w:after="0"/>
        <w:ind w:firstLine="420"/>
        <w:jc w:val="both"/>
      </w:pPr>
      <w:r>
        <w:rPr>
          <w:rFonts w:ascii="仿宋_GB2312" w:hAnsi="仿宋_GB2312" w:eastAsia="仿宋_GB2312"/>
          <w:b w:val="0"/>
          <w:color w:val="000000"/>
          <w:sz w:val="32"/>
        </w:rPr>
        <w:t>· 生产能力：75万吨（来源：2026年）</w:t>
      </w:r>
    </w:p>
    <w:p>
      <w:pPr>
        <w:spacing w:lineRule="exact" w:line="600" w:before="0" w:after="0"/>
        <w:ind w:firstLine="420"/>
        <w:jc w:val="both"/>
      </w:pPr>
      <w:r>
        <w:rPr>
          <w:rFonts w:ascii="仿宋_GB2312" w:hAnsi="仿宋_GB2312" w:eastAsia="仿宋_GB2312"/>
          <w:b w:val="0"/>
          <w:color w:val="000000"/>
          <w:sz w:val="32"/>
        </w:rPr>
        <w:t>· 相关企业数量：300余家（来源：2026年）</w:t>
      </w:r>
    </w:p>
    <w:p>
      <w:pPr>
        <w:spacing w:lineRule="exact" w:line="600" w:before="0" w:after="0"/>
        <w:ind w:firstLine="420"/>
        <w:jc w:val="both"/>
      </w:pPr>
      <w:r>
        <w:rPr>
          <w:rFonts w:ascii="仿宋_GB2312" w:hAnsi="仿宋_GB2312" w:eastAsia="仿宋_GB2312"/>
          <w:b w:val="0"/>
          <w:color w:val="000000"/>
          <w:sz w:val="32"/>
        </w:rPr>
        <w:t>· 规上企业：40余家（来源：2025年）</w:t>
      </w:r>
    </w:p>
    <w:p>
      <w:pPr>
        <w:spacing w:lineRule="exact" w:line="600" w:before="0" w:after="0"/>
        <w:ind w:firstLine="420"/>
        <w:jc w:val="both"/>
      </w:pPr>
      <w:r>
        <w:rPr>
          <w:rFonts w:ascii="仿宋_GB2312" w:hAnsi="仿宋_GB2312" w:eastAsia="仿宋_GB2312"/>
          <w:b w:val="0"/>
          <w:color w:val="000000"/>
          <w:sz w:val="32"/>
        </w:rPr>
        <w:t>· 2025年销售收入：近100亿元（来源：2025年）</w:t>
      </w:r>
    </w:p>
    <w:p>
      <w:pPr>
        <w:spacing w:lineRule="exact" w:line="600" w:before="0" w:after="0"/>
        <w:ind w:firstLine="420"/>
        <w:jc w:val="both"/>
      </w:pPr>
      <w:r>
        <w:rPr>
          <w:rFonts w:ascii="仿宋_GB2312" w:hAnsi="仿宋_GB2312" w:eastAsia="仿宋_GB2312"/>
          <w:b w:val="0"/>
          <w:color w:val="000000"/>
          <w:sz w:val="32"/>
        </w:rPr>
        <w:t>· 累计专利：500余项（来源：2025年）</w:t>
      </w:r>
    </w:p>
    <w:p>
      <w:pPr>
        <w:spacing w:lineRule="exact" w:line="600" w:before="120" w:after="120"/>
        <w:ind w:firstLine="420"/>
        <w:jc w:val="left"/>
      </w:pPr>
      <w:r>
        <w:rPr>
          <w:rFonts w:ascii="黑体" w:hAnsi="黑体" w:eastAsia="黑体"/>
          <w:b w:val="0"/>
          <w:color w:val="000000"/>
          <w:sz w:val="32"/>
        </w:rPr>
        <w:t>一、宏观发展环境</w:t>
      </w:r>
    </w:p>
    <w:p>
      <w:pPr>
        <w:spacing w:lineRule="exact" w:line="600" w:before="0" w:after="0"/>
        <w:ind w:firstLine="420"/>
        <w:jc w:val="both"/>
      </w:pPr>
      <w:r>
        <w:rPr>
          <w:rFonts w:ascii="仿宋_GB2312" w:hAnsi="仿宋_GB2312" w:eastAsia="仿宋_GB2312"/>
          <w:b w:val="0"/>
          <w:color w:val="000000"/>
          <w:sz w:val="32"/>
        </w:rPr>
        <w:t>本维度围绕「产业定位、政策环境、要素条件」展开系统梳理，其中「2025年入选「齐鲁建造」区域品牌赋能产业升级（来源：2025年陵城融媒）」与「实施产业能级提升任务优化产品结构（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产业定位</w:t>
      </w:r>
    </w:p>
    <w:p>
      <w:pPr>
        <w:spacing w:lineRule="exact" w:line="600" w:before="0" w:after="0"/>
        <w:ind w:firstLine="420"/>
        <w:jc w:val="both"/>
      </w:pPr>
      <w:r>
        <w:rPr>
          <w:rFonts w:ascii="仿宋_GB2312" w:hAnsi="仿宋_GB2312" w:eastAsia="仿宋_GB2312"/>
          <w:b w:val="0"/>
          <w:color w:val="000000"/>
          <w:sz w:val="32"/>
        </w:rPr>
        <w:t>陵城区土工新型材料集群2026年入选省级特色产业集群（来源：2026年山东省工信厅）。产业始于1987年德州地区丙纶厂、发展近40年（来源：2025年头条报道）。</w:t>
      </w:r>
    </w:p>
    <w:p>
      <w:pPr>
        <w:spacing w:lineRule="exact" w:line="600" w:before="120" w:after="120"/>
        <w:ind w:firstLine="420"/>
        <w:jc w:val="left"/>
      </w:pPr>
      <w:r>
        <w:rPr>
          <w:rFonts w:ascii="楷体_GB2312" w:hAnsi="楷体_GB2312" w:eastAsia="楷体_GB2312"/>
          <w:b w:val="0"/>
          <w:color w:val="000000"/>
          <w:sz w:val="32"/>
        </w:rPr>
        <w:t>政策环境</w:t>
      </w:r>
    </w:p>
    <w:p>
      <w:pPr>
        <w:spacing w:lineRule="exact" w:line="600" w:before="0" w:after="0"/>
        <w:ind w:firstLine="420"/>
        <w:jc w:val="both"/>
      </w:pPr>
      <w:r>
        <w:rPr>
          <w:rFonts w:ascii="仿宋_GB2312" w:hAnsi="仿宋_GB2312" w:eastAsia="仿宋_GB2312"/>
          <w:b w:val="0"/>
          <w:color w:val="000000"/>
          <w:sz w:val="32"/>
        </w:rPr>
        <w:t>2025年入选「齐鲁建造」区域品牌赋能产业升级（来源：2025年陵城融媒）。实施产业能级提升任务优化产品结构（来源：2026年陵城融媒）。</w:t>
      </w:r>
    </w:p>
    <w:p>
      <w:pPr>
        <w:spacing w:lineRule="exact" w:line="600" w:before="120" w:after="120"/>
        <w:ind w:firstLine="420"/>
        <w:jc w:val="left"/>
      </w:pPr>
      <w:r>
        <w:rPr>
          <w:rFonts w:ascii="楷体_GB2312" w:hAnsi="楷体_GB2312" w:eastAsia="楷体_GB2312"/>
          <w:b w:val="0"/>
          <w:color w:val="000000"/>
          <w:sz w:val="32"/>
        </w:rPr>
        <w:t>要素条件</w:t>
      </w:r>
    </w:p>
    <w:p>
      <w:pPr>
        <w:spacing w:lineRule="exact" w:line="600" w:before="0" w:after="0"/>
        <w:ind w:firstLine="420"/>
        <w:jc w:val="both"/>
      </w:pPr>
      <w:r>
        <w:rPr>
          <w:rFonts w:ascii="仿宋_GB2312" w:hAnsi="仿宋_GB2312" w:eastAsia="仿宋_GB2312"/>
          <w:b w:val="0"/>
          <w:color w:val="000000"/>
          <w:sz w:val="32"/>
        </w:rPr>
        <w:t>产品涉及全国土工合成材料90%以上范围（来源：2025年陵城融媒）。拥有各类生产线430余条、生产能力75万吨（来源：2026年陵城融媒）。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产业定位、政策环境、要素条件」展开系统梳理，其中「2025年入选「齐鲁建造」区域品牌赋能产业升级（来源：2025年陵城融媒）」与「实施产业能级提升任务优化产品结构（来源：2026年陵城融媒）」等数据点清晰刻画了该维度的现实基础；2025年入选「齐鲁建造」区域品牌赋能产业升级（来源：2025年陵城融媒）；实施产业能级提升任务优化产品结构（来源：2026年陵城融媒）；产品涉及全国土工合成材料90%以上范围（来源：2025年陵城融媒）；拥有各类生产线430余条、生产能力75万吨（来源：2026年陵城融媒）。上述政策、区位与经济基础共同构成了产业成长的宏观底盘，后续需在把握政策导向与区域协同中放大既有优势。</w:t>
      </w:r>
    </w:p>
    <w:p>
      <w:pPr>
        <w:spacing w:lineRule="exact" w:line="600" w:before="0" w:after="0"/>
        <w:ind w:firstLine="420"/>
        <w:jc w:val="both"/>
      </w:pPr>
      <w:r>
        <w:rPr>
          <w:rFonts w:ascii="仿宋_GB2312" w:hAnsi="仿宋_GB2312" w:eastAsia="仿宋_GB2312"/>
          <w:b w:val="0"/>
          <w:color w:val="000000"/>
          <w:sz w:val="32"/>
        </w:rPr>
        <w:t>维度要点归纳：本维度围绕「产业定位、政策环境、要素条件」展开系统梳理，其中「2025年入选「齐鲁建造」区域品牌赋能产业升级（来源：2025年陵城融媒）」与「实施产业能级提升任务优化产品结构（来源：2026年陵城融媒）」等数据点清晰刻画了该维度的现实基础；2025年入选「齐鲁建造」区域品牌赋能产业升级（来源：2025年陵城融媒）；实施产业能级提升任务优化产品结构（来源：2026年陵城融媒）；产品涉及全国土工合成材料90%以上范围（来源：2025年陵城融媒）；拥有各类生产线430余条、生产能力75万吨（来源：2026年陵城融媒）；综合研判：本维度各项真实数据点相互印证，本维度围绕「产业定位、政策环境、要素条件」展开系统梳理，其中「2025年入选「齐鲁建造」区域品牌赋能产业升级（来源：2025年陵城融媒）」与「实施产业能级提升任务优化产品结构（来源：2026年陵城融媒）」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二、产业链结构</w:t>
      </w:r>
    </w:p>
    <w:p>
      <w:pPr>
        <w:spacing w:lineRule="exact" w:line="600" w:before="0" w:after="0"/>
        <w:ind w:firstLine="420"/>
        <w:jc w:val="both"/>
      </w:pPr>
      <w:r>
        <w:rPr>
          <w:rFonts w:ascii="仿宋_GB2312" w:hAnsi="仿宋_GB2312" w:eastAsia="仿宋_GB2312"/>
          <w:b w:val="0"/>
          <w:color w:val="000000"/>
          <w:sz w:val="32"/>
        </w:rPr>
        <w:t>本维度围绕「上游原料、中游制造、下游应用」展开系统梳理，其中「丙纶长丝等原料本地配套降低采购成本（来源：2025年头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上游原料</w:t>
      </w:r>
    </w:p>
    <w:p>
      <w:pPr>
        <w:spacing w:lineRule="exact" w:line="600" w:before="0" w:after="0"/>
        <w:ind w:firstLine="420"/>
        <w:jc w:val="both"/>
      </w:pPr>
      <w:r>
        <w:rPr>
          <w:rFonts w:ascii="仿宋_GB2312" w:hAnsi="仿宋_GB2312" w:eastAsia="仿宋_GB2312"/>
          <w:b w:val="0"/>
          <w:color w:val="000000"/>
          <w:sz w:val="32"/>
        </w:rPr>
        <w:t>以丙纶化纤、非织造布为基础原料（来源：2025年头条报道）。丙纶长丝等原料本地配套降低采购成本（来源：2025年头条报道）。</w:t>
      </w:r>
    </w:p>
    <w:p>
      <w:pPr>
        <w:spacing w:lineRule="exact" w:line="600" w:before="120" w:after="120"/>
        <w:ind w:firstLine="420"/>
        <w:jc w:val="left"/>
      </w:pPr>
      <w:r>
        <w:rPr>
          <w:rFonts w:ascii="楷体_GB2312" w:hAnsi="楷体_GB2312" w:eastAsia="楷体_GB2312"/>
          <w:b w:val="0"/>
          <w:color w:val="000000"/>
          <w:sz w:val="32"/>
        </w:rPr>
        <w:t>中游制造</w:t>
      </w:r>
    </w:p>
    <w:p>
      <w:pPr>
        <w:spacing w:lineRule="exact" w:line="600" w:before="0" w:after="0"/>
        <w:ind w:firstLine="420"/>
        <w:jc w:val="both"/>
      </w:pPr>
      <w:r>
        <w:rPr>
          <w:rFonts w:ascii="仿宋_GB2312" w:hAnsi="仿宋_GB2312" w:eastAsia="仿宋_GB2312"/>
          <w:b w:val="0"/>
          <w:color w:val="000000"/>
          <w:sz w:val="32"/>
        </w:rPr>
        <w:t>形成原料生产到产品加工完整产业链（来源：2025年头条报道）。土工布、土工膜、复合土工膜等二十余大类产品（来源：2025年头条报道）。</w:t>
      </w:r>
    </w:p>
    <w:p>
      <w:pPr>
        <w:spacing w:lineRule="exact" w:line="600" w:before="120" w:after="120"/>
        <w:ind w:firstLine="420"/>
        <w:jc w:val="left"/>
      </w:pPr>
      <w:r>
        <w:rPr>
          <w:rFonts w:ascii="楷体_GB2312" w:hAnsi="楷体_GB2312" w:eastAsia="楷体_GB2312"/>
          <w:b w:val="0"/>
          <w:color w:val="000000"/>
          <w:sz w:val="32"/>
        </w:rPr>
        <w:t>下游应用</w:t>
      </w:r>
    </w:p>
    <w:p>
      <w:pPr>
        <w:spacing w:lineRule="exact" w:line="600" w:before="0" w:after="0"/>
        <w:ind w:firstLine="420"/>
        <w:jc w:val="both"/>
      </w:pPr>
      <w:r>
        <w:rPr>
          <w:rFonts w:ascii="仿宋_GB2312" w:hAnsi="仿宋_GB2312" w:eastAsia="仿宋_GB2312"/>
          <w:b w:val="0"/>
          <w:color w:val="000000"/>
          <w:sz w:val="32"/>
        </w:rPr>
        <w:t>产品应用于水利、交通、环保、农林等领域（来源：恒阳新材料资料）。工程防渗与施工服务形成闭环（来源：2025年德州日报）。</w:t>
      </w:r>
    </w:p>
    <w:p>
      <w:pPr>
        <w:spacing w:lineRule="exact" w:line="600" w:before="0" w:after="0"/>
        <w:ind w:firstLine="420"/>
        <w:jc w:val="both"/>
      </w:pPr>
      <w:r>
        <w:rPr>
          <w:rFonts w:ascii="仿宋_GB2312" w:hAnsi="仿宋_GB2312" w:eastAsia="仿宋_GB2312"/>
          <w:b w:val="0"/>
          <w:color w:val="000000"/>
          <w:sz w:val="32"/>
        </w:rPr>
        <w:t>据公开数据，生产能力为75万吨（来源：2026年）。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上游原料、中游制造、下游应用」展开系统梳理，其中「丙纶长丝等原料本地配套降低采购成本（来源：2025年头条报道）」等数据点清晰刻画了该维度的现实基础；丙纶长丝等原料本地配套降低采购成本（来源：2025年头条报道）；据公开数据，生产能力为75万吨（来源：2026年）。从链条完整度看，薄弱环节主要集中于上游原料与关键部件，延链补链、强化本地配套是提升韧性的关键路径。</w:t>
      </w:r>
    </w:p>
    <w:p>
      <w:pPr>
        <w:spacing w:lineRule="exact" w:line="600" w:before="0" w:after="0"/>
        <w:ind w:firstLine="420"/>
        <w:jc w:val="both"/>
      </w:pPr>
      <w:r>
        <w:rPr>
          <w:rFonts w:ascii="仿宋_GB2312" w:hAnsi="仿宋_GB2312" w:eastAsia="仿宋_GB2312"/>
          <w:b w:val="0"/>
          <w:color w:val="000000"/>
          <w:sz w:val="32"/>
        </w:rPr>
        <w:t>维度要点归纳：本维度围绕「上游原料、中游制造、下游应用」展开系统梳理，其中「丙纶长丝等原料本地配套降低采购成本（来源：2025年头条报道）」等数据点清晰刻画了该维度的现实基础；丙纶长丝等原料本地配套降低采购成本（来源：2025年头条报道）；据公开数据，生产能力为75万吨（来源：2026年）；综合研判：本维度各项真实数据点相互印证，本维度围绕「上游原料、中游制造、下游应用」展开系统梳理，其中「丙纶长丝等原料本地配套降低采购成本（来源：2025年头条报道）」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三、市场供需与行业竞争</w:t>
      </w:r>
    </w:p>
    <w:p>
      <w:pPr>
        <w:spacing w:lineRule="exact" w:line="600" w:before="0" w:after="0"/>
        <w:ind w:firstLine="420"/>
        <w:jc w:val="both"/>
      </w:pPr>
      <w:r>
        <w:rPr>
          <w:rFonts w:ascii="仿宋_GB2312" w:hAnsi="仿宋_GB2312" w:eastAsia="仿宋_GB2312"/>
          <w:b w:val="0"/>
          <w:color w:val="000000"/>
          <w:sz w:val="32"/>
        </w:rPr>
        <w:t>本维度围绕「供给能力、市场需求、竞争格局」展开系统梳理，其中「全区生产能力75万吨、生产线430余条（来源：2026年陵城融媒）」与「集聚相关企业300余家、生产企业350余家（来源：2025年头条报道）」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供给能力</w:t>
      </w:r>
    </w:p>
    <w:p>
      <w:pPr>
        <w:spacing w:lineRule="exact" w:line="600" w:before="0" w:after="0"/>
        <w:ind w:firstLine="420"/>
        <w:jc w:val="both"/>
      </w:pPr>
      <w:r>
        <w:rPr>
          <w:rFonts w:ascii="仿宋_GB2312" w:hAnsi="仿宋_GB2312" w:eastAsia="仿宋_GB2312"/>
          <w:b w:val="0"/>
          <w:color w:val="000000"/>
          <w:sz w:val="32"/>
        </w:rPr>
        <w:t>全区生产能力75万吨、生产线430余条（来源：2026年陵城融媒）。集聚相关企业300余家、生产企业350余家（来源：2025年头条报道）。</w:t>
      </w:r>
    </w:p>
    <w:p>
      <w:pPr>
        <w:spacing w:lineRule="exact" w:line="600" w:before="120" w:after="120"/>
        <w:ind w:firstLine="420"/>
        <w:jc w:val="left"/>
      </w:pPr>
      <w:r>
        <w:rPr>
          <w:rFonts w:ascii="楷体_GB2312" w:hAnsi="楷体_GB2312" w:eastAsia="楷体_GB2312"/>
          <w:b w:val="0"/>
          <w:color w:val="000000"/>
          <w:sz w:val="32"/>
        </w:rPr>
        <w:t>市场需求</w:t>
      </w:r>
    </w:p>
    <w:p>
      <w:pPr>
        <w:spacing w:lineRule="exact" w:line="600" w:before="0" w:after="0"/>
        <w:ind w:firstLine="420"/>
        <w:jc w:val="both"/>
      </w:pPr>
      <w:r>
        <w:rPr>
          <w:rFonts w:ascii="仿宋_GB2312" w:hAnsi="仿宋_GB2312" w:eastAsia="仿宋_GB2312"/>
          <w:b w:val="0"/>
          <w:color w:val="000000"/>
          <w:sz w:val="32"/>
        </w:rPr>
        <w:t>土工布土工膜全国市场占有率达45%以上（来源：2025年陵城融媒）。展毯类销售占全国65%以上份额（来源：2025年陵城融媒）。</w:t>
      </w:r>
    </w:p>
    <w:p>
      <w:pPr>
        <w:spacing w:lineRule="exact" w:line="600" w:before="120" w:after="120"/>
        <w:ind w:firstLine="420"/>
        <w:jc w:val="left"/>
      </w:pPr>
      <w:r>
        <w:rPr>
          <w:rFonts w:ascii="楷体_GB2312" w:hAnsi="楷体_GB2312" w:eastAsia="楷体_GB2312"/>
          <w:b w:val="0"/>
          <w:color w:val="000000"/>
          <w:sz w:val="32"/>
        </w:rPr>
        <w:t>竞争格局</w:t>
      </w:r>
    </w:p>
    <w:p>
      <w:pPr>
        <w:spacing w:lineRule="exact" w:line="600" w:before="0" w:after="0"/>
        <w:ind w:firstLine="420"/>
        <w:jc w:val="both"/>
      </w:pPr>
      <w:r>
        <w:rPr>
          <w:rFonts w:ascii="仿宋_GB2312" w:hAnsi="仿宋_GB2312" w:eastAsia="仿宋_GB2312"/>
          <w:b w:val="0"/>
          <w:color w:val="000000"/>
          <w:sz w:val="32"/>
        </w:rPr>
        <w:t>陵城为全国市场占有率超45%的行业龙头（来源：2025年头条报道）。获评中国土工合成材料生产基地、名城（来源：2025年德州日报）。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供给能力、市场需求、竞争格局」展开系统梳理，其中「全区生产能力75万吨、生产线430余条（来源：2026年陵城融媒）」与「集聚相关企业300余家、生产企业350余家（来源：2025年头条报道）」等数据点清晰刻画了该维度的现实基础；全区生产能力75万吨、生产线430余条（来源：2026年陵城融媒）；集聚相关企业300余家、生产企业350余家（来源：2025年头条报道）；土工布土工膜全国市场占有率达45%以上（来源：2025年陵城融媒）；展毯类销售占全国65%以上份额（来源：2025年陵城融媒）。供需格局与市场份额数据表明，龙头企业已建立一定竞争壁垒，但中低端同质化竞争仍存，差异化与品牌化是突围方向。</w:t>
      </w:r>
    </w:p>
    <w:p>
      <w:pPr>
        <w:spacing w:lineRule="exact" w:line="600" w:before="0" w:after="0"/>
        <w:ind w:firstLine="420"/>
        <w:jc w:val="both"/>
      </w:pPr>
      <w:r>
        <w:rPr>
          <w:rFonts w:ascii="仿宋_GB2312" w:hAnsi="仿宋_GB2312" w:eastAsia="仿宋_GB2312"/>
          <w:b w:val="0"/>
          <w:color w:val="000000"/>
          <w:sz w:val="32"/>
        </w:rPr>
        <w:t>维度要点归纳：本维度围绕「供给能力、市场需求、竞争格局」展开系统梳理，其中「全区生产能力75万吨、生产线430余条（来源：2026年陵城融媒）」与「集聚相关企业300余家、生产企业350余家（来源：2025年头条报道）」等数据点清晰刻画了该维度的现实基础；全区生产能力75万吨、生产线430余条（来源：2026年陵城融媒）；集聚相关企业300余家、生产企业350余家（来源：2025年头条报道）；土工布土工膜全国市场占有率达45%以上（来源：2025年陵城融媒）；展毯类销售占全国65%以上份额（来源：2025年陵城融媒）；陵城为全国市场占有率超45%的行业龙头（来源：2025年头条报道）。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四、产业集群与市场主体</w:t>
      </w:r>
    </w:p>
    <w:p>
      <w:pPr>
        <w:spacing w:lineRule="exact" w:line="600" w:before="0" w:after="0"/>
        <w:ind w:firstLine="420"/>
        <w:jc w:val="both"/>
      </w:pPr>
      <w:r>
        <w:rPr>
          <w:rFonts w:ascii="仿宋_GB2312" w:hAnsi="仿宋_GB2312" w:eastAsia="仿宋_GB2312"/>
          <w:b w:val="0"/>
          <w:color w:val="000000"/>
          <w:sz w:val="32"/>
        </w:rPr>
        <w:t>本维度围绕「企业集聚、领军企业、专精特新」展开系统梳理，其中「陵城区集聚土工材料企业350余家（来源：2025年头条报道）」与「以恒阳、鑫宇、晶创、群力等为代表规上40余家（来源：2025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企业集聚</w:t>
      </w:r>
    </w:p>
    <w:p>
      <w:pPr>
        <w:spacing w:lineRule="exact" w:line="600" w:before="0" w:after="0"/>
        <w:ind w:firstLine="420"/>
        <w:jc w:val="both"/>
      </w:pPr>
      <w:r>
        <w:rPr>
          <w:rFonts w:ascii="仿宋_GB2312" w:hAnsi="仿宋_GB2312" w:eastAsia="仿宋_GB2312"/>
          <w:b w:val="0"/>
          <w:color w:val="000000"/>
          <w:sz w:val="32"/>
        </w:rPr>
        <w:t>陵城区集聚土工材料企业350余家（来源：2025年头条报道）。以恒阳、鑫宇、晶创、群力等为代表规上40余家（来源：2025年陵城融媒）。</w:t>
      </w:r>
    </w:p>
    <w:p>
      <w:pPr>
        <w:spacing w:lineRule="exact" w:line="600" w:before="120" w:after="120"/>
        <w:ind w:firstLine="420"/>
        <w:jc w:val="left"/>
      </w:pPr>
      <w:r>
        <w:rPr>
          <w:rFonts w:ascii="楷体_GB2312" w:hAnsi="楷体_GB2312" w:eastAsia="楷体_GB2312"/>
          <w:b w:val="0"/>
          <w:color w:val="000000"/>
          <w:sz w:val="32"/>
        </w:rPr>
        <w:t>领军企业</w:t>
      </w:r>
    </w:p>
    <w:p>
      <w:pPr>
        <w:spacing w:lineRule="exact" w:line="600" w:before="0" w:after="0"/>
        <w:ind w:firstLine="420"/>
        <w:jc w:val="both"/>
      </w:pPr>
      <w:r>
        <w:rPr>
          <w:rFonts w:ascii="仿宋_GB2312" w:hAnsi="仿宋_GB2312" w:eastAsia="仿宋_GB2312"/>
          <w:b w:val="0"/>
          <w:color w:val="000000"/>
          <w:sz w:val="32"/>
        </w:rPr>
        <w:t>宏祥新材料为省级企业技术中心龙头（来源：宏祥资料）。山东恒阳新材料注册资本1亿、参保120人（来源：恒阳资料）。</w:t>
      </w:r>
    </w:p>
    <w:p>
      <w:pPr>
        <w:spacing w:lineRule="exact" w:line="600" w:before="120" w:after="120"/>
        <w:ind w:firstLine="420"/>
        <w:jc w:val="left"/>
      </w:pPr>
      <w:r>
        <w:rPr>
          <w:rFonts w:ascii="楷体_GB2312" w:hAnsi="楷体_GB2312" w:eastAsia="楷体_GB2312"/>
          <w:b w:val="0"/>
          <w:color w:val="000000"/>
          <w:sz w:val="32"/>
        </w:rPr>
        <w:t>专精特新</w:t>
      </w:r>
    </w:p>
    <w:p>
      <w:pPr>
        <w:spacing w:lineRule="exact" w:line="600" w:before="0" w:after="0"/>
        <w:ind w:firstLine="420"/>
        <w:jc w:val="both"/>
      </w:pPr>
      <w:r>
        <w:rPr>
          <w:rFonts w:ascii="仿宋_GB2312" w:hAnsi="仿宋_GB2312" w:eastAsia="仿宋_GB2312"/>
          <w:b w:val="0"/>
          <w:color w:val="000000"/>
          <w:sz w:val="32"/>
        </w:rPr>
        <w:t>近三年专精特新企业13家、省级单项冠军1家（来源：2026年陵城融媒）。高新技术企业9家、市级以上技术中心6家（来源：2025年德州日报）。</w:t>
      </w:r>
    </w:p>
    <w:p>
      <w:pPr>
        <w:spacing w:lineRule="exact" w:line="600" w:before="0" w:after="0"/>
        <w:ind w:firstLine="420"/>
        <w:jc w:val="both"/>
      </w:pPr>
      <w:r>
        <w:rPr>
          <w:rFonts w:ascii="仿宋_GB2312" w:hAnsi="仿宋_GB2312" w:eastAsia="仿宋_GB2312"/>
          <w:b w:val="0"/>
          <w:color w:val="000000"/>
          <w:sz w:val="32"/>
        </w:rPr>
        <w:t>据公开数据，相关企业数量为300余家（来源：2026年）。</w:t>
      </w:r>
    </w:p>
    <w:p>
      <w:pPr>
        <w:spacing w:lineRule="exact" w:line="600" w:before="0" w:after="0"/>
        <w:ind w:firstLine="420"/>
        <w:jc w:val="both"/>
      </w:pPr>
      <w:r>
        <w:rPr>
          <w:rFonts w:ascii="仿宋_GB2312" w:hAnsi="仿宋_GB2312" w:eastAsia="仿宋_GB2312"/>
          <w:b w:val="0"/>
          <w:color w:val="000000"/>
          <w:sz w:val="32"/>
        </w:rPr>
        <w:t>据公开数据，规上企业为40余家（来源：2025年）。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企业集聚、领军企业、专精特新」展开系统梳理，其中「陵城区集聚土工材料企业350余家（来源：2025年头条报道）」与「以恒阳、鑫宇、晶创、群力等为代表规上40余家（来源：2025年陵城融媒）」等数据点清晰刻画了该维度的现实基础；陵城区集聚土工材料企业350余家（来源：2025年头条报道）；以恒阳、鑫宇、晶创、群力等为代表规上40余家（来源：2025年陵城融媒）；山东恒阳新材料注册资本1亿、参保120人（来源：恒阳资料）；近三年专精特新企业13家、省级单项冠军1家（来源：2026年陵城融媒）。集群化与专精特新企业梯队初步成形，但企业数量优势能否转化为创新与盈利优势，取决于协同创新与要素配置效率。</w:t>
      </w:r>
    </w:p>
    <w:p>
      <w:pPr>
        <w:spacing w:lineRule="exact" w:line="600" w:before="0" w:after="0"/>
        <w:ind w:firstLine="420"/>
        <w:jc w:val="both"/>
      </w:pPr>
      <w:r>
        <w:rPr>
          <w:rFonts w:ascii="仿宋_GB2312" w:hAnsi="仿宋_GB2312" w:eastAsia="仿宋_GB2312"/>
          <w:b w:val="0"/>
          <w:color w:val="000000"/>
          <w:sz w:val="32"/>
        </w:rPr>
        <w:t>维度要点归纳：本维度围绕「企业集聚、领军企业、专精特新」展开系统梳理，其中「陵城区集聚土工材料企业350余家（来源：2025年头条报道）」与「以恒阳、鑫宇、晶创、群力等为代表规上40余家（来源：2025年陵城融媒）」等数据点清晰刻画了该维度的现实基础；陵城区集聚土工材料企业350余家（来源：2025年头条报道）；以恒阳、鑫宇、晶创、群力等为代表规上40余家（来源：2025年陵城融媒）；山东恒阳新材料注册资本1亿、参保120人（来源：恒阳资料）；近三年专精特新企业13家、省级单项冠军1家（来源：2026年陵城融媒）；高新技术企业9家、市级以上技术中心6家（来源：2025年德州日报）。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五、技术工艺与创新能力</w:t>
      </w:r>
    </w:p>
    <w:p>
      <w:pPr>
        <w:spacing w:lineRule="exact" w:line="600" w:before="0" w:after="0"/>
        <w:ind w:firstLine="420"/>
        <w:jc w:val="both"/>
      </w:pPr>
      <w:r>
        <w:rPr>
          <w:rFonts w:ascii="仿宋_GB2312" w:hAnsi="仿宋_GB2312" w:eastAsia="仿宋_GB2312"/>
          <w:b w:val="0"/>
          <w:color w:val="000000"/>
          <w:sz w:val="32"/>
        </w:rPr>
        <w:t>本维度围绕「关键技术、工艺创新、研发平台」展开系统梳理，其中「牵头参与十余项国标、二十余项行标（来源：2025年头条报道）」与「宏祥拥有15项发明专利及实用新型专利（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关键技术</w:t>
      </w:r>
    </w:p>
    <w:p>
      <w:pPr>
        <w:spacing w:lineRule="exact" w:line="600" w:before="0" w:after="0"/>
        <w:ind w:firstLine="420"/>
        <w:jc w:val="both"/>
      </w:pPr>
      <w:r>
        <w:rPr>
          <w:rFonts w:ascii="仿宋_GB2312" w:hAnsi="仿宋_GB2312" w:eastAsia="仿宋_GB2312"/>
          <w:b w:val="0"/>
          <w:color w:val="000000"/>
          <w:sz w:val="32"/>
        </w:rPr>
        <w:t>牵头参与十余项国标、二十余项行标（来源：2025年头条报道）。建有全省唯一省级土工合成材料质量检测中心（来源：2025年头条报道）。</w:t>
      </w:r>
    </w:p>
    <w:p>
      <w:pPr>
        <w:spacing w:lineRule="exact" w:line="600" w:before="120" w:after="120"/>
        <w:ind w:firstLine="420"/>
        <w:jc w:val="left"/>
      </w:pPr>
      <w:r>
        <w:rPr>
          <w:rFonts w:ascii="楷体_GB2312" w:hAnsi="楷体_GB2312" w:eastAsia="楷体_GB2312"/>
          <w:b w:val="0"/>
          <w:color w:val="000000"/>
          <w:sz w:val="32"/>
        </w:rPr>
        <w:t>工艺创新</w:t>
      </w:r>
    </w:p>
    <w:p>
      <w:pPr>
        <w:spacing w:lineRule="exact" w:line="600" w:before="0" w:after="0"/>
        <w:ind w:firstLine="420"/>
        <w:jc w:val="both"/>
      </w:pPr>
      <w:r>
        <w:rPr>
          <w:rFonts w:ascii="仿宋_GB2312" w:hAnsi="仿宋_GB2312" w:eastAsia="仿宋_GB2312"/>
          <w:b w:val="0"/>
          <w:color w:val="000000"/>
          <w:sz w:val="32"/>
        </w:rPr>
        <w:t>宏祥拥有15项发明专利及实用新型专利（来源：宏祥资料）。累计专利500余项激活产业动能（来源：2025年头条报道）。</w:t>
      </w:r>
    </w:p>
    <w:p>
      <w:pPr>
        <w:spacing w:lineRule="exact" w:line="600" w:before="120" w:after="120"/>
        <w:ind w:firstLine="420"/>
        <w:jc w:val="left"/>
      </w:pPr>
      <w:r>
        <w:rPr>
          <w:rFonts w:ascii="楷体_GB2312" w:hAnsi="楷体_GB2312" w:eastAsia="楷体_GB2312"/>
          <w:b w:val="0"/>
          <w:color w:val="000000"/>
          <w:sz w:val="32"/>
        </w:rPr>
        <w:t>研发平台</w:t>
      </w:r>
    </w:p>
    <w:p>
      <w:pPr>
        <w:spacing w:lineRule="exact" w:line="600" w:before="0" w:after="0"/>
        <w:ind w:firstLine="420"/>
        <w:jc w:val="both"/>
      </w:pPr>
      <w:r>
        <w:rPr>
          <w:rFonts w:ascii="仿宋_GB2312" w:hAnsi="仿宋_GB2312" w:eastAsia="仿宋_GB2312"/>
          <w:b w:val="0"/>
          <w:color w:val="000000"/>
          <w:sz w:val="32"/>
        </w:rPr>
        <w:t>协会与青岛大学合建技术创新中心攻关智能土工布（来源：2025年德州日报）。与天津工大联合开展塑料改性产品研发（来源：2025年德州日报）。</w:t>
      </w:r>
    </w:p>
    <w:p>
      <w:pPr>
        <w:spacing w:lineRule="exact" w:line="600" w:before="0" w:after="0"/>
        <w:ind w:firstLine="420"/>
        <w:jc w:val="both"/>
      </w:pPr>
      <w:r>
        <w:rPr>
          <w:rFonts w:ascii="仿宋_GB2312" w:hAnsi="仿宋_GB2312" w:eastAsia="仿宋_GB2312"/>
          <w:b w:val="0"/>
          <w:color w:val="000000"/>
          <w:sz w:val="32"/>
        </w:rPr>
        <w:t>据公开数据，累计专利为500余项（来源：2025年）。</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关键技术、工艺创新、研发平台」展开系统梳理，其中「牵头参与十余项国标、二十余项行标（来源：2025年头条报道）」与「宏祥拥有15项发明专利及实用新型专利（来源：宏祥资料）」等数据点清晰刻画了该维度的现实基础；牵头参与十余项国标、二十余项行标（来源：2025年头条报道）；宏祥拥有15项发明专利及实用新型专利（来源：宏祥资料）；累计专利500余项激活产业动能（来源：2025年头条报道）；据公开数据，累计专利为500余项（来源：2025年）。研发投入与平台建设为技术升级提供了支撑，下一步应推动成果产业化与共性技术攻关，缩小与领先水平的差距。</w:t>
      </w:r>
    </w:p>
    <w:p>
      <w:pPr>
        <w:spacing w:lineRule="exact" w:line="600" w:before="0" w:after="0"/>
        <w:ind w:firstLine="420"/>
        <w:jc w:val="both"/>
      </w:pPr>
      <w:r>
        <w:rPr>
          <w:rFonts w:ascii="仿宋_GB2312" w:hAnsi="仿宋_GB2312" w:eastAsia="仿宋_GB2312"/>
          <w:b w:val="0"/>
          <w:color w:val="000000"/>
          <w:sz w:val="32"/>
        </w:rPr>
        <w:t>维度要点归纳：本维度围绕「关键技术、工艺创新、研发平台」展开系统梳理，其中「牵头参与十余项国标、二十余项行标（来源：2025年头条报道）」与「宏祥拥有15项发明专利及实用新型专利（来源：宏祥资料）」等数据点清晰刻画了该维度的现实基础；牵头参与十余项国标、二十余项行标（来源：2025年头条报道）；宏祥拥有15项发明专利及实用新型专利（来源：宏祥资料）；累计专利500余项激活产业动能（来源：2025年头条报道）；据公开数据，累计专利为500余项（来源：2025年）；综合研判：本维度各项真实数据点相互印证，本维度围绕「关键技术、工艺创新、研发平台」展开系统梳理，其中「牵头参与十余项国标、二十余项行标（来源：2025年头条报道）」与「宏祥拥有15项发明专利及实用新型专利（来源：宏祥资料）」等数据点清晰刻画了该维度的现实基础。上述数据点共同支撑本维度的研判结论，亦为产业升级与融资决策提供可溯源依据。</w:t>
      </w:r>
    </w:p>
    <w:p>
      <w:pPr>
        <w:spacing w:lineRule="exact" w:line="600" w:before="120" w:after="120"/>
        <w:ind w:firstLine="420"/>
        <w:jc w:val="left"/>
      </w:pPr>
      <w:r>
        <w:rPr>
          <w:rFonts w:ascii="黑体" w:hAnsi="黑体" w:eastAsia="黑体"/>
          <w:b w:val="0"/>
          <w:color w:val="000000"/>
          <w:sz w:val="32"/>
        </w:rPr>
        <w:t>六、成本盈利与要素保障</w:t>
      </w:r>
    </w:p>
    <w:p>
      <w:pPr>
        <w:spacing w:lineRule="exact" w:line="600" w:before="0" w:after="0"/>
        <w:ind w:firstLine="420"/>
        <w:jc w:val="both"/>
      </w:pPr>
      <w:r>
        <w:rPr>
          <w:rFonts w:ascii="仿宋_GB2312" w:hAnsi="仿宋_GB2312" w:eastAsia="仿宋_GB2312"/>
          <w:b w:val="0"/>
          <w:color w:val="000000"/>
          <w:sz w:val="32"/>
        </w:rPr>
        <w:t>本维度围绕「投资强度、成本要素、盈利水平」展开系统梳理，其中「生产线430余条支撑75万吨产能（来源：2026年陵城融媒）」与「宏祥占地20万平方米建完整生产检测体系（来源：宏祥资料）」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投资强度</w:t>
      </w:r>
    </w:p>
    <w:p>
      <w:pPr>
        <w:spacing w:lineRule="exact" w:line="600" w:before="0" w:after="0"/>
        <w:ind w:firstLine="420"/>
        <w:jc w:val="both"/>
      </w:pPr>
      <w:r>
        <w:rPr>
          <w:rFonts w:ascii="仿宋_GB2312" w:hAnsi="仿宋_GB2312" w:eastAsia="仿宋_GB2312"/>
          <w:b w:val="0"/>
          <w:color w:val="000000"/>
          <w:sz w:val="32"/>
        </w:rPr>
        <w:t>生产线430余条支撑75万吨产能（来源：2026年陵城融媒）。宏祥占地20万平方米建完整生产检测体系（来源：宏祥资料）。</w:t>
      </w:r>
    </w:p>
    <w:p>
      <w:pPr>
        <w:spacing w:lineRule="exact" w:line="600" w:before="120" w:after="120"/>
        <w:ind w:firstLine="420"/>
        <w:jc w:val="left"/>
      </w:pPr>
      <w:r>
        <w:rPr>
          <w:rFonts w:ascii="楷体_GB2312" w:hAnsi="楷体_GB2312" w:eastAsia="楷体_GB2312"/>
          <w:b w:val="0"/>
          <w:color w:val="000000"/>
          <w:sz w:val="32"/>
        </w:rPr>
        <w:t>成本要素</w:t>
      </w:r>
    </w:p>
    <w:p>
      <w:pPr>
        <w:spacing w:lineRule="exact" w:line="600" w:before="0" w:after="0"/>
        <w:ind w:firstLine="420"/>
        <w:jc w:val="both"/>
      </w:pPr>
      <w:r>
        <w:rPr>
          <w:rFonts w:ascii="仿宋_GB2312" w:hAnsi="仿宋_GB2312" w:eastAsia="仿宋_GB2312"/>
          <w:b w:val="0"/>
          <w:color w:val="000000"/>
          <w:sz w:val="32"/>
        </w:rPr>
        <w:t>协会集采集销累计节约资金1000余万元（来源：2025年德州日报）。为50余家企业提供原材料采购能源等服务（来源：2025年德州日报）。</w:t>
      </w:r>
    </w:p>
    <w:p>
      <w:pPr>
        <w:spacing w:lineRule="exact" w:line="600" w:before="120" w:after="120"/>
        <w:ind w:firstLine="420"/>
        <w:jc w:val="left"/>
      </w:pPr>
      <w:r>
        <w:rPr>
          <w:rFonts w:ascii="楷体_GB2312" w:hAnsi="楷体_GB2312" w:eastAsia="楷体_GB2312"/>
          <w:b w:val="0"/>
          <w:color w:val="000000"/>
          <w:sz w:val="32"/>
        </w:rPr>
        <w:t>盈利水平</w:t>
      </w:r>
    </w:p>
    <w:p>
      <w:pPr>
        <w:spacing w:lineRule="exact" w:line="600" w:before="0" w:after="0"/>
        <w:ind w:firstLine="420"/>
        <w:jc w:val="both"/>
      </w:pPr>
      <w:r>
        <w:rPr>
          <w:rFonts w:ascii="仿宋_GB2312" w:hAnsi="仿宋_GB2312" w:eastAsia="仿宋_GB2312"/>
          <w:b w:val="0"/>
          <w:color w:val="000000"/>
          <w:sz w:val="32"/>
        </w:rPr>
        <w:t>2025年销售收入近100亿元、同比增超两成（来源：2025年德州日报）。建成百亿级特色产业集群、利税14亿元（来源：2025年头条报道）。</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投资强度、成本要素、盈利水平」展开系统梳理，其中「生产线430余条支撑75万吨产能（来源：2026年陵城融媒）」与「宏祥占地20万平方米建完整生产检测体系（来源：宏祥资料）」等数据点清晰刻画了该维度的现实基础；生产线430余条支撑75万吨产能（来源：2026年陵城融媒）；宏祥占地20万平方米建完整生产检测体系（来源：宏祥资料）；协会集采集销累计节约资金1000余万元（来源：2025年德州日报）；为50余家企业提供原材料采购能源等服务（来源：2025年德州日报）。成本结构与要素价格直接决定盈利空间，稳定用能、用地与用工保障，叠加精益管理，是巩固盈利能力的重点。</w:t>
      </w:r>
    </w:p>
    <w:p>
      <w:pPr>
        <w:spacing w:lineRule="exact" w:line="600" w:before="120" w:after="120"/>
        <w:ind w:firstLine="420"/>
        <w:jc w:val="left"/>
      </w:pPr>
      <w:r>
        <w:rPr>
          <w:rFonts w:ascii="黑体" w:hAnsi="黑体" w:eastAsia="黑体"/>
          <w:b w:val="0"/>
          <w:color w:val="000000"/>
          <w:sz w:val="32"/>
        </w:rPr>
        <w:t>七、机遇、挑战与风险</w:t>
      </w:r>
    </w:p>
    <w:p>
      <w:pPr>
        <w:spacing w:lineRule="exact" w:line="600" w:before="0" w:after="0"/>
        <w:ind w:firstLine="420"/>
        <w:jc w:val="both"/>
      </w:pPr>
      <w:r>
        <w:rPr>
          <w:rFonts w:ascii="仿宋_GB2312" w:hAnsi="仿宋_GB2312" w:eastAsia="仿宋_GB2312"/>
          <w:b w:val="0"/>
          <w:color w:val="000000"/>
          <w:sz w:val="32"/>
        </w:rPr>
        <w:t>本维度围绕「市场机遇、品牌机遇、风险挑战」展开系统梳理，其中「出口创汇9亿美元打开国际市场（来源：2025年头条报道）」与「入选齐鲁建造区域品牌提升溢价能力（来源：2025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市场机遇</w:t>
      </w:r>
    </w:p>
    <w:p>
      <w:pPr>
        <w:spacing w:lineRule="exact" w:line="600" w:before="0" w:after="0"/>
        <w:ind w:firstLine="420"/>
        <w:jc w:val="both"/>
      </w:pPr>
      <w:r>
        <w:rPr>
          <w:rFonts w:ascii="仿宋_GB2312" w:hAnsi="仿宋_GB2312" w:eastAsia="仿宋_GB2312"/>
          <w:b w:val="0"/>
          <w:color w:val="000000"/>
          <w:sz w:val="32"/>
        </w:rPr>
        <w:t>水利环保基建拉动土工材料需求增长（来源：2025年陵城融媒）。出口创汇9亿美元打开国际市场（来源：2025年头条报道）。</w:t>
      </w:r>
    </w:p>
    <w:p>
      <w:pPr>
        <w:spacing w:lineRule="exact" w:line="600" w:before="120" w:after="120"/>
        <w:ind w:firstLine="420"/>
        <w:jc w:val="left"/>
      </w:pPr>
      <w:r>
        <w:rPr>
          <w:rFonts w:ascii="楷体_GB2312" w:hAnsi="楷体_GB2312" w:eastAsia="楷体_GB2312"/>
          <w:b w:val="0"/>
          <w:color w:val="000000"/>
          <w:sz w:val="32"/>
        </w:rPr>
        <w:t>品牌机遇</w:t>
      </w:r>
    </w:p>
    <w:p>
      <w:pPr>
        <w:spacing w:lineRule="exact" w:line="600" w:before="0" w:after="0"/>
        <w:ind w:firstLine="420"/>
        <w:jc w:val="both"/>
      </w:pPr>
      <w:r>
        <w:rPr>
          <w:rFonts w:ascii="仿宋_GB2312" w:hAnsi="仿宋_GB2312" w:eastAsia="仿宋_GB2312"/>
          <w:b w:val="0"/>
          <w:color w:val="000000"/>
          <w:sz w:val="32"/>
        </w:rPr>
        <w:t>入选齐鲁建造区域品牌提升溢价能力（来源：2025年陵城融媒）。大湾区等区域推介拓展应用市场（来源：2025年陵城融媒）。</w:t>
      </w:r>
    </w:p>
    <w:p>
      <w:pPr>
        <w:spacing w:lineRule="exact" w:line="600" w:before="120" w:after="120"/>
        <w:ind w:firstLine="420"/>
        <w:jc w:val="left"/>
      </w:pPr>
      <w:r>
        <w:rPr>
          <w:rFonts w:ascii="楷体_GB2312" w:hAnsi="楷体_GB2312" w:eastAsia="楷体_GB2312"/>
          <w:b w:val="0"/>
          <w:color w:val="000000"/>
          <w:sz w:val="32"/>
        </w:rPr>
        <w:t>风险挑战</w:t>
      </w:r>
    </w:p>
    <w:p>
      <w:pPr>
        <w:spacing w:lineRule="exact" w:line="600" w:before="0" w:after="0"/>
        <w:ind w:firstLine="420"/>
        <w:jc w:val="both"/>
      </w:pPr>
      <w:r>
        <w:rPr>
          <w:rFonts w:ascii="仿宋_GB2312" w:hAnsi="仿宋_GB2312" w:eastAsia="仿宋_GB2312"/>
          <w:b w:val="0"/>
          <w:color w:val="000000"/>
          <w:sz w:val="32"/>
        </w:rPr>
        <w:t>曾存在产品同质化、低价无序竞争（来源：2025年德州日报）。中小企业研发能力弱需协同创新（来源：2026年陵城融媒）。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市场机遇、品牌机遇、风险挑战」展开系统梳理，其中「出口创汇9亿美元打开国际市场（来源：2025年头条报道）」与「入选齐鲁建造区域品牌提升溢价能力（来源：2025年陵城融媒）」等数据点清晰刻画了该维度的现实基础；出口创汇9亿美元打开国际市场（来源：2025年头条报道）；入选齐鲁建造区域品牌提升溢价能力（来源：2025年陵城融媒）。机遇与挑战并存，需以风险预警与合规管理为前提，在需求扩张与绿色转型中把握确定性机会。</w:t>
      </w:r>
    </w:p>
    <w:p>
      <w:pPr>
        <w:spacing w:lineRule="exact" w:line="600" w:before="120" w:after="120"/>
        <w:ind w:firstLine="420"/>
        <w:jc w:val="left"/>
      </w:pPr>
      <w:r>
        <w:rPr>
          <w:rFonts w:ascii="黑体" w:hAnsi="黑体" w:eastAsia="黑体"/>
          <w:b w:val="0"/>
          <w:color w:val="000000"/>
          <w:sz w:val="32"/>
        </w:rPr>
        <w:t>八、产业升级与发展路径</w:t>
      </w:r>
    </w:p>
    <w:p>
      <w:pPr>
        <w:spacing w:lineRule="exact" w:line="600" w:before="0" w:after="0"/>
        <w:ind w:firstLine="420"/>
        <w:jc w:val="both"/>
      </w:pPr>
      <w:r>
        <w:rPr>
          <w:rFonts w:ascii="仿宋_GB2312" w:hAnsi="仿宋_GB2312" w:eastAsia="仿宋_GB2312"/>
          <w:b w:val="0"/>
          <w:color w:val="000000"/>
          <w:sz w:val="32"/>
        </w:rPr>
        <w:t>本维度围绕「链长机制、三大行动、招商路径」展开系统梳理，其中「以产业能级提升任务推动龙头扩能提质（来源：2026年陵城融媒）」与「深化产学研用融合构建协同创新平台（来源：2026年陵城融媒）」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链长机制</w:t>
      </w:r>
    </w:p>
    <w:p>
      <w:pPr>
        <w:spacing w:lineRule="exact" w:line="600" w:before="0" w:after="0"/>
        <w:ind w:firstLine="420"/>
        <w:jc w:val="both"/>
      </w:pPr>
      <w:r>
        <w:rPr>
          <w:rFonts w:ascii="仿宋_GB2312" w:hAnsi="仿宋_GB2312" w:eastAsia="仿宋_GB2312"/>
          <w:b w:val="0"/>
          <w:color w:val="000000"/>
          <w:sz w:val="32"/>
        </w:rPr>
        <w:t>以产业能级提升任务推动龙头扩能提质（来源：2026年陵城融媒）。建强企业梯度培育形成龙头骨干中小融通（来源：2026年陵城融媒）。</w:t>
      </w:r>
    </w:p>
    <w:p>
      <w:pPr>
        <w:spacing w:lineRule="exact" w:line="600" w:before="120" w:after="120"/>
        <w:ind w:firstLine="420"/>
        <w:jc w:val="left"/>
      </w:pPr>
      <w:r>
        <w:rPr>
          <w:rFonts w:ascii="楷体_GB2312" w:hAnsi="楷体_GB2312" w:eastAsia="楷体_GB2312"/>
          <w:b w:val="0"/>
          <w:color w:val="000000"/>
          <w:sz w:val="32"/>
        </w:rPr>
        <w:t>三大行动</w:t>
      </w:r>
    </w:p>
    <w:p>
      <w:pPr>
        <w:spacing w:lineRule="exact" w:line="600" w:before="0" w:after="0"/>
        <w:ind w:firstLine="420"/>
        <w:jc w:val="both"/>
      </w:pPr>
      <w:r>
        <w:rPr>
          <w:rFonts w:ascii="仿宋_GB2312" w:hAnsi="仿宋_GB2312" w:eastAsia="仿宋_GB2312"/>
          <w:b w:val="0"/>
          <w:color w:val="000000"/>
          <w:sz w:val="32"/>
        </w:rPr>
        <w:t>深化产学研用融合构建协同创新平台（来源：2026年陵城融媒）。加速科技成果在集群内转化落地（来源：2026年陵城融媒）。</w:t>
      </w:r>
    </w:p>
    <w:p>
      <w:pPr>
        <w:spacing w:lineRule="exact" w:line="600" w:before="120" w:after="120"/>
        <w:ind w:firstLine="420"/>
        <w:jc w:val="left"/>
      </w:pPr>
      <w:r>
        <w:rPr>
          <w:rFonts w:ascii="楷体_GB2312" w:hAnsi="楷体_GB2312" w:eastAsia="楷体_GB2312"/>
          <w:b w:val="0"/>
          <w:color w:val="000000"/>
          <w:sz w:val="32"/>
        </w:rPr>
        <w:t>招商路径</w:t>
      </w:r>
    </w:p>
    <w:p>
      <w:pPr>
        <w:spacing w:lineRule="exact" w:line="600" w:before="0" w:after="0"/>
        <w:ind w:firstLine="420"/>
        <w:jc w:val="both"/>
      </w:pPr>
      <w:r>
        <w:rPr>
          <w:rFonts w:ascii="仿宋_GB2312" w:hAnsi="仿宋_GB2312" w:eastAsia="仿宋_GB2312"/>
          <w:b w:val="0"/>
          <w:color w:val="000000"/>
          <w:sz w:val="32"/>
        </w:rPr>
        <w:t>德州市土工材料产业园一期建成投用招商（来源：2025年德州日报）。辉申塑业等首批入驻形成集聚（来源：2025年德州日报）。</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链长机制、三大行动、招商路径」展开系统梳理，其中「以产业能级提升任务推动龙头扩能提质（来源：2026年陵城融媒）」与「深化产学研用融合构建协同创新平台（来源：2026年陵城融媒）」等数据点清晰刻画了该维度的现实基础；以产业能级提升任务推动龙头扩能提质（来源：2026年陵城融媒）；深化产学研用融合构建协同创新平台（来源：2026年陵城融媒）。升级路径应紧扣智能化、绿色化与高端化方向，以重点项目与平台载体为抓手，分步推进产业结构优化。</w:t>
      </w:r>
    </w:p>
    <w:p>
      <w:pPr>
        <w:spacing w:lineRule="exact" w:line="600" w:before="120" w:after="120"/>
        <w:ind w:firstLine="420"/>
        <w:jc w:val="left"/>
      </w:pPr>
      <w:r>
        <w:rPr>
          <w:rFonts w:ascii="黑体" w:hAnsi="黑体" w:eastAsia="黑体"/>
          <w:b w:val="0"/>
          <w:color w:val="000000"/>
          <w:sz w:val="32"/>
        </w:rPr>
        <w:t>九、潜在可能的融资需求</w:t>
      </w:r>
    </w:p>
    <w:p>
      <w:pPr>
        <w:spacing w:lineRule="exact" w:line="600" w:before="0" w:after="0"/>
        <w:ind w:firstLine="420"/>
        <w:jc w:val="both"/>
      </w:pPr>
      <w:r>
        <w:rPr>
          <w:rFonts w:ascii="仿宋_GB2312" w:hAnsi="仿宋_GB2312" w:eastAsia="仿宋_GB2312"/>
          <w:b w:val="0"/>
          <w:color w:val="000000"/>
          <w:sz w:val="32"/>
        </w:rPr>
        <w:t>本维度围绕「融资规模、资金需求、融资方式」展开系统梳理，其中「近三年集群产值超65亿元（来源：2026年陵城融媒）」与「2025年全区销售收入近100亿元（来源：2025年德州日报）」等数据点清晰刻画了该维度的现实基础；下文逐层展开，力求以可溯源的量化事实支撑后续研判。</w:t>
      </w:r>
    </w:p>
    <w:p>
      <w:pPr>
        <w:spacing w:lineRule="exact" w:line="600" w:before="120" w:after="120"/>
        <w:ind w:firstLine="420"/>
        <w:jc w:val="left"/>
      </w:pPr>
      <w:r>
        <w:rPr>
          <w:rFonts w:ascii="楷体_GB2312" w:hAnsi="楷体_GB2312" w:eastAsia="楷体_GB2312"/>
          <w:b w:val="0"/>
          <w:color w:val="000000"/>
          <w:sz w:val="32"/>
        </w:rPr>
        <w:t>融资规模</w:t>
      </w:r>
    </w:p>
    <w:p>
      <w:pPr>
        <w:spacing w:lineRule="exact" w:line="600" w:before="0" w:after="0"/>
        <w:ind w:firstLine="420"/>
        <w:jc w:val="both"/>
      </w:pPr>
      <w:r>
        <w:rPr>
          <w:rFonts w:ascii="仿宋_GB2312" w:hAnsi="仿宋_GB2312" w:eastAsia="仿宋_GB2312"/>
          <w:b w:val="0"/>
          <w:color w:val="000000"/>
          <w:sz w:val="32"/>
        </w:rPr>
        <w:t>近三年集群产值超65亿元（来源：2026年陵城融媒）。2025年全区销售收入近100亿元（来源：2025年德州日报）。</w:t>
      </w:r>
    </w:p>
    <w:p>
      <w:pPr>
        <w:spacing w:lineRule="exact" w:line="600" w:before="120" w:after="120"/>
        <w:ind w:firstLine="420"/>
        <w:jc w:val="left"/>
      </w:pPr>
      <w:r>
        <w:rPr>
          <w:rFonts w:ascii="楷体_GB2312" w:hAnsi="楷体_GB2312" w:eastAsia="楷体_GB2312"/>
          <w:b w:val="0"/>
          <w:color w:val="000000"/>
          <w:sz w:val="32"/>
        </w:rPr>
        <w:t>资金需求</w:t>
      </w:r>
    </w:p>
    <w:p>
      <w:pPr>
        <w:spacing w:lineRule="exact" w:line="600" w:before="0" w:after="0"/>
        <w:ind w:firstLine="420"/>
        <w:jc w:val="both"/>
      </w:pPr>
      <w:r>
        <w:rPr>
          <w:rFonts w:ascii="仿宋_GB2312" w:hAnsi="仿宋_GB2312" w:eastAsia="仿宋_GB2312"/>
          <w:b w:val="0"/>
          <w:color w:val="000000"/>
          <w:sz w:val="32"/>
        </w:rPr>
        <w:t>产业园建设与产线升级需持续资本（来源：2025年德州日报）。功能性新产品研发需研发投入（来源：2026年陵城融媒）。</w:t>
      </w:r>
    </w:p>
    <w:p>
      <w:pPr>
        <w:spacing w:lineRule="exact" w:line="600" w:before="120" w:after="120"/>
        <w:ind w:firstLine="420"/>
        <w:jc w:val="left"/>
      </w:pPr>
      <w:r>
        <w:rPr>
          <w:rFonts w:ascii="楷体_GB2312" w:hAnsi="楷体_GB2312" w:eastAsia="楷体_GB2312"/>
          <w:b w:val="0"/>
          <w:color w:val="000000"/>
          <w:sz w:val="32"/>
        </w:rPr>
        <w:t>融资方式</w:t>
      </w:r>
    </w:p>
    <w:p>
      <w:pPr>
        <w:spacing w:lineRule="exact" w:line="600" w:before="0" w:after="0"/>
        <w:ind w:firstLine="420"/>
        <w:jc w:val="both"/>
      </w:pPr>
      <w:r>
        <w:rPr>
          <w:rFonts w:ascii="仿宋_GB2312" w:hAnsi="仿宋_GB2312" w:eastAsia="仿宋_GB2312"/>
          <w:b w:val="0"/>
          <w:color w:val="000000"/>
          <w:sz w:val="32"/>
        </w:rPr>
        <w:t>协会集采集销降低企业资金压力（来源：2025年德州日报）。争取技改与专精特新等政策资金（来源：2026年陵城融媒）。</w:t>
      </w:r>
    </w:p>
    <w:p>
      <w:pPr>
        <w:spacing w:lineRule="exact" w:line="600" w:before="0" w:after="0"/>
        <w:ind w:firstLine="420"/>
        <w:jc w:val="both"/>
      </w:pPr>
      <w:r>
        <w:rPr>
          <w:rFonts w:ascii="仿宋_GB2312" w:hAnsi="仿宋_GB2312" w:eastAsia="仿宋_GB2312"/>
          <w:b w:val="0"/>
          <w:color w:val="000000"/>
          <w:sz w:val="32"/>
        </w:rPr>
        <w:t>综合研判：本维度各项真实数据点相互印证，本维度围绕「融资规模、资金需求、融资方式」展开系统梳理，其中「近三年集群产值超65亿元（来源：2026年陵城融媒）」与「2025年全区销售收入近100亿元（来源：2025年德州日报）」等数据点清晰刻画了该维度的现实基础；近三年集群产值超65亿元（来源：2026年陵城融媒）；2025年全区销售收入近100亿元（来源：2025年德州日报）；产业园建设与产线升级需持续资本（来源：2025年德州日报）。基于上述短板与升级目标，融资需求集中于产能扩张、技术改造与补链项目，宜通过多元化渠道匹配中长期资金。</w:t>
      </w:r>
    </w:p>
    <w:p>
      <w:pPr>
        <w:spacing w:lineRule="exact" w:line="600" w:before="120" w:after="120"/>
        <w:ind w:firstLine="420"/>
        <w:jc w:val="left"/>
      </w:pPr>
      <w:r>
        <w:rPr>
          <w:rFonts w:ascii="黑体" w:hAnsi="黑体" w:eastAsia="黑体"/>
          <w:b w:val="0"/>
          <w:color w:val="000000"/>
          <w:sz w:val="32"/>
        </w:rPr>
        <w:t>十、行业综合研判与发展建议</w:t>
      </w:r>
    </w:p>
    <w:p>
      <w:pPr>
        <w:spacing w:lineRule="exact" w:line="600" w:before="0" w:after="0"/>
        <w:ind w:firstLine="420"/>
        <w:jc w:val="both"/>
      </w:pPr>
      <w:r>
        <w:rPr>
          <w:rFonts w:ascii="仿宋_GB2312" w:hAnsi="仿宋_GB2312" w:eastAsia="仿宋_GB2312"/>
          <w:b w:val="0"/>
          <w:color w:val="000000"/>
          <w:sz w:val="32"/>
        </w:rPr>
        <w:t>综合九个维度的系统分析，土工合成材料与土工布制造在德州市陵城区依托区域产业基础与政策赋能，已形成以量化事实为支撑的发展格局。2025年入选「齐鲁建造」区域品牌赋能产业升级（来源：2025年陵城融媒）；实施产业能级提升任务优化产品结构（来源：2026年陵城融媒）；产品涉及全国土工合成材料90%以上范围（来源：2025年陵城融媒）；拥有各类生产线430余条、生产能力75万吨（来源：2026年陵城融媒）；丙纶长丝等原料本地配套降低采购成本（来源：2025年头条报道）；全区生产能力75万吨、生产线430余条（来源：2026年陵城融媒）；集聚相关企业300余家、生产企业350余家（来源：2025年头条报道）；土工布土工膜全国市场占有率达45%以上（来源：2025年陵城融媒）。</w:t>
      </w:r>
    </w:p>
    <w:p>
      <w:pPr>
        <w:spacing w:lineRule="exact" w:line="600" w:before="0" w:after="0"/>
        <w:ind w:firstLine="420"/>
        <w:jc w:val="both"/>
      </w:pPr>
      <w:r>
        <w:rPr>
          <w:rFonts w:ascii="仿宋_GB2312" w:hAnsi="仿宋_GB2312" w:eastAsia="仿宋_GB2312"/>
          <w:b w:val="0"/>
          <w:color w:val="000000"/>
          <w:sz w:val="32"/>
        </w:rPr>
        <w:t>从升级路径看，建议围绕「强链补链、智能化改造、绿色化转型、品牌化提升」四条主线推进：一是补齐上游原料与关键部件短板，提升本地配套率与产业链韧性；二是以重点企业与平台载体为抓手，推动技术研发与成果产业化；三是以能耗、排放与用工保障为重点，巩固成本与盈利优势；四是依托集群化与专精特新梯队，强化协同创新与差异化竞争。融资安排上，宜统筹运用股权、债权与政策性资金，匹配产能扩张、技术改造与补链项目的长周期需求，同时建立风险预警与合规管理机制，保障产业升级稳健推进。</w:t>
      </w:r>
    </w:p>
    <w:p>
      <w:pPr>
        <w:spacing w:lineRule="exact" w:line="600" w:before="120" w:after="120"/>
        <w:ind w:firstLine="420"/>
        <w:jc w:val="left"/>
      </w:pPr>
      <w:r>
        <w:rPr>
          <w:rFonts w:ascii="黑体" w:hAnsi="黑体" w:eastAsia="黑体"/>
          <w:b w:val="0"/>
          <w:color w:val="000000"/>
          <w:sz w:val="32"/>
        </w:rPr>
        <w:t>附件1 三个代表企业简介</w:t>
      </w:r>
    </w:p>
    <w:p>
      <w:pPr>
        <w:spacing w:lineRule="exact" w:line="600" w:before="0" w:after="0"/>
        <w:ind w:firstLine="420"/>
        <w:jc w:val="both"/>
      </w:pPr>
      <w:r>
        <w:rPr>
          <w:rFonts w:ascii="仿宋_GB2312" w:hAnsi="仿宋_GB2312" w:eastAsia="仿宋_GB2312"/>
          <w:b w:val="0"/>
          <w:color w:val="000000"/>
          <w:sz w:val="32"/>
        </w:rPr>
        <w:t>宏祥新材料股份有限公司成立于1997年8月，注册资本1.53亿元，总资产1.53亿元，占地20万平方米，是陵城区土工合成材料龙头骨干企业。公司引进德国、意大利、加拿大等先进设备，通过ISO9001、ISO14001、欧盟CE、中铁CRCC等认证，拥有15项发明专利及实用新型专利，建有省级企业技术中心与省级土工材料检测中心，是GB/T17638等多项国家标准和行业标准的起草单位之一，产品涵盖土工布、复合土工膜、防水板、HDPE管材等全系列土工材料。</w:t>
      </w:r>
    </w:p>
    <w:p>
      <w:pPr>
        <w:spacing w:lineRule="exact" w:line="600" w:before="0" w:after="0"/>
        <w:ind w:firstLine="420"/>
        <w:jc w:val="both"/>
      </w:pPr>
      <w:r>
        <w:rPr>
          <w:rFonts w:ascii="仿宋_GB2312" w:hAnsi="仿宋_GB2312" w:eastAsia="仿宋_GB2312"/>
          <w:b w:val="0"/>
          <w:color w:val="000000"/>
          <w:sz w:val="32"/>
        </w:rPr>
        <w:t>山东恒阳新材料有限公司成立于2019年5月，注册资本1亿元，人员规模100至499人、参保120人，位于陵城区北环西路。公司主营土工布、土工膜、复合土工膜、膨润土防水毯、HDPE管材、止水带等土工合成材料生产销售与施工，产品广泛用于公路、铁路、桥梁隧道、库渠水利、人工湖、矿业、农业等领域，具备承揽各种高难防渗工程的实力，是陵城区土工材料「齐鲁建造」区域品牌的重点代表企业之一。</w:t>
      </w:r>
    </w:p>
    <w:p>
      <w:pPr>
        <w:spacing w:lineRule="exact" w:line="600" w:before="0" w:after="0"/>
        <w:ind w:firstLine="420"/>
        <w:jc w:val="both"/>
      </w:pPr>
      <w:r>
        <w:rPr>
          <w:rFonts w:ascii="仿宋_GB2312" w:hAnsi="仿宋_GB2312" w:eastAsia="仿宋_GB2312"/>
          <w:b w:val="0"/>
          <w:color w:val="000000"/>
          <w:sz w:val="32"/>
        </w:rPr>
        <w:t>山东建通土工材料有限公司成立于2017年5月，注册资本5000万元，位于陵城区安德街道，主营土工无纺布、长丝无纺布、土工膜、复合土工膜、防水板、土工网、格栅、格室、HDPE膜等土工合成材料及防水工程施工。公司拥有土工合成材料完整产品体系，产品应用于水利、环卫、交通、农林等领域，是陵城区300余家土工材料企业梯队中的重要成员，与恒阳、鑫宇、晶创、群力等企业共同构成集群主体。</w:t>
      </w:r>
    </w:p>
    <w:p>
      <w:pPr>
        <w:spacing w:lineRule="exact" w:line="600" w:before="0" w:after="0"/>
        <w:jc w:val="left"/>
      </w:pPr>
      <w:r>
        <w:rPr>
          <w:rFonts w:ascii="仿宋_GB2312" w:hAnsi="仿宋_GB2312" w:eastAsia="仿宋_GB2312"/>
          <w:b w:val="0"/>
          <w:color w:val="000000"/>
          <w:sz w:val="28"/>
        </w:rPr>
        <w:t>主要数据来源：陵城区省级特色产业集群再添新成员(2026-07)；陵城土工材料大湾区推介报道(2025-05)；陵城:土工材料不土(德州日报)；深耕近40年成行业顶流(2025)</w:t>
      </w:r>
    </w:p>
    <w:sectPr w:rsidR="00FC693F" w:rsidRPr="0006063C" w:rsidSect="00034616">
      <w:footerReference w:type="default" r:id="rId9"/>
      <w:pgSz w:w="11906" w:h="16838"/>
      <w:pgMar w:top="2098" w:right="1474" w:bottom="1984" w:left="1587"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footer1.xml><?xml version="1.0" encoding="utf-8"?>
<w:ftr xmlns:m="http://schemas.openxmlformats.org/officeDocument/2006/math" xmlns:mc="http://schemas.openxmlformats.org/markup-compatibility/2006" xmlns:mo="http://schemas.microsoft.com/office/mac/office/2008/main" xmlns:mv="urn:schemas-microsoft-com:mac:vml" xmlns:o="urn:schemas-microsoft-com:office:office" xmlns:r="http://schemas.openxmlformats.org/officeDocument/2006/relationships" xmlns:v="urn:schemas-microsoft-com:vml" xmlns:w10="urn:schemas-microsoft-com:office:word" xmlns:w14="http://schemas.microsoft.com/office/word/2010/wordml" xmlns:w="http://schemas.openxmlformats.org/wordprocessingml/2006/main" xmlns:wne="http://schemas.microsoft.com/office/word/2006/wordml" xmlns:wp14="http://schemas.microsoft.com/office/word/2010/wordprocessingDrawing" xmlns:wp="http://schemas.openxmlformats.org/drawingml/2006/wordprocessingDrawing" xmlns:wpc="http://schemas.microsoft.com/office/word/2010/wordprocessingCanvas" xmlns:wpg="http://schemas.microsoft.com/office/word/2010/wordprocessingGroup" xmlns:wpi="http://schemas.microsoft.com/office/word/2010/wordprocessingInk" xmlns:wps="http://schemas.microsoft.com/office/word/2010/wordprocessingShape" mc:Ignorable="w14 wp14">
  <w:p>
    <w:pPr>
      <w:pStyle w:val="Footer"/>
      <w:spacing w:lineRule="exact" w:line="600"/>
      <w:ind w:firstLine="0"/>
      <w:jc w:val="center"/>
    </w:pPr>
    <w:r>
      <w:rPr>
        <w:rFonts w:ascii="宋体" w:hAnsi="宋体" w:eastAsia="宋体"/>
        <w:b w:val="0"/>
        <w:color w:val="000000"/>
        <w:sz w:val="28"/>
      </w:rPr>
      <w:t xml:space="preserve">— </w:t>
    </w:r>
    <w:r>
      <w:rPr>
        <w:rFonts w:ascii="Times New Roman" w:hAnsi="Times New Roman" w:eastAsia="Times New Roman"/>
        <w:b w:val="0"/>
        <w:color w:val="000000"/>
        <w:sz w:val="28"/>
      </w:rPr>
      <w:fldChar w:fldCharType="begin"/>
      <w:instrText xml:space="preserve">PAGE</w:instrText>
      <w:fldChar w:fldCharType="end"/>
    </w:r>
    <w:r>
      <w:rPr>
        <w:rFonts w:ascii="宋体" w:hAnsi="宋体" w:eastAsia="宋体"/>
        <w:b w:val="0"/>
        <w:color w:val="000000"/>
        <w:sz w:val="28"/>
      </w:rPr>
      <w:t xml:space="preserve"> —</w:t>
    </w:r>
  </w:p>
</w:ft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